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9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740" w:right="1640" w:hanging="3732"/>
        <w:spacing w:after="0" w:line="392" w:lineRule="auto"/>
        <w:tabs>
          <w:tab w:leader="none" w:pos="51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28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28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-7620</wp:posOffset>
            </wp:positionV>
            <wp:extent cx="1581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1150" cy="8890"/>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001-36687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XENON PHARMACEUTICALS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125095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480" w:type="dxa"/>
        <w:tblCellMar>
          <w:top w:w="0" w:type="dxa"/>
          <w:left w:w="0" w:type="dxa"/>
          <w:bottom w:w="0" w:type="dxa"/>
          <w:right w:w="0" w:type="dxa"/>
        </w:tblCellMar>
      </w:tblPr>
      <w:tr>
        <w:trPr>
          <w:trHeight w:val="216"/>
        </w:trPr>
        <w:tc>
          <w:tcPr>
            <w:tcW w:w="4680" w:type="dxa"/>
            <w:vAlign w:val="bottom"/>
          </w:tcPr>
          <w:p>
            <w:pPr>
              <w:jc w:val="center"/>
              <w:ind w:right="1843"/>
              <w:spacing w:after="0"/>
              <w:rPr>
                <w:sz w:val="20"/>
                <w:szCs w:val="20"/>
                <w:color w:val="auto"/>
              </w:rPr>
            </w:pPr>
            <w:r>
              <w:rPr>
                <w:rFonts w:ascii="Arial" w:cs="Arial" w:eastAsia="Arial" w:hAnsi="Arial"/>
                <w:sz w:val="18"/>
                <w:szCs w:val="18"/>
                <w:b w:val="1"/>
                <w:bCs w:val="1"/>
                <w:color w:val="auto"/>
                <w:w w:val="92"/>
              </w:rPr>
              <w:t>Canada</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98-0661854</w:t>
            </w:r>
          </w:p>
        </w:tc>
      </w:tr>
      <w:tr>
        <w:trPr>
          <w:trHeight w:val="135"/>
        </w:trPr>
        <w:tc>
          <w:tcPr>
            <w:tcW w:w="4680" w:type="dxa"/>
            <w:vAlign w:val="bottom"/>
          </w:tcPr>
          <w:p>
            <w:pPr>
              <w:jc w:val="center"/>
              <w:ind w:right="182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900" w:type="dxa"/>
            <w:vAlign w:val="bottom"/>
          </w:tcPr>
          <w:p>
            <w:pPr>
              <w:jc w:val="center"/>
              <w:ind w:left="184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680" w:type="dxa"/>
            <w:vAlign w:val="bottom"/>
          </w:tcPr>
          <w:p>
            <w:pPr>
              <w:jc w:val="center"/>
              <w:ind w:right="1843"/>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900" w:type="dxa"/>
            <w:vAlign w:val="bottom"/>
          </w:tcPr>
          <w:p>
            <w:pPr>
              <w:jc w:val="center"/>
              <w:ind w:left="184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680" w:type="dxa"/>
            <w:vAlign w:val="bottom"/>
          </w:tcPr>
          <w:p>
            <w:pPr>
              <w:jc w:val="center"/>
              <w:ind w:right="1843"/>
              <w:spacing w:after="0"/>
              <w:rPr>
                <w:sz w:val="20"/>
                <w:szCs w:val="20"/>
                <w:color w:val="auto"/>
              </w:rPr>
            </w:pPr>
            <w:r>
              <w:rPr>
                <w:rFonts w:ascii="Arial" w:cs="Arial" w:eastAsia="Arial" w:hAnsi="Arial"/>
                <w:sz w:val="18"/>
                <w:szCs w:val="18"/>
                <w:b w:val="1"/>
                <w:bCs w:val="1"/>
                <w:color w:val="auto"/>
                <w:w w:val="92"/>
              </w:rPr>
              <w:t>200-3650 Gilmore Way</w:t>
            </w:r>
          </w:p>
        </w:tc>
        <w:tc>
          <w:tcPr>
            <w:tcW w:w="2900" w:type="dxa"/>
            <w:vAlign w:val="bottom"/>
          </w:tcPr>
          <w:p>
            <w:pPr>
              <w:spacing w:after="0"/>
              <w:rPr>
                <w:sz w:val="18"/>
                <w:szCs w:val="18"/>
                <w:color w:val="auto"/>
              </w:rPr>
            </w:pPr>
          </w:p>
        </w:tc>
      </w:tr>
      <w:tr>
        <w:trPr>
          <w:trHeight w:val="216"/>
        </w:trPr>
        <w:tc>
          <w:tcPr>
            <w:tcW w:w="4680" w:type="dxa"/>
            <w:vAlign w:val="bottom"/>
          </w:tcPr>
          <w:p>
            <w:pPr>
              <w:jc w:val="center"/>
              <w:ind w:right="1823"/>
              <w:spacing w:after="0"/>
              <w:rPr>
                <w:sz w:val="20"/>
                <w:szCs w:val="20"/>
                <w:color w:val="auto"/>
              </w:rPr>
            </w:pPr>
            <w:r>
              <w:rPr>
                <w:rFonts w:ascii="Arial" w:cs="Arial" w:eastAsia="Arial" w:hAnsi="Arial"/>
                <w:sz w:val="18"/>
                <w:szCs w:val="18"/>
                <w:b w:val="1"/>
                <w:bCs w:val="1"/>
                <w:color w:val="auto"/>
                <w:w w:val="92"/>
              </w:rPr>
              <w:t>Burnaby, British Columbia, Canada</w:t>
            </w:r>
          </w:p>
        </w:tc>
        <w:tc>
          <w:tcPr>
            <w:tcW w:w="2900" w:type="dxa"/>
            <w:vAlign w:val="bottom"/>
          </w:tcPr>
          <w:p>
            <w:pPr>
              <w:jc w:val="center"/>
              <w:ind w:left="1846"/>
              <w:spacing w:after="0"/>
              <w:rPr>
                <w:sz w:val="20"/>
                <w:szCs w:val="20"/>
                <w:color w:val="auto"/>
              </w:rPr>
            </w:pPr>
            <w:r>
              <w:rPr>
                <w:rFonts w:ascii="Arial" w:cs="Arial" w:eastAsia="Arial" w:hAnsi="Arial"/>
                <w:sz w:val="18"/>
                <w:szCs w:val="18"/>
                <w:b w:val="1"/>
                <w:bCs w:val="1"/>
                <w:color w:val="auto"/>
                <w:w w:val="99"/>
              </w:rPr>
              <w:t>V5G 4W8</w:t>
            </w:r>
          </w:p>
        </w:tc>
      </w:tr>
      <w:tr>
        <w:trPr>
          <w:trHeight w:val="164"/>
        </w:trPr>
        <w:tc>
          <w:tcPr>
            <w:tcW w:w="4680" w:type="dxa"/>
            <w:vAlign w:val="bottom"/>
          </w:tcPr>
          <w:p>
            <w:pPr>
              <w:jc w:val="center"/>
              <w:ind w:right="184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00" w:type="dxa"/>
            <w:vAlign w:val="bottom"/>
          </w:tcPr>
          <w:p>
            <w:pPr>
              <w:jc w:val="center"/>
              <w:ind w:left="184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(604) 484-3300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8" w:lineRule="exact"/>
        <w:rPr>
          <w:sz w:val="24"/>
          <w:szCs w:val="24"/>
          <w:color w:val="auto"/>
        </w:rPr>
      </w:pPr>
    </w:p>
    <w:p>
      <w:pPr>
        <w:ind w:right="24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40" w:firstLine="518"/>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1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6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5120" w:type="dxa"/>
            <w:vAlign w:val="bottom"/>
          </w:tcPr>
          <w:p>
            <w:pPr>
              <w:ind w:left="2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720" w:type="dxa"/>
            <w:vAlign w:val="bottom"/>
          </w:tcPr>
          <w:p>
            <w:pPr>
              <w:ind w:left="16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1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00" w:lineRule="exact"/>
        <w:rPr>
          <w:sz w:val="24"/>
          <w:szCs w:val="24"/>
          <w:color w:val="auto"/>
        </w:rPr>
      </w:pPr>
    </w:p>
    <w:p>
      <w:pPr>
        <w:ind w:right="140" w:firstLine="516"/>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2220" w:firstLine="518"/>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3, 2017, the registrant had 17,998,420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617855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09"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290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760" w:type="dxa"/>
            <w:vAlign w:val="bottom"/>
            <w:gridSpan w:val="8"/>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440" w:type="dxa"/>
            <w:vAlign w:val="bottom"/>
          </w:tcPr>
          <w:p>
            <w:pPr>
              <w:spacing w:after="0"/>
              <w:rPr>
                <w:sz w:val="24"/>
                <w:szCs w:val="24"/>
                <w:color w:val="auto"/>
              </w:rPr>
            </w:pPr>
          </w:p>
        </w:tc>
        <w:tc>
          <w:tcPr>
            <w:tcW w:w="102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September 30, 2017 and December 31, 2016</w:t>
              </w:r>
            </w:hyperlink>
          </w:p>
        </w:tc>
        <w:tc>
          <w:tcPr>
            <w:tcW w:w="4080" w:type="dxa"/>
            <w:vAlign w:val="bottom"/>
            <w:gridSpan w:val="5"/>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Loss for the three and nine months ended September 30, 2017 and 2016</w:t>
              </w:r>
            </w:hyperlink>
          </w:p>
        </w:tc>
        <w:tc>
          <w:tcPr>
            <w:tcW w:w="30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 of Shareholders’ Equity for the nine months ended September 30, 2017</w:t>
              </w:r>
            </w:hyperlink>
          </w:p>
        </w:tc>
        <w:tc>
          <w:tcPr>
            <w:tcW w:w="2920" w:type="dxa"/>
            <w:vAlign w:val="bottom"/>
            <w:gridSpan w:val="3"/>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nine months ended September 30, 2017 and 2016</w:t>
              </w:r>
            </w:hyperlink>
          </w:p>
        </w:tc>
        <w:tc>
          <w:tcPr>
            <w:tcW w:w="2820" w:type="dxa"/>
            <w:vAlign w:val="bottom"/>
            <w:gridSpan w:val="2"/>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2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220" w:type="dxa"/>
            <w:vAlign w:val="bottom"/>
            <w:gridSpan w:val="1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 Management’s Discussion and Analysis of Financial Condition and Results Of Operations</w:t>
              </w:r>
            </w:hyperlink>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44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3.</w:t>
              </w:r>
            </w:hyperlink>
          </w:p>
        </w:tc>
        <w:tc>
          <w:tcPr>
            <w:tcW w:w="6520" w:type="dxa"/>
            <w:vAlign w:val="bottom"/>
            <w:tcBorders>
              <w:top w:val="single" w:sz="8" w:color="0000EE"/>
            </w:tcBorders>
            <w:gridSpan w:val="12"/>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3160" w:type="dxa"/>
            <w:vAlign w:val="bottom"/>
            <w:gridSpan w:val="4"/>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44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4.</w:t>
              </w:r>
            </w:hyperlink>
          </w:p>
        </w:tc>
        <w:tc>
          <w:tcPr>
            <w:tcW w:w="4380" w:type="dxa"/>
            <w:vAlign w:val="bottom"/>
            <w:tcBorders>
              <w:top w:val="single" w:sz="8" w:color="0000EE"/>
            </w:tcBorders>
            <w:gridSpan w:val="10"/>
          </w:tcPr>
          <w:p>
            <w:pPr>
              <w:ind w:left="20"/>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5300" w:type="dxa"/>
            <w:vAlign w:val="bottom"/>
            <w:gridSpan w:val="6"/>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46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80" w:type="dxa"/>
            <w:vAlign w:val="bottom"/>
            <w:gridSpan w:val="9"/>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318"/>
        </w:trPr>
        <w:tc>
          <w:tcPr>
            <w:tcW w:w="1066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 OTHER INFORMATION</w:t>
              </w:r>
            </w:hyperlink>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1.</w:t>
              </w:r>
            </w:hyperlink>
          </w:p>
        </w:tc>
        <w:tc>
          <w:tcPr>
            <w:tcW w:w="136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240" w:type="dxa"/>
            <w:vAlign w:val="bottom"/>
            <w:tcBorders>
              <w:top w:val="single" w:sz="8" w:color="0000EE"/>
            </w:tcBorders>
            <w:gridSpan w:val="2"/>
          </w:tcPr>
          <w:p>
            <w:pPr>
              <w:spacing w:after="0"/>
              <w:rPr>
                <w:sz w:val="24"/>
                <w:szCs w:val="24"/>
                <w:color w:val="auto"/>
              </w:rPr>
            </w:pPr>
          </w:p>
        </w:tc>
        <w:tc>
          <w:tcPr>
            <w:tcW w:w="8080" w:type="dxa"/>
            <w:vAlign w:val="bottom"/>
            <w:gridSpan w:val="10"/>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440" w:type="dxa"/>
            <w:vAlign w:val="bottom"/>
          </w:tcPr>
          <w:p>
            <w:pPr>
              <w:spacing w:after="0"/>
              <w:rPr>
                <w:sz w:val="24"/>
                <w:szCs w:val="24"/>
                <w:color w:val="auto"/>
              </w:rPr>
            </w:pPr>
          </w:p>
        </w:tc>
        <w:tc>
          <w:tcPr>
            <w:tcW w:w="1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1A. Risk Factors</w:t>
              </w:r>
            </w:hyperlink>
          </w:p>
        </w:tc>
        <w:tc>
          <w:tcPr>
            <w:tcW w:w="8620" w:type="dxa"/>
            <w:vAlign w:val="bottom"/>
            <w:gridSpan w:val="13"/>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440" w:type="dxa"/>
            <w:vAlign w:val="bottom"/>
          </w:tcPr>
          <w:p>
            <w:pPr>
              <w:spacing w:after="0"/>
              <w:rPr>
                <w:sz w:val="24"/>
                <w:szCs w:val="24"/>
                <w:color w:val="auto"/>
              </w:rPr>
            </w:pPr>
          </w:p>
        </w:tc>
        <w:tc>
          <w:tcPr>
            <w:tcW w:w="540" w:type="dxa"/>
            <w:vAlign w:val="bottom"/>
            <w:gridSpan w:val="3"/>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Item 6.</w:t>
              </w:r>
            </w:hyperlink>
          </w:p>
        </w:tc>
        <w:tc>
          <w:tcPr>
            <w:tcW w:w="9680" w:type="dxa"/>
            <w:vAlign w:val="bottom"/>
            <w:gridSpan w:val="16"/>
          </w:tcPr>
          <w:p>
            <w:pPr>
              <w:ind w:left="20"/>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44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060" w:type="dxa"/>
            <w:vAlign w:val="bottom"/>
            <w:gridSpan w:val="1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318"/>
        </w:trPr>
        <w:tc>
          <w:tcPr>
            <w:tcW w:w="10660" w:type="dxa"/>
            <w:vAlign w:val="bottom"/>
            <w:gridSpan w:val="2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this Quarterly Report on Form 10-Q, “we,” “our,” “us,” “Xenon,” and “the Company” refer to Xenon Pharmaceuticals Inc. and its subsidiary. “Xenon,” the Xenon logo and “Extreme Genetics” are the property of Xenon Pharmaceuticals Inc. and are registered in the United States and used or registered in various other jurisdictions. This report contains references to our trademarks and to trademarks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5"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780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Current assets:</w:t>
            </w:r>
          </w:p>
        </w:tc>
        <w:tc>
          <w:tcPr>
            <w:tcW w:w="1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 and cash equivalents</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14,688</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29,084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1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44,987</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Prepaid expenses, long term</w:t>
            </w:r>
          </w:p>
        </w:tc>
        <w:tc>
          <w:tcPr>
            <w:tcW w:w="1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14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46,359</w:t>
            </w:r>
          </w:p>
        </w:tc>
        <w:tc>
          <w:tcPr>
            <w:tcW w:w="12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67,487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Accounts payable and accrued expenses (note 6)</w:t>
            </w:r>
          </w:p>
        </w:tc>
        <w:tc>
          <w:tcPr>
            <w:tcW w:w="1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3,058</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14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Common shares, without par value; unlimited shares authorized; issued and</w:t>
            </w: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120"/>
              <w:spacing w:after="0"/>
              <w:rPr>
                <w:sz w:val="20"/>
                <w:szCs w:val="20"/>
                <w:color w:val="auto"/>
              </w:rPr>
            </w:pPr>
            <w:r>
              <w:rPr>
                <w:rFonts w:ascii="Arial" w:cs="Arial" w:eastAsia="Arial" w:hAnsi="Arial"/>
                <w:sz w:val="18"/>
                <w:szCs w:val="18"/>
                <w:color w:val="auto"/>
              </w:rPr>
              <w:t>outstanding: 17,998,420 (December 31, 2016 - 17,930,590) (note 7a)</w:t>
            </w:r>
          </w:p>
        </w:tc>
        <w:tc>
          <w:tcPr>
            <w:tcW w:w="1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173,841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35,773</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Accumulated deficit</w:t>
            </w:r>
          </w:p>
        </w:tc>
        <w:tc>
          <w:tcPr>
            <w:tcW w:w="14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(165,323)</w:t>
            </w:r>
          </w:p>
        </w:tc>
        <w:tc>
          <w:tcPr>
            <w:tcW w:w="4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(142,681)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14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(990)</w:t>
            </w: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43,301</w:t>
            </w:r>
          </w:p>
        </w:tc>
        <w:tc>
          <w:tcPr>
            <w:tcW w:w="12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46,359</w:t>
            </w: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Collaboration agreements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9)</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69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p>
      <w:pPr>
        <w:spacing w:after="0" w:line="104" w:lineRule="exact"/>
        <w:rPr>
          <w:sz w:val="20"/>
          <w:szCs w:val="20"/>
          <w:color w:val="auto"/>
        </w:rPr>
      </w:pPr>
    </w:p>
    <w:p>
      <w:pPr>
        <w:jc w:val="center"/>
        <w:ind w:left="614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13970</wp:posOffset>
            </wp:positionV>
            <wp:extent cx="16376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6" w:lineRule="exact"/>
        <w:rPr>
          <w:sz w:val="20"/>
          <w:szCs w:val="20"/>
          <w:color w:val="auto"/>
        </w:rPr>
      </w:pPr>
    </w:p>
    <w:p>
      <w:pPr>
        <w:ind w:left="6420"/>
        <w:spacing w:after="0"/>
        <w:tabs>
          <w:tab w:leader="none" w:pos="78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32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13970</wp:posOffset>
            </wp:positionV>
            <wp:extent cx="15951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16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1" w:lineRule="exact"/>
        <w:rPr>
          <w:sz w:val="20"/>
          <w:szCs w:val="20"/>
          <w:color w:val="auto"/>
        </w:rPr>
      </w:pPr>
    </w:p>
    <w:p>
      <w:pPr>
        <w:sectPr>
          <w:pgSz w:w="11900" w:h="16838" w:orient="portrait"/>
          <w:cols w:equalWidth="0" w:num="2">
            <w:col w:w="8380" w:space="580"/>
            <w:col w:w="2460"/>
          </w:cols>
          <w:pgMar w:left="240" w:top="135"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Collaboration revenue (note 8)</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Royalties</w:t>
            </w:r>
          </w:p>
        </w:tc>
        <w:tc>
          <w:tcPr>
            <w:tcW w:w="1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15,432</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5,643</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5,350</w:t>
            </w:r>
          </w:p>
        </w:tc>
        <w:tc>
          <w:tcPr>
            <w:tcW w:w="12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8,908</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7,744</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24,819</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20,782</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(19,355)</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income:</w:t>
            </w: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1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Foreign exchange gain (loss)</w:t>
            </w:r>
          </w:p>
        </w:tc>
        <w:tc>
          <w:tcPr>
            <w:tcW w:w="1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(497)</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 per common share (note 4):</w:t>
            </w:r>
          </w:p>
        </w:tc>
        <w:tc>
          <w:tcPr>
            <w:tcW w:w="1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(0.43)</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(0.51)</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(1.16)</w:t>
            </w:r>
          </w:p>
        </w:tc>
      </w:tr>
      <w:tr>
        <w:trPr>
          <w:trHeight w:val="270"/>
        </w:trPr>
        <w:tc>
          <w:tcPr>
            <w:tcW w:w="20" w:type="dxa"/>
            <w:vAlign w:val="bottom"/>
          </w:tcPr>
          <w:p>
            <w:pPr>
              <w:spacing w:after="0"/>
              <w:rPr>
                <w:sz w:val="23"/>
                <w:szCs w:val="23"/>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Diluted</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Weighted-average common shares outstanding (note 4):</w:t>
            </w:r>
          </w:p>
        </w:tc>
        <w:tc>
          <w:tcPr>
            <w:tcW w:w="1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17,998,420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15,268,964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17,980,608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14,690,357</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18,009,979</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15,268,964</w:t>
            </w: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18,000,066</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14,690,357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amounts)</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other</w:t>
            </w:r>
          </w:p>
        </w:tc>
        <w:tc>
          <w:tcPr>
            <w:tcW w:w="14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680" w:type="dxa"/>
            <w:vAlign w:val="bottom"/>
            <w:gridSpan w:val="5"/>
            <w:vMerge w:val="restart"/>
          </w:tcPr>
          <w:p>
            <w:pPr>
              <w:ind w:left="980"/>
              <w:spacing w:after="0"/>
              <w:rPr>
                <w:sz w:val="20"/>
                <w:szCs w:val="20"/>
                <w:color w:val="auto"/>
              </w:rPr>
            </w:pPr>
            <w:r>
              <w:rPr>
                <w:rFonts w:ascii="Arial" w:cs="Arial" w:eastAsia="Arial" w:hAnsi="Arial"/>
                <w:sz w:val="14"/>
                <w:szCs w:val="14"/>
                <w:b w:val="1"/>
                <w:bCs w:val="1"/>
                <w:color w:val="auto"/>
              </w:rPr>
              <w:t>Common shares</w:t>
            </w:r>
          </w:p>
        </w:tc>
        <w:tc>
          <w:tcPr>
            <w:tcW w:w="3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paid-in</w:t>
            </w:r>
          </w:p>
        </w:tc>
        <w:tc>
          <w:tcPr>
            <w:tcW w:w="15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Accumulated deficit</w:t>
            </w:r>
          </w:p>
        </w:tc>
        <w:tc>
          <w:tcPr>
            <w:tcW w:w="12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15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 xml:space="preserve">loss </w:t>
            </w:r>
            <w:r>
              <w:rPr>
                <w:rFonts w:ascii="Arial" w:cs="Arial" w:eastAsia="Arial" w:hAnsi="Arial"/>
                <w:sz w:val="12"/>
                <w:szCs w:val="12"/>
                <w:b w:val="1"/>
                <w:bCs w:val="1"/>
                <w:color w:val="auto"/>
                <w:w w:val="85"/>
              </w:rPr>
              <w:t>(1)</w:t>
            </w:r>
          </w:p>
        </w:tc>
        <w:tc>
          <w:tcPr>
            <w:tcW w:w="36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ind w:left="680"/>
              <w:spacing w:after="0" w:line="155" w:lineRule="exact"/>
              <w:rPr>
                <w:sz w:val="20"/>
                <w:szCs w:val="20"/>
                <w:color w:val="auto"/>
              </w:rPr>
            </w:pPr>
            <w:r>
              <w:rPr>
                <w:rFonts w:ascii="Arial" w:cs="Arial" w:eastAsia="Arial" w:hAnsi="Arial"/>
                <w:sz w:val="14"/>
                <w:szCs w:val="14"/>
                <w:i w:val="1"/>
                <w:iCs w:val="1"/>
                <w:color w:val="auto"/>
              </w:rPr>
              <w:t>Shares</w:t>
            </w: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i w:val="1"/>
                <w:iCs w:val="1"/>
                <w:color w:val="auto"/>
              </w:rPr>
              <w:t>Amount</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as of</w:t>
            </w: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2015</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14,385,336</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148,634</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33,083</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(119,693)</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(990)</w:t>
            </w:r>
          </w:p>
        </w:tc>
        <w:tc>
          <w:tcPr>
            <w:tcW w:w="3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 for the year</w:t>
            </w: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(22,997)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shares,</w:t>
            </w: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of issuance costs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3,450,000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23,832</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expense</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Issued pursuant to exercise</w:t>
            </w: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of stock options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95,254</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(657)</w:t>
            </w: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Fair value adjustment upon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reclassification of stock options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as of</w:t>
            </w: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2016</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17,930,590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173,246</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34,326</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(142,681)</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(990)</w:t>
            </w:r>
          </w:p>
        </w:tc>
        <w:tc>
          <w:tcPr>
            <w:tcW w:w="3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 for the period</w:t>
            </w: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expense</w:t>
            </w: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Issued pursuant to exercise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of stock options</w:t>
            </w:r>
          </w:p>
        </w:tc>
        <w:tc>
          <w:tcPr>
            <w:tcW w:w="1380" w:type="dxa"/>
            <w:vAlign w:val="bottom"/>
          </w:tcPr>
          <w:p>
            <w:pPr>
              <w:jc w:val="right"/>
              <w:spacing w:after="0"/>
              <w:rPr>
                <w:sz w:val="20"/>
                <w:szCs w:val="20"/>
                <w:color w:val="auto"/>
              </w:rPr>
            </w:pPr>
            <w:r>
              <w:rPr>
                <w:rFonts w:ascii="Arial" w:cs="Arial" w:eastAsia="Arial" w:hAnsi="Arial"/>
                <w:sz w:val="18"/>
                <w:szCs w:val="18"/>
                <w:color w:val="auto"/>
              </w:rPr>
              <w:t>67,830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(415)</w:t>
            </w:r>
          </w:p>
        </w:tc>
        <w:tc>
          <w:tcPr>
            <w:tcW w:w="4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as of</w:t>
            </w: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September 30, 2017</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17,998,420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173,841</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35,773</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(165,323)</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(990)</w:t>
            </w:r>
          </w:p>
        </w:tc>
        <w:tc>
          <w:tcPr>
            <w:tcW w:w="3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520" w:right="280" w:hanging="512"/>
        <w:spacing w:after="0" w:line="293"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accumulated other comprehensive loss is entirely related to historical cumulative translation adjustments from the application of U.S. dollar reporting when the functional currency of the Company was the Canadian dollar.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780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(22,639)</w:t>
            </w:r>
          </w:p>
        </w:tc>
        <w:tc>
          <w:tcPr>
            <w:tcW w:w="114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(16,993)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Items not involving cash:</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Unrealized foreign exchange gain</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(1,585)</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Prepaid expenses, long term</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(319)</w:t>
            </w: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(21,888)</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(14,897)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Purchases of property, plant and equipment</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Purchase of marketable securities</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(22,281)</w:t>
            </w: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(15,365)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Proceeds from marketable securities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41,024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18,491</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(15,616)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Issuance of common shares pursuant to exercise of stock options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Issuance of common shares, net of issuance costs (note 7a)</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(2,407)</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17,095</w:t>
            </w:r>
          </w:p>
        </w:tc>
        <w:tc>
          <w:tcPr>
            <w:tcW w:w="1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14,688</w:t>
            </w:r>
          </w:p>
        </w:tc>
        <w:tc>
          <w:tcPr>
            <w:tcW w:w="120" w:type="dxa"/>
            <w:vAlign w:val="bottom"/>
            <w:tcBorders>
              <w:bottom w:val="single" w:sz="8" w:color="CFF0FC"/>
            </w:tcBorders>
          </w:tcPr>
          <w:p>
            <w:pPr>
              <w:spacing w:after="0"/>
              <w:rPr>
                <w:sz w:val="22"/>
                <w:szCs w:val="22"/>
                <w:color w:val="auto"/>
              </w:rPr>
            </w:pPr>
          </w:p>
        </w:tc>
        <w:tc>
          <w:tcPr>
            <w:tcW w:w="114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Supplemental disclosures: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received</w:t>
            </w:r>
          </w:p>
        </w:tc>
        <w:tc>
          <w:tcPr>
            <w:tcW w:w="960" w:type="dxa"/>
            <w:vAlign w:val="bottom"/>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transactions: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Fair value of options exercised on a cashless basis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31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21" w:lineRule="exact"/>
        <w:rPr>
          <w:rFonts w:ascii="Arial" w:cs="Arial" w:eastAsia="Arial" w:hAnsi="Arial"/>
          <w:sz w:val="18"/>
          <w:szCs w:val="18"/>
          <w:b w:val="1"/>
          <w:bCs w:val="1"/>
          <w:color w:val="auto"/>
        </w:rPr>
      </w:pPr>
    </w:p>
    <w:p>
      <w:pPr>
        <w:jc w:val="both"/>
        <w:ind w:left="5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Xenon Pharmaceuticals Inc. (the “Company”), incorporated in 1996 under the British Columbia Business Corporations Act and continued federally in 2000 under the Canada Business Corporation Act, is a clinical-stage biopharmaceutical company discovering and developing a pipeline of differentiated therapeutics for orphan indications that it intends to commercialize on its own, and for larger market indications that it intends to partner with global pharmaceutical companies.</w:t>
      </w:r>
    </w:p>
    <w:p>
      <w:pPr>
        <w:spacing w:after="0" w:line="290"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These consolidated financial statements are presented in U.S. dollars.</w:t>
      </w:r>
    </w:p>
    <w:p>
      <w:pPr>
        <w:spacing w:after="0" w:line="117" w:lineRule="exact"/>
        <w:rPr>
          <w:rFonts w:ascii="Arial" w:cs="Arial" w:eastAsia="Arial" w:hAnsi="Arial"/>
          <w:sz w:val="18"/>
          <w:szCs w:val="18"/>
          <w:b w:val="1"/>
          <w:bCs w:val="1"/>
          <w:color w:val="auto"/>
        </w:rPr>
      </w:pPr>
    </w:p>
    <w:p>
      <w:pPr>
        <w:ind w:lef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one wholly-owned subsidiary as at September 30, 2017, Xenon Pharmaceuticals USA Inc., which was incorporated in Delaware on December 2, 2016.</w:t>
      </w:r>
    </w:p>
    <w:p>
      <w:pPr>
        <w:spacing w:after="0" w:line="62" w:lineRule="exact"/>
        <w:rPr>
          <w:rFonts w:ascii="Arial" w:cs="Arial" w:eastAsia="Arial" w:hAnsi="Arial"/>
          <w:sz w:val="18"/>
          <w:szCs w:val="18"/>
          <w:b w:val="1"/>
          <w:bCs w:val="1"/>
          <w:color w:val="auto"/>
        </w:rPr>
      </w:pPr>
    </w:p>
    <w:p>
      <w:pPr>
        <w:ind w:lef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unaudited interim consolidated financial statements include the accounts of the Company and its wholly-owned subsidiary. All intercompany transactions and balances have been eliminated on consolidation.</w:t>
      </w:r>
    </w:p>
    <w:p>
      <w:pPr>
        <w:spacing w:after="0" w:line="62" w:lineRule="exact"/>
        <w:rPr>
          <w:rFonts w:ascii="Arial" w:cs="Arial" w:eastAsia="Arial" w:hAnsi="Arial"/>
          <w:sz w:val="18"/>
          <w:szCs w:val="18"/>
          <w:b w:val="1"/>
          <w:bCs w:val="1"/>
          <w:color w:val="auto"/>
        </w:rPr>
      </w:pPr>
    </w:p>
    <w:p>
      <w:pPr>
        <w:jc w:val="both"/>
        <w:ind w:left="5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interim consolidated financial statements have been prepared in accordance with United States generally accepted accounting principles (“U.S. GAAP”) and pursuant to the rules and regulations of the United States Securities and Exchange Commission (“SEC”) for interim financial information. Accordingly, these consolidated financial statements do not include all of the information and footnotes required for complete consolidated financial statements and should be read in conjunction with the audited consolidated financial statements and notes for the year ended December 31, 2016 and included in the Company’s 2016 Annual Report on Form 10-K filed with the SEC and with the securities commissions in British Columbia, Alberta and Ontario on March 8, 2017.</w:t>
      </w:r>
    </w:p>
    <w:p>
      <w:pPr>
        <w:spacing w:after="0" w:line="85" w:lineRule="exact"/>
        <w:rPr>
          <w:rFonts w:ascii="Arial" w:cs="Arial" w:eastAsia="Arial" w:hAnsi="Arial"/>
          <w:sz w:val="18"/>
          <w:szCs w:val="18"/>
          <w:b w:val="1"/>
          <w:bCs w:val="1"/>
          <w:color w:val="auto"/>
        </w:rPr>
      </w:pPr>
    </w:p>
    <w:p>
      <w:pPr>
        <w:jc w:val="both"/>
        <w:ind w:left="5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These unaudited interim consolidated financial statements reflect all adjustments, consisting of normal recurring adjustments, which, in the opinion of management, are necessary for a fair presentation of results for the interim periods presented. The results of operations for the three and nine month periods ended September 30, 2017 and 2016 are not necessarily indicative of results that can be expected for a full year. These unaudited interim consolidated financial statements follow the same significant accounting policies as those described in the notes to the audited consolidated financial statements of the Company included in the Company’s 2016 Annual Report on Form 10-K for the year ended December 31, 2016. Certain comparative figures have been reclassified to conform to the consolidated financial statement presentation adopted for the current period.</w:t>
      </w:r>
    </w:p>
    <w:p>
      <w:pPr>
        <w:spacing w:after="0" w:line="268"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Future changes in accounting policies:</w:t>
      </w:r>
    </w:p>
    <w:p>
      <w:pPr>
        <w:spacing w:after="0" w:line="121" w:lineRule="exact"/>
        <w:rPr>
          <w:rFonts w:ascii="Arial" w:cs="Arial" w:eastAsia="Arial" w:hAnsi="Arial"/>
          <w:sz w:val="18"/>
          <w:szCs w:val="18"/>
          <w:b w:val="1"/>
          <w:bCs w:val="1"/>
          <w:color w:val="auto"/>
        </w:rPr>
      </w:pPr>
    </w:p>
    <w:p>
      <w:pPr>
        <w:jc w:val="both"/>
        <w:ind w:left="52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(ASC 606) to clarify the principles of recognizing revenue and to develop a common revenue standard that would remove inconsistencies in revenue requirements, leading to improved comparability of revenue recognition practices across entities and industries. The standard, as subsequently amended, stipulates that an entity should recognize revenue to depict the transfer of promised goods or services to customers in an amount that reflects the consideration to which the entity expects to be entitled in exchange for those goods or services. The new guidance will be effective for public entities for fiscal years and interim periods within those years, beginning after December 15, 2017. ASC 606 may be adopted using one of two methods: the full retrospective method, which requires the standard to be applied to each prior period presented, or the modified retrospective method, which requires the cumulative effect of adoption to be recognized as an adjustment to opening retained earnings in the period of adoption. The Company anticipates the adoption of the standard under the modified retrospective approach on January 1, 2018. The Company has begun its evaluation and identified two significant collaboration agreements with respect to revenue, the collaborative development and license agreements with Teva Pharmaceutical Industries, Ltd. and Genentech, a member of the Roche Group, described in notes 9(a) and (b), respectively, to the audited consolidated financial statements of the Company included in the Company’s 2016 Annual Report on Form 10-K for the year ended December 31, 2016. The Company is continuing to evaluate the new guidance as it applies to revenue previously recognized, milestone payments the Company is eligible to receive in future periods under these agreements, as well as financial statement disclosures.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7" w:name="page8"/>
    <w:bookmarkEnd w:id="7"/>
    <w:p>
      <w:pPr>
        <w:jc w:val="both"/>
        <w:ind w:left="520"/>
        <w:spacing w:after="0" w:line="255" w:lineRule="auto"/>
        <w:rPr>
          <w:sz w:val="20"/>
          <w:szCs w:val="20"/>
          <w:color w:val="auto"/>
        </w:rPr>
      </w:pPr>
      <w:r>
        <w:rPr>
          <w:rFonts w:ascii="Arial" w:cs="Arial" w:eastAsia="Arial" w:hAnsi="Arial"/>
          <w:sz w:val="18"/>
          <w:szCs w:val="18"/>
          <w:color w:val="auto"/>
        </w:rPr>
        <w:t>In February 2016, the FASB issued ASU 2016-02, Leases (Topic 842): Recognition and Measurement of Financial Assets and Financial Liabilities. The update requires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These amendments will be effective for public entities for fiscal years and interim periods within those years, beginning after December 15, 2018. The Company is currently evaluating the new guidance to determine the impact it will have on the Company’s consolidated financial statements.</w:t>
      </w:r>
    </w:p>
    <w:p>
      <w:pPr>
        <w:spacing w:after="0" w:line="297"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common share:</w:t>
      </w:r>
    </w:p>
    <w:p>
      <w:pPr>
        <w:spacing w:after="0" w:line="121" w:lineRule="exact"/>
        <w:rPr>
          <w:rFonts w:ascii="Arial" w:cs="Arial" w:eastAsia="Arial" w:hAnsi="Arial"/>
          <w:sz w:val="18"/>
          <w:szCs w:val="18"/>
          <w:b w:val="1"/>
          <w:bCs w:val="1"/>
          <w:color w:val="auto"/>
        </w:rPr>
      </w:pPr>
    </w:p>
    <w:p>
      <w:pPr>
        <w:jc w:val="both"/>
        <w:ind w:left="5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Basic net income (loss) per common share is computed by dividing the net income (loss) by the weighted average number of common shares outstanding for the period. Diluted net income (loss) per common share is computed by adjusting the numerator and denominator of the basic net income (loss) per share calculation for the potential impact of dilutive securities.</w:t>
      </w:r>
    </w:p>
    <w:p>
      <w:pPr>
        <w:spacing w:after="0" w:line="73" w:lineRule="exact"/>
        <w:rPr>
          <w:rFonts w:ascii="Arial" w:cs="Arial" w:eastAsia="Arial" w:hAnsi="Arial"/>
          <w:sz w:val="18"/>
          <w:szCs w:val="18"/>
          <w:b w:val="1"/>
          <w:bCs w:val="1"/>
          <w:color w:val="auto"/>
        </w:rPr>
      </w:pPr>
    </w:p>
    <w:p>
      <w:pPr>
        <w:jc w:val="both"/>
        <w:ind w:left="5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For the three and nine month periods ended September 30, 2017 , 2,214,110 and 2,128,751 stock options, respectively, were excluded from the calculation of diluted net income per common share as their inclusion would be anti-dilutive. For the three and nine months ended September 30, 2016, all stock options were anti-dilutive and were excluded from the diluted weighted average common shares outstanding for the period.</w:t>
      </w:r>
    </w:p>
    <w:p>
      <w:pPr>
        <w:spacing w:after="0" w:line="5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numerators and denominators of basic and diluted net loss per common share:</w:t>
      </w:r>
    </w:p>
    <w:p>
      <w:pPr>
        <w:spacing w:after="0" w:line="200" w:lineRule="exact"/>
        <w:rPr>
          <w:sz w:val="20"/>
          <w:szCs w:val="20"/>
          <w:color w:val="auto"/>
        </w:rPr>
      </w:pP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14"/>
                <w:szCs w:val="14"/>
                <w:color w:val="auto"/>
              </w:rPr>
            </w:pPr>
          </w:p>
        </w:tc>
        <w:tc>
          <w:tcPr>
            <w:tcW w:w="242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56"/>
        </w:trPr>
        <w:tc>
          <w:tcPr>
            <w:tcW w:w="51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color w:val="auto"/>
              </w:rPr>
              <w:t>Net loss used to compute net loss per common share: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(7,742)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(7,714)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(22,639)</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(16,993)</w:t>
            </w:r>
          </w:p>
        </w:tc>
        <w:tc>
          <w:tcPr>
            <w:tcW w:w="0" w:type="dxa"/>
            <w:vAlign w:val="bottom"/>
          </w:tcPr>
          <w:p>
            <w:pPr>
              <w:spacing w:after="0"/>
              <w:rPr>
                <w:sz w:val="1"/>
                <w:szCs w:val="1"/>
                <w:color w:val="auto"/>
              </w:rPr>
            </w:pPr>
          </w:p>
        </w:tc>
      </w:tr>
      <w:tr>
        <w:trPr>
          <w:trHeight w:val="215"/>
        </w:trPr>
        <w:tc>
          <w:tcPr>
            <w:tcW w:w="5180" w:type="dxa"/>
            <w:vAlign w:val="bottom"/>
          </w:tcPr>
          <w:p>
            <w:pPr>
              <w:ind w:left="500"/>
              <w:spacing w:after="0"/>
              <w:rPr>
                <w:sz w:val="20"/>
                <w:szCs w:val="20"/>
                <w:color w:val="auto"/>
              </w:rPr>
            </w:pPr>
            <w:r>
              <w:rPr>
                <w:rFonts w:ascii="Arial" w:cs="Arial" w:eastAsia="Arial" w:hAnsi="Arial"/>
                <w:sz w:val="18"/>
                <w:szCs w:val="18"/>
                <w:color w:val="auto"/>
                <w:w w:val="96"/>
              </w:rPr>
              <w:t>Adjustment for change in fair value of liability classified stock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50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17,998,420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15,268,964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17,980,608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14,690,357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 for dilutive effect of stock options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18,009,979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15,268,964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18,000,066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14,690,357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 basic</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(0.51)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(1.26)</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common share - diluted</w:t>
            </w: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We measure certain financial instruments and other items at fair value.</w:t>
      </w:r>
    </w:p>
    <w:p>
      <w:pPr>
        <w:spacing w:after="0" w:line="117" w:lineRule="exact"/>
        <w:rPr>
          <w:rFonts w:ascii="Arial" w:cs="Arial" w:eastAsia="Arial" w:hAnsi="Arial"/>
          <w:sz w:val="18"/>
          <w:szCs w:val="18"/>
          <w:b w:val="1"/>
          <w:bCs w:val="1"/>
          <w:color w:val="auto"/>
        </w:rPr>
      </w:pPr>
    </w:p>
    <w:p>
      <w:pPr>
        <w:jc w:val="both"/>
        <w:ind w:left="5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To determine the fair value, we use the fair value hierarchy for inputs used to measure fair value of financial assets and liabilities. This hierarchy prioritizes the inputs to valuation techniques used to measure fair value into three levels: Level 1 (highest priority), Level 2, and Level 3 (lowest priority).</w:t>
      </w:r>
    </w:p>
    <w:p>
      <w:pPr>
        <w:spacing w:after="0" w:line="73" w:lineRule="exact"/>
        <w:rPr>
          <w:rFonts w:ascii="Arial" w:cs="Arial" w:eastAsia="Arial" w:hAnsi="Arial"/>
          <w:sz w:val="18"/>
          <w:szCs w:val="18"/>
          <w:b w:val="1"/>
          <w:bCs w:val="1"/>
          <w:color w:val="auto"/>
        </w:rPr>
      </w:pPr>
    </w:p>
    <w:p>
      <w:pPr>
        <w:ind w:left="900" w:hanging="379"/>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Unadjusted quoted prices in active markets for identical instruments.</w:t>
      </w:r>
    </w:p>
    <w:p>
      <w:pPr>
        <w:spacing w:after="0" w:line="117" w:lineRule="exact"/>
        <w:rPr>
          <w:rFonts w:ascii="Arial" w:cs="Arial" w:eastAsia="Arial" w:hAnsi="Arial"/>
          <w:sz w:val="18"/>
          <w:szCs w:val="18"/>
          <w:color w:val="auto"/>
        </w:rPr>
      </w:pPr>
    </w:p>
    <w:p>
      <w:pPr>
        <w:jc w:val="both"/>
        <w:ind w:left="900" w:hanging="379"/>
        <w:spacing w:after="0" w:line="30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Inputs other than quoted prices included within Level 1 that are observable for the asset or liability, either directly or indirectly. Level 2</w:t>
      </w:r>
      <w:r>
        <w:rPr>
          <w:rFonts w:ascii="Arial" w:cs="Arial" w:eastAsia="Arial" w:hAnsi="Arial"/>
          <w:sz w:val="16"/>
          <w:szCs w:val="16"/>
          <w:i w:val="1"/>
          <w:iCs w:val="1"/>
          <w:color w:val="auto"/>
        </w:rPr>
        <w:t xml:space="preserve"> </w:t>
      </w:r>
      <w:r>
        <w:rPr>
          <w:rFonts w:ascii="Arial" w:cs="Arial" w:eastAsia="Arial" w:hAnsi="Arial"/>
          <w:sz w:val="16"/>
          <w:szCs w:val="16"/>
          <w:color w:val="auto"/>
        </w:rPr>
        <w:t>inputs include quoted prices for similar assets or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46" w:lineRule="exact"/>
        <w:rPr>
          <w:rFonts w:ascii="Arial" w:cs="Arial" w:eastAsia="Arial" w:hAnsi="Arial"/>
          <w:sz w:val="16"/>
          <w:szCs w:val="16"/>
          <w:color w:val="auto"/>
        </w:rPr>
      </w:pPr>
    </w:p>
    <w:p>
      <w:pPr>
        <w:ind w:left="900" w:hanging="379"/>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Inputs are unobservable and reflect the Company’s assumptions as to what market participants would use in pricing the asset or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develops these inputs based on the best information available.</w:t>
      </w:r>
    </w:p>
    <w:p>
      <w:pPr>
        <w:spacing w:after="0" w:line="6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8" w:name="page9"/>
    <w:bookmarkEnd w:id="8"/>
    <w:p>
      <w:pPr>
        <w:jc w:val="both"/>
        <w:ind w:left="520"/>
        <w:spacing w:after="0" w:line="302" w:lineRule="auto"/>
        <w:rPr>
          <w:sz w:val="20"/>
          <w:szCs w:val="20"/>
          <w:color w:val="auto"/>
        </w:rPr>
      </w:pPr>
      <w:r>
        <w:rPr>
          <w:rFonts w:ascii="Arial" w:cs="Arial" w:eastAsia="Arial" w:hAnsi="Arial"/>
          <w:sz w:val="16"/>
          <w:szCs w:val="16"/>
          <w:color w:val="auto"/>
        </w:rPr>
        <w:t>The Company’s Level 1 assets include cash and cash equivalents and marketable securities with quoted prices in active markets. The carrying amount of accounts receivables, accounts payable and accrued expenses approximates fair value due to the nature and short-term of those instruments. As quoted prices for the liability classified stock options, included in the consolidated balance sheet as accounts payable and accrued expenses, are not readily available, the Company has used the Black-Scholes pricing model to estimate fair value using Level 3 inputs as defined above.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6.</w:t>
            </w:r>
          </w:p>
        </w:tc>
        <w:tc>
          <w:tcPr>
            <w:tcW w:w="684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payable and accrued expenses: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expenses consisted of the following: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6"/>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Trade payables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6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Employee compensation, benefits, and related accruals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872</w:t>
            </w:r>
          </w:p>
        </w:tc>
        <w:tc>
          <w:tcPr>
            <w:tcW w:w="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contracted research</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6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FF0FC"/>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ind w:left="900" w:hanging="379"/>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Financing:</w:t>
      </w:r>
    </w:p>
    <w:p>
      <w:pPr>
        <w:spacing w:after="0" w:line="117" w:lineRule="exact"/>
        <w:rPr>
          <w:rFonts w:ascii="Arial" w:cs="Arial" w:eastAsia="Arial" w:hAnsi="Arial"/>
          <w:sz w:val="18"/>
          <w:szCs w:val="18"/>
          <w:color w:val="auto"/>
        </w:rPr>
      </w:pPr>
    </w:p>
    <w:p>
      <w:pPr>
        <w:jc w:val="both"/>
        <w:ind w:left="900"/>
        <w:spacing w:after="0" w:line="264" w:lineRule="auto"/>
        <w:rPr>
          <w:rFonts w:ascii="Arial" w:cs="Arial" w:eastAsia="Arial" w:hAnsi="Arial"/>
          <w:sz w:val="18"/>
          <w:szCs w:val="18"/>
          <w:color w:val="auto"/>
        </w:rPr>
      </w:pPr>
      <w:r>
        <w:rPr>
          <w:rFonts w:ascii="Arial" w:cs="Arial" w:eastAsia="Arial" w:hAnsi="Arial"/>
          <w:sz w:val="18"/>
          <w:szCs w:val="18"/>
          <w:color w:val="auto"/>
        </w:rPr>
        <w:t>On September 13, 2016, the Company completed an underwritten public offering of 3,450,000 of its common shares at a public offering price of $7.50 per common share. The Company received approximately $24.3 million of proceeds, net of underwriting discounts and commissions but before offering expenses.</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stock option activity for the period:</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9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140" w:type="dxa"/>
            <w:vAlign w:val="bottom"/>
          </w:tcPr>
          <w:p>
            <w:pPr>
              <w:spacing w:after="0"/>
              <w:rPr>
                <w:sz w:val="14"/>
                <w:szCs w:val="14"/>
                <w:color w:val="auto"/>
              </w:rPr>
            </w:pPr>
          </w:p>
        </w:tc>
        <w:tc>
          <w:tcPr>
            <w:tcW w:w="19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8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414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2,276,897</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1,983,674</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1,910,823</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1,721,472</w:t>
            </w:r>
          </w:p>
        </w:tc>
        <w:tc>
          <w:tcPr>
            <w:tcW w:w="8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22,044</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447,550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321,444</w:t>
            </w:r>
          </w:p>
        </w:tc>
        <w:tc>
          <w:tcPr>
            <w:tcW w:w="8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r>
              <w:rPr>
                <w:rFonts w:ascii="Arial" w:cs="Arial" w:eastAsia="Arial" w:hAnsi="Arial"/>
                <w:sz w:val="15"/>
                <w:szCs w:val="15"/>
                <w:color w:val="auto"/>
              </w:rPr>
              <w:t>(1)</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(42,012)</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(71,006)</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(72,541)</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Forfeited and expired</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(70,567)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(4,753)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(79,987)</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(11,422)</w:t>
            </w: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2,207,380</w:t>
            </w:r>
          </w:p>
        </w:tc>
        <w:tc>
          <w:tcPr>
            <w:tcW w:w="1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1,958,953</w:t>
            </w:r>
          </w:p>
        </w:tc>
        <w:tc>
          <w:tcPr>
            <w:tcW w:w="1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2,207,380</w:t>
            </w:r>
          </w:p>
        </w:tc>
        <w:tc>
          <w:tcPr>
            <w:tcW w:w="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1,958,953</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Exercisable, end of period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1,417,660</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1,200,614</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1,417,660</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1,200,614</w:t>
            </w:r>
          </w:p>
        </w:tc>
        <w:tc>
          <w:tcPr>
            <w:tcW w:w="8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40" w:hanging="519"/>
        <w:spacing w:after="0" w:line="312" w:lineRule="auto"/>
        <w:tabs>
          <w:tab w:leader="none" w:pos="1040" w:val="left"/>
        </w:tabs>
        <w:numPr>
          <w:ilvl w:val="0"/>
          <w:numId w:val="8"/>
        </w:numPr>
        <w:rPr>
          <w:rFonts w:ascii="Arial" w:cs="Arial" w:eastAsia="Arial" w:hAnsi="Arial"/>
          <w:sz w:val="14"/>
          <w:szCs w:val="14"/>
          <w:color w:val="auto"/>
        </w:rPr>
      </w:pPr>
      <w:r>
        <w:rPr>
          <w:rFonts w:ascii="Arial" w:cs="Arial" w:eastAsia="Arial" w:hAnsi="Arial"/>
          <w:sz w:val="16"/>
          <w:szCs w:val="16"/>
          <w:color w:val="auto"/>
        </w:rPr>
        <w:t>During the nine months ended September 30, 2017, 63,425 stock options were exercised for the same number of common shares for cash (nine months ended September 30, 2016 – 30,176). In the same period, the Company issued 4,405 common shares (nine months ended September 30, 2016 – 27,421) for the cashless exercise of 7,581 stock options (nine months ended September 30, 2016 – 42,365).</w:t>
      </w:r>
    </w:p>
    <w:p>
      <w:pPr>
        <w:spacing w:after="0" w:line="39"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The fair value of each option granted to employees and non-employees is estimated using the Black-Scholes option-pricing model with the following weighted-average assumptions: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1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900" w:type="dxa"/>
            <w:vAlign w:val="bottom"/>
          </w:tcPr>
          <w:p>
            <w:pPr>
              <w:spacing w:after="0"/>
              <w:rPr>
                <w:sz w:val="14"/>
                <w:szCs w:val="14"/>
                <w:color w:val="auto"/>
              </w:rPr>
            </w:pPr>
          </w:p>
        </w:tc>
        <w:tc>
          <w:tcPr>
            <w:tcW w:w="21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9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390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Average risk-free interest rate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1.33%</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Average expected term (in years)</w:t>
            </w:r>
          </w:p>
        </w:tc>
        <w:tc>
          <w:tcPr>
            <w:tcW w:w="94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80" w:type="dxa"/>
            <w:vAlign w:val="bottom"/>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0"/>
        </w:trPr>
        <w:tc>
          <w:tcPr>
            <w:tcW w:w="3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The weighted-average fair value of options granted during the nine months ended September 30, 2017 was $6.10 (nine months ended September 30, 2016 – $4.93) per option</w:t>
      </w:r>
      <w:r>
        <w:rPr>
          <w:rFonts w:ascii="Arial" w:cs="Arial" w:eastAsia="Arial" w:hAnsi="Arial"/>
          <w:sz w:val="14"/>
          <w:szCs w:val="14"/>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9" w:name="page10"/>
    <w:bookmarkEnd w:id="9"/>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21" w:lineRule="exact"/>
        <w:rPr>
          <w:rFonts w:ascii="Arial" w:cs="Arial" w:eastAsia="Arial" w:hAnsi="Arial"/>
          <w:sz w:val="18"/>
          <w:szCs w:val="18"/>
          <w:b w:val="1"/>
          <w:bCs w:val="1"/>
          <w:color w:val="auto"/>
        </w:rPr>
      </w:pPr>
    </w:p>
    <w:p>
      <w:pPr>
        <w:jc w:val="both"/>
        <w:ind w:left="5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 has entered into a number of collaboration agreements with multiple deliverables under which it may have received non-refundable upfront payments. The Company generally recognizes revenue from non-refundable upfront payments ratably over the term of its estimated period of performance of research under its collaboration agreements in the event that such arrangements represent a single unit of accounting.</w:t>
      </w:r>
    </w:p>
    <w:p>
      <w:pPr>
        <w:spacing w:after="0" w:line="38" w:lineRule="exact"/>
        <w:rPr>
          <w:rFonts w:ascii="Arial" w:cs="Arial" w:eastAsia="Arial" w:hAnsi="Arial"/>
          <w:sz w:val="18"/>
          <w:szCs w:val="18"/>
          <w:b w:val="1"/>
          <w:bCs w:val="1"/>
          <w:color w:val="auto"/>
        </w:rPr>
      </w:pPr>
    </w:p>
    <w:p>
      <w:pPr>
        <w:jc w:val="both"/>
        <w:ind w:left="5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collaborations may also include contractual milestone payments, which relate to the achievement of pre-specified research, development, regulatory and commercialization events. The milestone events coincide with the progression of product candidates from research and development, to regulatory approval and through to commercialization. The process of successfully discovering a new product candidate, having it selected by the collaborator for development and having it approved and ultimately sold for a profit is highly uncertain. As such, the milestone payments that the Company may earn from its collaborators involve a significant degree of risk to achieve.</w:t>
      </w:r>
    </w:p>
    <w:p>
      <w:pPr>
        <w:spacing w:after="0" w:line="6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is a summary of the revenue recognized from the Company’s collaborations for the three and nine months ended September 30,</w:t>
      </w:r>
    </w:p>
    <w:p>
      <w:pPr>
        <w:spacing w:after="0" w:line="4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2017 and 2016:</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9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100" w:type="dxa"/>
            <w:vAlign w:val="bottom"/>
          </w:tcPr>
          <w:p>
            <w:pPr>
              <w:spacing w:after="0"/>
              <w:rPr>
                <w:sz w:val="14"/>
                <w:szCs w:val="14"/>
                <w:color w:val="auto"/>
              </w:rPr>
            </w:pPr>
          </w:p>
        </w:tc>
        <w:tc>
          <w:tcPr>
            <w:tcW w:w="154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410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Teva:</w:t>
            </w: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Research funding</w:t>
            </w:r>
          </w:p>
        </w:tc>
        <w:tc>
          <w:tcPr>
            <w:tcW w:w="560" w:type="dxa"/>
            <w:vAlign w:val="bottom"/>
          </w:tcPr>
          <w:p>
            <w:pPr>
              <w:jc w:val="right"/>
              <w:ind w:right="381"/>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70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Genentech:</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Recognition of upfront payment</w:t>
            </w: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funding</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383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8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Milestone payment</w:t>
            </w: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250</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collaboration revenue</w:t>
            </w:r>
          </w:p>
        </w:tc>
        <w:tc>
          <w:tcPr>
            <w:tcW w:w="560" w:type="dxa"/>
            <w:vAlign w:val="bottom"/>
            <w:tcBorders>
              <w:top w:val="single" w:sz="8" w:color="auto"/>
              <w:bottom w:val="single" w:sz="8" w:color="auto"/>
            </w:tcBorders>
            <w:shd w:val="clear" w:color="auto" w:fill="CFF0FC"/>
          </w:tcPr>
          <w:p>
            <w:pPr>
              <w:jc w:val="right"/>
              <w:ind w:right="381"/>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264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412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900" w:hanging="379"/>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Priority access agreement with Medpace Inc. (“Medpace”):</w:t>
      </w:r>
    </w:p>
    <w:p>
      <w:pPr>
        <w:spacing w:after="0" w:line="117" w:lineRule="exact"/>
        <w:rPr>
          <w:rFonts w:ascii="Arial" w:cs="Arial" w:eastAsia="Arial" w:hAnsi="Arial"/>
          <w:sz w:val="18"/>
          <w:szCs w:val="18"/>
          <w:color w:val="auto"/>
        </w:rPr>
      </w:pPr>
    </w:p>
    <w:p>
      <w:pPr>
        <w:jc w:val="both"/>
        <w:ind w:left="900"/>
        <w:spacing w:after="0" w:line="291" w:lineRule="auto"/>
        <w:rPr>
          <w:rFonts w:ascii="Arial" w:cs="Arial" w:eastAsia="Arial" w:hAnsi="Arial"/>
          <w:sz w:val="18"/>
          <w:szCs w:val="18"/>
          <w:color w:val="auto"/>
        </w:rPr>
      </w:pPr>
      <w:r>
        <w:rPr>
          <w:rFonts w:ascii="Arial" w:cs="Arial" w:eastAsia="Arial" w:hAnsi="Arial"/>
          <w:sz w:val="16"/>
          <w:szCs w:val="16"/>
          <w:color w:val="auto"/>
        </w:rPr>
        <w:t>In August 2015, the Company entered into a priority access agreement with Medpace for the provision of certain clinical development services. Under the terms of the agreement, the Company has committed to using Medpace non-exclusively for clinical development services over the five year term of the agreement. In consideration for priority access to Medpace resources and preferred service rates, the Company has committed to $7,000 of services over the term of the agreement, $3,000 of which was paid in the year ended December 31, 2015. Of the amounts paid by the Company in 2015 in connection with the priority access agreement, an aggregate of $2,714 has been recorded as expenses to date for services rendered, $68 has been classified as current prepaid expenses (December 31, 2016 – $392) and $218 has been classified as long-term prepaid expenses December 31, 2016 – $408) for the provision of future services as at September 30, 2017.</w:t>
      </w:r>
    </w:p>
    <w:p>
      <w:pPr>
        <w:spacing w:after="0" w:line="167" w:lineRule="exact"/>
        <w:rPr>
          <w:rFonts w:ascii="Arial" w:cs="Arial" w:eastAsia="Arial" w:hAnsi="Arial"/>
          <w:sz w:val="18"/>
          <w:szCs w:val="18"/>
          <w:color w:val="auto"/>
        </w:rPr>
      </w:pPr>
    </w:p>
    <w:p>
      <w:pPr>
        <w:ind w:left="900" w:hanging="379"/>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License, manufacture and supply agreement:</w:t>
      </w:r>
    </w:p>
    <w:p>
      <w:pPr>
        <w:spacing w:after="0" w:line="117" w:lineRule="exact"/>
        <w:rPr>
          <w:rFonts w:ascii="Arial" w:cs="Arial" w:eastAsia="Arial" w:hAnsi="Arial"/>
          <w:sz w:val="18"/>
          <w:szCs w:val="18"/>
          <w:color w:val="auto"/>
        </w:rPr>
      </w:pPr>
    </w:p>
    <w:p>
      <w:pPr>
        <w:jc w:val="both"/>
        <w:ind w:left="900"/>
        <w:spacing w:after="0" w:line="257" w:lineRule="auto"/>
        <w:rPr>
          <w:rFonts w:ascii="Arial" w:cs="Arial" w:eastAsia="Arial" w:hAnsi="Arial"/>
          <w:sz w:val="18"/>
          <w:szCs w:val="18"/>
          <w:color w:val="auto"/>
        </w:rPr>
      </w:pPr>
      <w:r>
        <w:rPr>
          <w:rFonts w:ascii="Arial" w:cs="Arial" w:eastAsia="Arial" w:hAnsi="Arial"/>
          <w:sz w:val="18"/>
          <w:szCs w:val="18"/>
          <w:color w:val="auto"/>
        </w:rPr>
        <w:t>In March 2017, the Company entered into a license, manufacture and supply agreement with a pharmaceutical contract manufacturing organization for the access and use of certain regulatory documents as well as for the manufacture and supply of clinical and commercial drug product to support the development of a potential product candidate. Under the terms of the agreement, the Company paid an upfront fee of $500 CAD and will be required to pay a low single-digit percentage royalty on net sales of any products developed and commercialized under the agreement.</w:t>
      </w:r>
    </w:p>
    <w:p>
      <w:pPr>
        <w:spacing w:after="0" w:line="188" w:lineRule="exact"/>
        <w:rPr>
          <w:rFonts w:ascii="Arial" w:cs="Arial" w:eastAsia="Arial" w:hAnsi="Arial"/>
          <w:sz w:val="18"/>
          <w:szCs w:val="18"/>
          <w:color w:val="auto"/>
        </w:rPr>
      </w:pPr>
    </w:p>
    <w:p>
      <w:pPr>
        <w:ind w:left="900" w:hanging="379"/>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Asset purchase agreement with 1st Order Pharmaceuticals, Inc. (“1st Order”):</w:t>
      </w:r>
    </w:p>
    <w:p>
      <w:pPr>
        <w:spacing w:after="0" w:line="117" w:lineRule="exact"/>
        <w:rPr>
          <w:rFonts w:ascii="Arial" w:cs="Arial" w:eastAsia="Arial" w:hAnsi="Arial"/>
          <w:sz w:val="18"/>
          <w:szCs w:val="18"/>
          <w:color w:val="auto"/>
        </w:rPr>
      </w:pPr>
    </w:p>
    <w:p>
      <w:pPr>
        <w:jc w:val="both"/>
        <w:ind w:left="900"/>
        <w:spacing w:after="0" w:line="255" w:lineRule="auto"/>
        <w:rPr>
          <w:rFonts w:ascii="Arial" w:cs="Arial" w:eastAsia="Arial" w:hAnsi="Arial"/>
          <w:sz w:val="18"/>
          <w:szCs w:val="18"/>
          <w:color w:val="auto"/>
        </w:rPr>
      </w:pPr>
      <w:r>
        <w:rPr>
          <w:rFonts w:ascii="Arial" w:cs="Arial" w:eastAsia="Arial" w:hAnsi="Arial"/>
          <w:sz w:val="18"/>
          <w:szCs w:val="18"/>
          <w:color w:val="auto"/>
        </w:rPr>
        <w:t>In April 2017, the Company acquired XEN1101 (previously known as 1OP2198) from 1st Order pursuant to an asset purchase agreement. 1st Order previously acquired 1OP2198 from an affiliate of Valeant Pharmaceuticals International, Inc. (“Valeant”), and the Company has assumed certain financial responsibilities under that agreement. Under the terms of the agreement, the Company paid an upfront fee of $350, which we expensed as research and development, and expects to pay an additional $700 in milestones in 2017. Future potential payments to both 1st Order and Valeant include $1,000 in clinical development milestones, up to $13,000 in regulatory milestones, and up to approximately $33,600 in sales-based and other milestones, which includes a $1,500 milestone that may be payable pre-commercially, plus a mid-to-high single-digit percentage royalty on commercial sales.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ind w:left="380" w:hanging="379"/>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License agreement</w:t>
      </w:r>
    </w:p>
    <w:p>
      <w:pPr>
        <w:spacing w:after="0" w:line="117" w:lineRule="exact"/>
        <w:rPr>
          <w:rFonts w:ascii="Arial" w:cs="Arial" w:eastAsia="Arial" w:hAnsi="Arial"/>
          <w:sz w:val="18"/>
          <w:szCs w:val="18"/>
          <w:color w:val="auto"/>
        </w:rPr>
      </w:pPr>
    </w:p>
    <w:p>
      <w:pPr>
        <w:jc w:val="both"/>
        <w:ind w:left="380"/>
        <w:spacing w:after="0" w:line="276" w:lineRule="auto"/>
        <w:rPr>
          <w:rFonts w:ascii="Arial" w:cs="Arial" w:eastAsia="Arial" w:hAnsi="Arial"/>
          <w:sz w:val="18"/>
          <w:szCs w:val="18"/>
          <w:color w:val="auto"/>
        </w:rPr>
      </w:pPr>
      <w:r>
        <w:rPr>
          <w:rFonts w:ascii="Arial" w:cs="Arial" w:eastAsia="Arial" w:hAnsi="Arial"/>
          <w:sz w:val="17"/>
          <w:szCs w:val="17"/>
          <w:color w:val="auto"/>
        </w:rPr>
        <w:t>In July 2017, the Company entered into a license agreement with a pharmaceutical company for the access and use of certain regulatory documents to support the development of a potential product candidate. Under the terms of the agreement, the Company paid an upfront fee of $1,000, which we expensed as research and development. Future potential payments include $2,000 in clinical development milestones, up to $7,000 in regulatory milestones, which includes $1,000 expected to be paid in late 2017 or early 2018, plus a low-to-mid single-digit percentage royalty on net sales of any products developed and commercialized under the agreement.</w:t>
      </w:r>
    </w:p>
    <w:p>
      <w:pPr>
        <w:spacing w:after="0" w:line="172" w:lineRule="exact"/>
        <w:rPr>
          <w:rFonts w:ascii="Arial" w:cs="Arial" w:eastAsia="Arial" w:hAnsi="Arial"/>
          <w:sz w:val="18"/>
          <w:szCs w:val="18"/>
          <w:color w:val="auto"/>
        </w:rPr>
      </w:pPr>
    </w:p>
    <w:p>
      <w:pPr>
        <w:ind w:left="380" w:hanging="379"/>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Guarantees and indemnifications:</w:t>
      </w:r>
    </w:p>
    <w:p>
      <w:pPr>
        <w:spacing w:after="0" w:line="117" w:lineRule="exact"/>
        <w:rPr>
          <w:rFonts w:ascii="Arial" w:cs="Arial" w:eastAsia="Arial" w:hAnsi="Arial"/>
          <w:sz w:val="18"/>
          <w:szCs w:val="18"/>
          <w:color w:val="auto"/>
        </w:rPr>
      </w:pPr>
    </w:p>
    <w:p>
      <w:pPr>
        <w:jc w:val="both"/>
        <w:ind w:left="380"/>
        <w:spacing w:after="0" w:line="264" w:lineRule="auto"/>
        <w:rPr>
          <w:rFonts w:ascii="Arial" w:cs="Arial" w:eastAsia="Arial" w:hAnsi="Arial"/>
          <w:sz w:val="18"/>
          <w:szCs w:val="18"/>
          <w:color w:val="auto"/>
        </w:rPr>
      </w:pPr>
      <w:r>
        <w:rPr>
          <w:rFonts w:ascii="Arial" w:cs="Arial" w:eastAsia="Arial" w:hAnsi="Arial"/>
          <w:sz w:val="18"/>
          <w:szCs w:val="18"/>
          <w:color w:val="auto"/>
        </w:rPr>
        <w:t>The Company has entered into license and research agreements with third parties that include indemnification provisions that are customary in the industry. These indemnification provisions generally require the Company to compensate the other party for certain damages and costs incurred as a result of third party claims or damages arising from these transactions.</w:t>
      </w:r>
    </w:p>
    <w:p>
      <w:pPr>
        <w:spacing w:after="0" w:line="73" w:lineRule="exact"/>
        <w:rPr>
          <w:rFonts w:ascii="Arial" w:cs="Arial" w:eastAsia="Arial" w:hAnsi="Arial"/>
          <w:sz w:val="18"/>
          <w:szCs w:val="18"/>
          <w:color w:val="auto"/>
        </w:rPr>
      </w:pPr>
    </w:p>
    <w:p>
      <w:pPr>
        <w:jc w:val="both"/>
        <w:ind w:left="380"/>
        <w:spacing w:after="0" w:line="257" w:lineRule="auto"/>
        <w:rPr>
          <w:rFonts w:ascii="Arial" w:cs="Arial" w:eastAsia="Arial" w:hAnsi="Arial"/>
          <w:sz w:val="18"/>
          <w:szCs w:val="18"/>
          <w:color w:val="auto"/>
        </w:rPr>
      </w:pPr>
      <w:r>
        <w:rPr>
          <w:rFonts w:ascii="Arial" w:cs="Arial" w:eastAsia="Arial" w:hAnsi="Arial"/>
          <w:sz w:val="18"/>
          <w:szCs w:val="18"/>
          <w:color w:val="auto"/>
        </w:rPr>
        <w:t>The maximum amount of potential future indemnification is unlimited; however, the Company currently holds commercial and product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35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i w:val="1"/>
          <w:iCs w:val="1"/>
          <w:color w:val="auto"/>
        </w:rPr>
        <w:t>This section should be read in conjunction with our unaudited interim consolidated financial statements and related notes included in Part I, Item 1 of this report and our audited consolidated financial statements and related notes thereto and management’s discussion and analysis of financial condition and results of operations for the year ended December 31, 2016 included in our Annual Report on Form 10-K filed with the U.S. Securities and Exchange Commission on March 8, 2017 and with the securities commissions in British Columbia, Alberta and Ontario on March 8,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and Canadian securities laws. The words or phrases “would be,” “will allow,” “intends to,” “may,” “believe,” “plan,” “will likely result,” “are expected to,” “will continue,” “is anticipated,” “estimate,” “project,” or similar expressions, or the negative of such words or phrases, are intended to identify “forward-looking statements.”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w:t>
      </w:r>
      <w:r>
        <w:rPr>
          <w:rFonts w:ascii="Arial" w:cs="Arial" w:eastAsia="Arial" w:hAnsi="Arial"/>
          <w:sz w:val="17"/>
          <w:szCs w:val="17"/>
          <w:color w:val="auto"/>
        </w:rPr>
        <w:t>:</w:t>
      </w:r>
    </w:p>
    <w:p>
      <w:pPr>
        <w:spacing w:after="0" w:line="70" w:lineRule="exact"/>
        <w:rPr>
          <w:sz w:val="20"/>
          <w:szCs w:val="20"/>
          <w:color w:val="auto"/>
        </w:rPr>
      </w:pPr>
    </w:p>
    <w:p>
      <w:pPr>
        <w:ind w:left="1040" w:right="3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either from our internal research efforts or though acquiring or in-licensing other product candidates or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initiation, timing, cost, progress and success of our research and development programs, pre-clinical studies, and clinical trials;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current and future clinical trials for orphan or more common indications;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receive milestones, royalties and sublicensing fees under our collaborations, and the timing of such payments;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magnitude of potential milestone payments under our product acquisition and in-licensing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find families to support our Extreme Genetics discovery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discover genes and drug targets;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accuracy of our estimates of the size and characteristics of the markets that may be addressed by our products and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and our and our collaborators’ ability to obtain and maintain, regulatory approvals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35" w:right="299" w:bottom="1440" w:gutter="0" w:footer="0" w:header="0"/>
        </w:sectPr>
      </w:pPr>
    </w:p>
    <w:bookmarkStart w:id="12" w:name="page13"/>
    <w:bookmarkEnd w:id="12"/>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months;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developments relating to our competitors and our industry, including the success of competing therapies that are or become available;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2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except as required by law. In this report, “we,” “our,” “us,” “Xenon,” and “the Company” refer to Xenon Pharmaceuticals Inc. and its subsidiary. Unless otherwise noted, all dollar amounts in this report are expressed in United States dollars.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We are a clinical stage biopharmaceutical company focused on developing innovative therapeutics to improve the lives of patients with neurological disorders. Building upon our knowledge of human genetics and diseases caused by mutations in ion channels, known as channelopathies, we are advancing a novel neurology-focused product pipeline of ion channel modulators to address therapeutic areas of high unmet medical need, such as pain and epilepsy.</w:t>
      </w:r>
    </w:p>
    <w:p>
      <w:pPr>
        <w:spacing w:after="0" w:line="14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pharmaceutical partners include Teva Pharmaceutical Industries, Ltd., or Teva (through its subsidiary, Ivax International GmbH), Genentech, a member of the Roche Group, and Merck &amp; Co., Inc. (through its affiliate, Essex Chemie AG). Our pharmaceutical collaborations have generated in aggregate over $160.0 million in non-equity funding to date with the potential to provide us with over $1.0 billion in future milestone payments, as well as royalties and co-promotion income on product sales.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proprietary development pipeline and pharmaceutical partnerships include:</w:t>
      </w:r>
    </w:p>
    <w:p>
      <w:pPr>
        <w:spacing w:after="0" w:line="117" w:lineRule="exact"/>
        <w:rPr>
          <w:sz w:val="20"/>
          <w:szCs w:val="20"/>
          <w:color w:val="auto"/>
        </w:rPr>
      </w:pPr>
    </w:p>
    <w:p>
      <w:pPr>
        <w:ind w:left="1040" w:hanging="519"/>
        <w:spacing w:after="0" w:line="288"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XEN1101 is a next-generation Kv7 potassium channel opener for the potential treatment of epilepsy. Pre-clinically, XEN1101 has demonstrated improved pharmacokinetics, selectivity, potency and efficacy over ezogabine, an earlier generation potassium channel modulator. In October 2017, we initiated a Phase 1 first-in-human clinical trial to evaluate the safety, tolerability and pharmacokinetics of both single ascending doses and multiple ascending doses of XEN1101 in healthy subjects. The XEN1101 Phase 1 clinical trial includes a pharmacodynamic read-out incorporating a transcranial magnetic stimulation, or TMS, model, which is designed to demonstrate delivery of XEN1101 into the central nervous system by observing a change in activity through an EEG (otherwise known as an electroencephalogram) or an EMG (otherwise known as an electromyogram) reading. Following completion of the Phase 1 clinical trial, and if supported by the data, a Phase 2 proof-of-concept trial evaluating XEN1101’s efficacy as a treatment for adult focal seizures is anticipated to begin in the third quarter of 2018, with a parallel plan to advance XEN1101 as soon as feasible thereafter into rare, pediatric forms of epilepsy, such as EIEE7, an early infantile epileptic encephalopathy associated with mutations in the KCNQ2 gene and loss-of-function in the Kv7.2 potassium channel;</w:t>
      </w:r>
    </w:p>
    <w:p>
      <w:pPr>
        <w:spacing w:after="0" w:line="61" w:lineRule="exact"/>
        <w:rPr>
          <w:rFonts w:ascii="Arial" w:cs="Arial" w:eastAsia="Arial" w:hAnsi="Arial"/>
          <w:sz w:val="16"/>
          <w:szCs w:val="16"/>
          <w:color w:val="auto"/>
        </w:rPr>
      </w:pPr>
    </w:p>
    <w:p>
      <w:pPr>
        <w:ind w:left="1040" w:hanging="519"/>
        <w:spacing w:after="0" w:line="25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XEN901 is a potent, selective Nav1.6 sodium channel inhibitor for the potential treatment of epilepsy, including adult focal seizures and rare, pediatric forms of epilepsy, such as EIEE13, an early infantile epileptic encephalopathy associated with mutations in the SCN8A gene and gain-of-function in the Nav1.6 sodium channel. XEN901 has demonstrated efficacy against seizures in an animal model of Nav1.6 gain-of-function epilepsy as well as animal models that support the treatment of adult focal seizures. We expect to file an investigational new drug equivalent application in the fourth quarter of 2017;</w:t>
      </w:r>
    </w:p>
    <w:p>
      <w:pPr>
        <w:spacing w:after="0" w:line="80" w:lineRule="exact"/>
        <w:rPr>
          <w:rFonts w:ascii="Arial" w:cs="Arial" w:eastAsia="Arial" w:hAnsi="Arial"/>
          <w:sz w:val="18"/>
          <w:szCs w:val="18"/>
          <w:color w:val="auto"/>
        </w:rPr>
      </w:pPr>
    </w:p>
    <w:p>
      <w:pPr>
        <w:ind w:left="1040" w:right="80" w:hanging="519"/>
        <w:spacing w:after="0" w:line="297"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collaborator, Genentech, has completed a Phase 1 clinical trial for GDC-0310, which is an oral, selective Nav1.7 small-molecule inhibitor. Based on new data from ongoing pre-clinical toxicology studies, Genentech has indicated that GDC-0310 will not enter a Phase 2 clinical trial in the first quarter of 2018, as previously guided. Guidance around the future clinical development of GDC-0310 will be updated once these pre-clinical studies are completed and the final results are analyzed. Genentech and Xenon will continue their collaboration focused on developing novel inhibitors of Nav1.7 for the treatment of pain, as well as a second collaboration centered on pain genetics; and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13" w:name="page14"/>
    <w:bookmarkEnd w:id="13"/>
    <w:p>
      <w:pPr>
        <w:ind w:left="1040" w:right="280" w:hanging="519"/>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collaborator, Teva, is responsible for the development of TV-45070, which is a topical sodium channel inhibitor for the treatment of neuropathic pain. In June 2017, we, along with Teva, announced topline results from a Phase 2b clinical trial that evaluated the efficacy and safety of TV-45070 in patients with post-herpetic neuralgia. TV-45070 did not meet the primary or secondary endpoints in the study. We and Teva are discussing next steps for TV-45070.</w:t>
      </w:r>
    </w:p>
    <w:p>
      <w:pPr>
        <w:spacing w:after="0" w:line="187" w:lineRule="exact"/>
        <w:rPr>
          <w:sz w:val="20"/>
          <w:szCs w:val="20"/>
          <w:color w:val="auto"/>
        </w:rPr>
      </w:pPr>
    </w:p>
    <w:p>
      <w:pPr>
        <w:jc w:val="both"/>
        <w:ind w:right="440" w:firstLine="518"/>
        <w:spacing w:after="0" w:line="286" w:lineRule="auto"/>
        <w:rPr>
          <w:sz w:val="20"/>
          <w:szCs w:val="20"/>
          <w:color w:val="auto"/>
        </w:rPr>
      </w:pPr>
      <w:r>
        <w:rPr>
          <w:rFonts w:ascii="Arial" w:cs="Arial" w:eastAsia="Arial" w:hAnsi="Arial"/>
          <w:sz w:val="17"/>
          <w:szCs w:val="17"/>
          <w:color w:val="auto"/>
        </w:rPr>
        <w:t>We have funded our operations through the sale of equity securities, funding received from our licensees and collaborators and, to a lesser extent, government funding. For the nine months ended September 30, 2017, we recognized revenue, consisting primarily of funding from our collaborators of approximately $0.3 million. This compares to $1.4 million for the nine months ended September 30, 2016.</w:t>
      </w:r>
    </w:p>
    <w:p>
      <w:pPr>
        <w:spacing w:after="0" w:line="166"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We had a net loss of $22.6 million for the nine months ended September 30, 2017 and an accumulated deficit of $165.3 million as of September 30, 2017, from expenses incurred in connection with our research programs and from general and administrative costs associated with our operations and we do not expect to have sustained profitability for the foreseeable future.</w:t>
      </w:r>
    </w:p>
    <w:p>
      <w:pPr>
        <w:spacing w:after="0" w:line="18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Other than royalties we were eligible to receive from sales of Glybera under our license to uniQure BioPharma B.V., or uniQure, which have not been significant to date and which ceased in October 2017 following expiration of Glybera’s marketing authorization, we have not generated any royalty revenue from product sales, and do not otherwise anticipate generating revenue from product sales for the foreseeable future, if ever. We expect that our revenue in the near term will be substantially dependent on our collaboration agreements. Given the uncertain nature of clinical development of our current and future product candidates and the commercialization of current and future products, we cannot predict when or whether we will receive further milestone payments under our current or future collaboration agreements or whether we will be able to report either revenue or net income in future years.</w:t>
      </w:r>
    </w:p>
    <w:p>
      <w:pPr>
        <w:spacing w:after="0" w:line="165"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at least the next 12 to 24 months. We anticipate that our expenses will increase as we:</w:t>
      </w:r>
    </w:p>
    <w:p>
      <w:pPr>
        <w:spacing w:after="0" w:line="62" w:lineRule="exact"/>
        <w:rPr>
          <w:sz w:val="20"/>
          <w:szCs w:val="20"/>
          <w:color w:val="auto"/>
        </w:rPr>
      </w:pPr>
    </w:p>
    <w:p>
      <w:pPr>
        <w:ind w:left="1040" w:right="26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research and pre-clinical and clinical development of our product candidates either from our internal research efforts or through acquiring or in-licensing other product candidates or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milestone and other payments under our product acquisition and in-license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hire and retain skilled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and otherwise.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To date, our revenue has been primarily derived from collaboration and licensing agreements as well as, to a lesser extent, government funding. In addition, we have received nominal royalties from a diagnostic license and from sales of Glybera. Other than royalties we were eligible to receive from sales of Glybera under our license to uniQure, which have not been significant to date and which ceased in October 2017 following expiration of Glybera’s marketing authorization, we have not generated any royalty revenue from product sales, and do not otherwise anticipate generating revenue from product sales for the foreseeable future, if ever.</w:t>
      </w:r>
    </w:p>
    <w:p>
      <w:pPr>
        <w:spacing w:after="0" w:line="188" w:lineRule="exact"/>
        <w:rPr>
          <w:sz w:val="20"/>
          <w:szCs w:val="20"/>
          <w:color w:val="auto"/>
        </w:rPr>
      </w:pPr>
    </w:p>
    <w:p>
      <w:pPr>
        <w:ind w:right="40" w:firstLine="518"/>
        <w:spacing w:after="0" w:line="258" w:lineRule="auto"/>
        <w:rPr>
          <w:sz w:val="20"/>
          <w:szCs w:val="20"/>
          <w:color w:val="auto"/>
        </w:rPr>
      </w:pPr>
      <w:r>
        <w:rPr>
          <w:rFonts w:ascii="Arial" w:cs="Arial" w:eastAsia="Arial" w:hAnsi="Arial"/>
          <w:sz w:val="18"/>
          <w:szCs w:val="18"/>
          <w:color w:val="auto"/>
        </w:rPr>
        <w:t>The following table is a summary of revenue recognized from our current collaboration agreements for the three and nine months ended September 30, 2017 and 2016 (in thousands):</w:t>
      </w:r>
    </w:p>
    <w:tbl>
      <w:tblPr>
        <w:tblLayout w:type="fixed"/>
        <w:tblInd w:w="0" w:type="dxa"/>
        <w:tblCellMar>
          <w:top w:w="0" w:type="dxa"/>
          <w:left w:w="0" w:type="dxa"/>
          <w:bottom w:w="0" w:type="dxa"/>
          <w:right w:w="0" w:type="dxa"/>
        </w:tblCellMar>
      </w:tblPr>
      <w:tr>
        <w:trPr>
          <w:trHeight w:val="141"/>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80" w:type="dxa"/>
            <w:vAlign w:val="bottom"/>
            <w:gridSpan w:val="6"/>
          </w:tcPr>
          <w:p>
            <w:pPr>
              <w:ind w:left="260"/>
              <w:spacing w:after="0" w:line="141" w:lineRule="exact"/>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2"/>
                <w:szCs w:val="12"/>
                <w:color w:val="auto"/>
              </w:rPr>
            </w:pPr>
          </w:p>
        </w:tc>
        <w:tc>
          <w:tcPr>
            <w:tcW w:w="1720" w:type="dxa"/>
            <w:vAlign w:val="bottom"/>
            <w:gridSpan w:val="5"/>
          </w:tcPr>
          <w:p>
            <w:pPr>
              <w:jc w:val="center"/>
              <w:ind w:right="280"/>
              <w:spacing w:after="0" w:line="141" w:lineRule="exact"/>
              <w:rPr>
                <w:sz w:val="20"/>
                <w:szCs w:val="20"/>
                <w:color w:val="auto"/>
              </w:rPr>
            </w:pPr>
            <w:r>
              <w:rPr>
                <w:rFonts w:ascii="Arial" w:cs="Arial" w:eastAsia="Arial" w:hAnsi="Arial"/>
                <w:sz w:val="14"/>
                <w:szCs w:val="14"/>
                <w:b w:val="1"/>
                <w:bCs w:val="1"/>
                <w:color w:val="auto"/>
                <w:w w:val="94"/>
              </w:rPr>
              <w:t>Nine Months Ended</w:t>
            </w:r>
          </w:p>
        </w:tc>
        <w:tc>
          <w:tcPr>
            <w:tcW w:w="1740" w:type="dxa"/>
            <w:vAlign w:val="bottom"/>
          </w:tcPr>
          <w:p>
            <w:pPr>
              <w:spacing w:after="0"/>
              <w:rPr>
                <w:sz w:val="12"/>
                <w:szCs w:val="12"/>
                <w:color w:val="auto"/>
              </w:rPr>
            </w:pPr>
          </w:p>
        </w:tc>
      </w:tr>
      <w:tr>
        <w:trPr>
          <w:trHeight w:val="171"/>
        </w:trPr>
        <w:tc>
          <w:tcPr>
            <w:tcW w:w="17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Teva:</w:t>
            </w:r>
          </w:p>
        </w:tc>
        <w:tc>
          <w:tcPr>
            <w:tcW w:w="9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Research funding</w:t>
            </w:r>
          </w:p>
        </w:tc>
        <w:tc>
          <w:tcPr>
            <w:tcW w:w="1460" w:type="dxa"/>
            <w:vAlign w:val="bottom"/>
            <w:gridSpan w:val="2"/>
          </w:tcPr>
          <w:p>
            <w:pPr>
              <w:jc w:val="right"/>
              <w:ind w:right="38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70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Genentech:</w:t>
            </w:r>
          </w:p>
        </w:tc>
        <w:tc>
          <w:tcPr>
            <w:tcW w:w="9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Recognition of upfront payment</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funding</w:t>
            </w:r>
          </w:p>
        </w:tc>
        <w:tc>
          <w:tcPr>
            <w:tcW w:w="9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383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Milestone payment</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250</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collaboration revenue</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8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264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412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60" w:type="dxa"/>
            <w:vAlign w:val="bottom"/>
            <w:gridSpan w:val="2"/>
          </w:tcPr>
          <w:p>
            <w:pPr>
              <w:jc w:val="right"/>
              <w:ind w:right="444"/>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47" w:right="219" w:bottom="1440" w:gutter="0" w:footer="0" w:header="0"/>
        </w:sectPr>
      </w:pPr>
    </w:p>
    <w:bookmarkStart w:id="14" w:name="page15"/>
    <w:bookmarkEnd w:id="14"/>
    <w:p>
      <w:pPr>
        <w:ind w:firstLine="518"/>
        <w:spacing w:after="0" w:line="257" w:lineRule="auto"/>
        <w:rPr>
          <w:sz w:val="20"/>
          <w:szCs w:val="20"/>
          <w:color w:val="auto"/>
        </w:rPr>
      </w:pPr>
      <w:r>
        <w:rPr>
          <w:rFonts w:ascii="Arial" w:cs="Arial" w:eastAsia="Arial" w:hAnsi="Arial"/>
          <w:sz w:val="18"/>
          <w:szCs w:val="18"/>
          <w:color w:val="auto"/>
        </w:rPr>
        <w:t>Pursuant to the terms of our March 2014 genetics collaborative agreement with Genentech, we received an upfront payment of $1.5 million. We determined that the various deliverables under this agreement should be considered as a single unit of accounting. As such, the $1.5 million upfront payment was recognized as revenue ratably over the expected period of research performance, which was the two-year period from March 2014 to March 2016. In July 2017, we received a $0.25 million milestone payment for the identification of a second novel pain target under this agreement. We recognized the milestone payment upon achievement in July 2017.</w:t>
      </w:r>
    </w:p>
    <w:p>
      <w:pPr>
        <w:spacing w:after="0" w:line="18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As our other internal and partnered products are in various stages of clinical and pre-clinical development, we do not expect to generate any revenue from product sales for at least the next several years. We expect that revenue for the next several years will be derived from milestone payments under our current collaboration agreements and any additional collaboration agreements that we may enter into in the future. We cannot provide any assurance as to the extent or timing of future milestone payments or royalty payments or that we will receive any future payments at all.</w:t>
      </w:r>
    </w:p>
    <w:p>
      <w:pPr>
        <w:spacing w:after="0" w:line="17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expect that any revenue we generate will fluctuate quarter to quarter as a function of the timing and amount of milestones and other payments from our existing collaborations and any future collaborations.</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As of September 30, 2017, we have recognized all deferred revenue from upfront payments received under our existing collaboration and licensing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our operating expenses for the three and nine months ended September 30, 2017 and 2016 (in thousands):</w:t>
      </w:r>
    </w:p>
    <w:p>
      <w:pPr>
        <w:spacing w:after="0" w:line="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40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15,432</w:t>
            </w:r>
          </w:p>
        </w:tc>
        <w:tc>
          <w:tcPr>
            <w:tcW w:w="60" w:type="dxa"/>
            <w:vAlign w:val="bottom"/>
            <w:shd w:val="clear" w:color="auto" w:fill="CFF0FC"/>
          </w:tcPr>
          <w:p>
            <w:pPr>
              <w:spacing w:after="0"/>
              <w:rPr>
                <w:sz w:val="19"/>
                <w:szCs w:val="19"/>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60" w:type="dxa"/>
            <w:vAlign w:val="bottom"/>
            <w:tcBorders>
              <w:bottom w:val="single" w:sz="8" w:color="CFF0FC"/>
            </w:tcBorders>
          </w:tcPr>
          <w:p>
            <w:pPr>
              <w:spacing w:after="0"/>
              <w:rPr>
                <w:sz w:val="19"/>
                <w:szCs w:val="19"/>
                <w:color w:val="auto"/>
              </w:rPr>
            </w:pPr>
          </w:p>
        </w:tc>
      </w:tr>
      <w:tr>
        <w:trPr>
          <w:trHeight w:val="223"/>
        </w:trPr>
        <w:tc>
          <w:tcPr>
            <w:tcW w:w="4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8,908</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7,744</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24,819</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Research and development expenses represent costs incurred to conduct research and development of our proprietary product candidates, including any acquired or in-licensed product candidates or technology, as well as to support research and development of our product candidates in collaboration with Teva and Genentech.</w:t>
      </w:r>
    </w:p>
    <w:p>
      <w:pPr>
        <w:spacing w:after="0" w:line="1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Research and development expenses consist of costs incurred in performing research and development activities, including salary, related benefits and stock-based compensation for employees engaged in scientific research and development, third-party contract costs relating to research, formulation, manufacturing, pre-clinical studies and clinical trial activities, third-party acquisition, license and collaboration fees, laboratory consumables and allocated facility-related and information technology costs.</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Project-specific expenses reflect costs directly attributable to our clinical development candidates and our pre-clinical candidates once nominated and selected for further development, including pre-clinical and discovery costs supporting a development candidate. All remaining research and development expenses are reflected in pre-clinical, discovery and other program expenses. At any given time, we have several active early-stage research and drug discovery programs. Our personnel and infrastructure are typically deployed over multiple projects and are not directly linked to any individual internal early-stage research or drug discovery program. Therefore, we do not maintain financial information for our internal early-stage research and internal drug discovery programs on a project-specific basis.</w:t>
      </w:r>
    </w:p>
    <w:p>
      <w:pPr>
        <w:spacing w:after="0" w:line="193"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We expense all research and development costs as incurred. We expect that our research and development expenses will increase in the future as we advance our proprietary product candidates through clinical development, advance our internal drug discovery programs into pre-clinical development and continue our early-stage research. The increase in expense will likely include added personnel and third-party contracts related to research, formulation, manufacturing, pre-clinical studies and clinical trial activities as well as third-party acquisition, license and collaboration fees and laboratory consumables.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5" w:name="page16"/>
    <w:bookmarkEnd w:id="15"/>
    <w:p>
      <w:pPr>
        <w:jc w:val="both"/>
        <w:ind w:right="240" w:firstLine="518"/>
        <w:spacing w:after="0" w:line="302" w:lineRule="auto"/>
        <w:rPr>
          <w:sz w:val="20"/>
          <w:szCs w:val="20"/>
          <w:color w:val="auto"/>
        </w:rPr>
      </w:pPr>
      <w:r>
        <w:rPr>
          <w:rFonts w:ascii="Arial" w:cs="Arial" w:eastAsia="Arial" w:hAnsi="Arial"/>
          <w:sz w:val="16"/>
          <w:szCs w:val="16"/>
          <w:color w:val="auto"/>
        </w:rPr>
        <w:t>Clinical development timelines, likelihood of regulatory approval and commercialization and associated costs are uncertain and difficult to estimate and can vary significantly. We anticipate determining which research and development projects to pursue as well as the level of funding available for each project based on the scientific research and pre-clinical and clinical results of each product candidate and related regulatory action. We expect our research and development expenses to continue to represent our largest category of operating expense for at least the next 12 to 24 months.</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40" w:firstLine="518"/>
        <w:spacing w:after="0" w:line="257" w:lineRule="auto"/>
        <w:rPr>
          <w:sz w:val="20"/>
          <w:szCs w:val="20"/>
          <w:color w:val="auto"/>
        </w:rPr>
      </w:pPr>
      <w:r>
        <w:rPr>
          <w:rFonts w:ascii="Arial" w:cs="Arial" w:eastAsia="Arial" w:hAnsi="Arial"/>
          <w:sz w:val="18"/>
          <w:szCs w:val="18"/>
          <w:color w:val="auto"/>
        </w:rPr>
        <w:t>General and administrative expenses consist primarily of salary, related benefits and stock-based compensation of our executive, finance, legal, business development and administrative functions, travel expenses, allocated facility-related and information technology costs not otherwise included in research and development expenses, director compensation, director’s and officer’s insurance premiums, investor relations costs and professional fees for auditing, tax and legal services, including legal expenses for intellectual property protection. General and administrative expenses also include fair value adjustments of certain liability classified stock option awards.</w:t>
      </w:r>
    </w:p>
    <w:p>
      <w:pPr>
        <w:spacing w:after="0" w:line="188"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We expect that general and administrative expenses will increase in the future as we expand our operating activities to support increased research and development activities, and the potential build of commercial infrastructure for our option for co-promotion of TV-45070 in the U.S., if and when regulatory approval is received.</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consists of income earned on our cash and investment balances. Our interest income has not been significant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levels of cash and investment balances and low interest earned on such balances. We anticipate that our interest income will continue to fluctuate depending on timing of payments from collaborative partners, our cash and investment balances, and interest rates.</w:t>
      </w:r>
    </w:p>
    <w:p>
      <w:pPr>
        <w:spacing w:after="0" w:line="166"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i w:val="1"/>
          <w:iCs w:val="1"/>
          <w:color w:val="auto"/>
        </w:rPr>
        <w:t xml:space="preserve">Foreign Exchange Gain (Loss). </w:t>
      </w:r>
      <w:r>
        <w:rPr>
          <w:rFonts w:ascii="Arial" w:cs="Arial" w:eastAsia="Arial" w:hAnsi="Arial"/>
          <w:sz w:val="18"/>
          <w:szCs w:val="18"/>
          <w:color w:val="auto"/>
        </w:rPr>
        <w:t>Net foreign exchange gains and losses consist of gains and losses from the impact of foreign exchange fluctuations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our monetary assets and liabilities that are denominated in currencies other than the U.S. dollar (principally the Canadian dollar). See “Quantitative and Qualitative Disclosures About Market Risk – Foreign Currency Exchange Risk” below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conformity with generally accepted accounting principles in the U.S., or U.S. GAAP. The preparation of our consolidated financial statements requires us to make estimates and assumptions that affect the reported amounts of assets and liabilities and the revenue and expenses incurred during the reported periods. 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78"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Our critical accounting policies and significant estimates include those related to:</w:t>
      </w:r>
    </w:p>
    <w:p>
      <w:pPr>
        <w:spacing w:after="0" w:line="39"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and development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There have been no material changes in our critical accounting policies and significant judgements and estimates during the nine months ended September 30, 2017, as compared to those disclosed in “Management’s Discussion and Analysis of Financial Conditions and Results of Operations - Critical Accounting Policies and Significant Judgments and Estimates” included in our 2016 Annual Report on Form 10-K filed with the U.S. Securities and Exchange Commission, or SEC, and with the securities commissions in British Columbia, Alberta and Ontario, or the Canadian Securities Commissions, on March 8, 2017. We believe that the accounting policies discussed in the Annual Report are critical to understanding our historical and future performance, as these policies relate to the more significant areas involving management’s judgments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Three and Nine Months Ended September 30, 2017 and 2016</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following table summarizes the results of our operations for the three and nine months ended September 30, 2017 and 2016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9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71"/>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2017 vs. 2016</w:t>
            </w:r>
          </w:p>
        </w:tc>
        <w:tc>
          <w:tcPr>
            <w:tcW w:w="200" w:type="dxa"/>
            <w:vAlign w:val="bottom"/>
          </w:tcPr>
          <w:p>
            <w:pPr>
              <w:spacing w:after="0"/>
              <w:rPr>
                <w:sz w:val="14"/>
                <w:szCs w:val="14"/>
                <w:color w:val="auto"/>
              </w:rPr>
            </w:pPr>
          </w:p>
        </w:tc>
        <w:tc>
          <w:tcPr>
            <w:tcW w:w="19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2017 vs. 2016</w:t>
            </w:r>
          </w:p>
        </w:tc>
      </w:tr>
      <w:tr>
        <w:trPr>
          <w:trHeight w:val="156"/>
        </w:trPr>
        <w:tc>
          <w:tcPr>
            <w:tcW w:w="4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150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Increase/(Decrease)</w:t>
            </w: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3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96"/>
              </w:rPr>
              <w:t>Increase/(Decrease)</w:t>
            </w: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Royalties</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3,744</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gain (loss)</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(523)</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Revenue decreased by $0.1 million and $1.1 million in the three and nine months ended September 30, 2017 as compared to the three and nine months ended September 30, 2016, respectively. In 2016, we recognized revenue related to the upfront payment from the March 2014 genetics collaborative agreement with Genentech, which was fully recognized by March 2016. The remaining decrease as compared to the same periods in 2016 was mainly due to the expiration of FTE funding from Genentech in 2017 as we shifted resources from supporting our collaborations to our proprietary programs, partially offset by a $0.25 million milestone payment recognized in July 2017 under the March 2014 genetics collaborative agreement with Genentech.</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table summarizes research and development expenses for the three and nine months ended September 30, 2017 and 2016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9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71"/>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2017 vs. 2016</w:t>
            </w:r>
          </w:p>
        </w:tc>
        <w:tc>
          <w:tcPr>
            <w:tcW w:w="200" w:type="dxa"/>
            <w:vAlign w:val="bottom"/>
          </w:tcPr>
          <w:p>
            <w:pPr>
              <w:spacing w:after="0"/>
              <w:rPr>
                <w:sz w:val="14"/>
                <w:szCs w:val="14"/>
                <w:color w:val="auto"/>
              </w:rPr>
            </w:pPr>
          </w:p>
        </w:tc>
        <w:tc>
          <w:tcPr>
            <w:tcW w:w="19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2017 vs. 2016</w:t>
            </w:r>
          </w:p>
        </w:tc>
      </w:tr>
      <w:tr>
        <w:trPr>
          <w:trHeight w:val="156"/>
        </w:trPr>
        <w:tc>
          <w:tcPr>
            <w:tcW w:w="43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4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Increase/(Decrease)</w:t>
            </w: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3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96"/>
              </w:rPr>
              <w:t>Increase/(Decrease)</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expenses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XEN801 expenses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(2,484)</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(3,267)</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w w:val="96"/>
              </w:rPr>
              <w:t>XEN901 and Nav1.6 pre-clinical and discovery expenses</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XEN1101 expenses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Pre-clinical, discovery and other program expenses</w:t>
            </w: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3,264</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2,718</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6,659</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4,277</w:t>
            </w:r>
          </w:p>
        </w:tc>
        <w:tc>
          <w:tcPr>
            <w:tcW w:w="100" w:type="dxa"/>
            <w:vAlign w:val="bottom"/>
            <w:shd w:val="clear" w:color="auto" w:fill="CFF0FC"/>
          </w:tcPr>
          <w:p>
            <w:pPr>
              <w:spacing w:after="0"/>
              <w:rPr>
                <w:sz w:val="19"/>
                <w:szCs w:val="19"/>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7,164</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19,176</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15,432</w:t>
            </w:r>
          </w:p>
        </w:tc>
        <w:tc>
          <w:tcPr>
            <w:tcW w:w="2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Research and development expenses increased by $1.2 million and $3.7 million in the three and nine months ended September 30, 2017 as compared to the three and nine months ended September 30, 2016, respectively. These increases were primarily attributable to increased spending on our pre-clinical, discovery and other internal programs, our XEN1101 product candidate which was acquired in April 2017, and our XEN901 product candidate. These increases were partially offset by a decrease in XEN801 expenses, a product candidate which is no longer being developed, and a decrease in collaboration expenses.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following table summarizes general and administrative expenses for the three and nine months ended September 30, 2017 and 2016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19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r>
      <w:tr>
        <w:trPr>
          <w:trHeight w:val="171"/>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2017 vs. 2016</w:t>
            </w:r>
          </w:p>
        </w:tc>
        <w:tc>
          <w:tcPr>
            <w:tcW w:w="180" w:type="dxa"/>
            <w:vAlign w:val="bottom"/>
          </w:tcPr>
          <w:p>
            <w:pPr>
              <w:spacing w:after="0"/>
              <w:rPr>
                <w:sz w:val="14"/>
                <w:szCs w:val="14"/>
                <w:color w:val="auto"/>
              </w:rPr>
            </w:pPr>
          </w:p>
        </w:tc>
        <w:tc>
          <w:tcPr>
            <w:tcW w:w="19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2017 vs. 2016</w:t>
            </w:r>
          </w:p>
        </w:tc>
      </w:tr>
      <w:tr>
        <w:trPr>
          <w:trHeight w:val="156"/>
        </w:trPr>
        <w:tc>
          <w:tcPr>
            <w:tcW w:w="43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140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2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32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0"/>
              </w:rPr>
              <w:t>Increase/(Decrease)</w:t>
            </w: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1,744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7" w:name="page18"/>
    <w:bookmarkEnd w:id="17"/>
    <w:p>
      <w:pPr>
        <w:ind w:right="180" w:firstLine="518"/>
        <w:spacing w:after="0" w:line="312" w:lineRule="auto"/>
        <w:rPr>
          <w:sz w:val="20"/>
          <w:szCs w:val="20"/>
          <w:color w:val="auto"/>
        </w:rPr>
      </w:pPr>
      <w:r>
        <w:rPr>
          <w:rFonts w:ascii="Arial" w:cs="Arial" w:eastAsia="Arial" w:hAnsi="Arial"/>
          <w:sz w:val="16"/>
          <w:szCs w:val="16"/>
          <w:color w:val="auto"/>
        </w:rPr>
        <w:t>For the three months ended September 30, 2017, general and administrative expenses did not change significantly as compared to the same period in 2016. General and administrative expenses increased by $0.3 million in the nine months ended September 30, 2017 as compared to the nine months ended September 30, 2016. This increase was primarily attributable to increased costs for business development activities and salaries and benefits.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 summarizes our other income for the three and nine months ended September 30, 2017 and 2016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40" w:type="dxa"/>
            <w:vAlign w:val="bottom"/>
            <w:gridSpan w:val="4"/>
          </w:tcPr>
          <w:p>
            <w:pPr>
              <w:jc w:val="center"/>
              <w:ind w:left="247"/>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19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r>
      <w:tr>
        <w:trPr>
          <w:trHeight w:val="171"/>
        </w:trPr>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40" w:type="dxa"/>
            <w:vAlign w:val="bottom"/>
            <w:gridSpan w:val="4"/>
          </w:tcPr>
          <w:p>
            <w:pPr>
              <w:jc w:val="center"/>
              <w:ind w:left="247"/>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2017 vs. 2016</w:t>
            </w:r>
          </w:p>
        </w:tc>
        <w:tc>
          <w:tcPr>
            <w:tcW w:w="180" w:type="dxa"/>
            <w:vAlign w:val="bottom"/>
          </w:tcPr>
          <w:p>
            <w:pPr>
              <w:spacing w:after="0"/>
              <w:rPr>
                <w:sz w:val="14"/>
                <w:szCs w:val="14"/>
                <w:color w:val="auto"/>
              </w:rPr>
            </w:pPr>
          </w:p>
        </w:tc>
        <w:tc>
          <w:tcPr>
            <w:tcW w:w="19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2017 vs. 2016</w:t>
            </w:r>
          </w:p>
        </w:tc>
      </w:tr>
      <w:tr>
        <w:trPr>
          <w:trHeight w:val="156"/>
        </w:trPr>
        <w:tc>
          <w:tcPr>
            <w:tcW w:w="3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21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140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2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32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0"/>
              </w:rPr>
              <w:t>Increase/(Decrease)</w:t>
            </w:r>
          </w:p>
        </w:tc>
      </w:tr>
      <w:tr>
        <w:trPr>
          <w:trHeight w:val="223"/>
        </w:trPr>
        <w:tc>
          <w:tcPr>
            <w:tcW w:w="3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902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6"/>
              </w:rPr>
              <w:t>(383)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Other income (expense) increased by $1.3 million and decreased by $0.5 million in the three and nine months ended September 30, 2017 as compared to the three and nine months ended September 30, 2016, respectively. The change in other income (expense) was primarily driven by the change in foreign exchange gains and losses arising largely from the translation of cash and cash equivalents and marketable securities denominated in Canadian dollars to U.S. dollars. We recorded a foreign exchange gain of $0.8 million as compared to a loss of $0.5 million during the three months ended September 30, 2017 and 2016 due to a 4% increase and 2% decrease in the value of the Canadian dollar, respectively. During the nine month periods ended September 30, 2017 and 2016, we recorded foreign exchange gains of $1.5 million and $2.0 million due to an 8% and 6% increase in the value of the Canadian dollar,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To date, we have financed our operations primarily through funding received from collaboration and license agreements, private placements of our common and preferred shares and public offerings of our common shares and, to a lesser extent, through the receipt of government funding. As of September 30, 2017, we had cash and cash equivalents and marketable securities of $43.8 million. In September 2016, we completed an underwritten public offering of 3,450,000 of our common shares at a public offering price of $7.50 per common share. We received approximately $24.3 million of proceeds, net of underwriting discounts and commissions but before offering expenses.</w:t>
      </w:r>
    </w:p>
    <w:p>
      <w:pPr>
        <w:spacing w:after="0" w:line="18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have incurred significant operating losses since inception. We had a $22.6 million net loss for the nine months ended September 30, 2017 and an accumulated deficit of $165.3 million from inception through September 30, 2017. We expect to continue to incur significant expenses in excess of our revenue and expect to incur operating losses over the next several years. Our net losses may fluctuate significantly from quarter to quarter and year to year. We expect to continue to incur significant expenses and operating losses for the foreseeable future as we continue our research and pre-clinical and clinical development of our product candidates; expand the scope of our current studies for our product candidates; initiate additional pre-clinical, clinical or other studies for our product candidates, including under our collaboration agreements; change or add manufacturers or suppliers; seek regulatory and marketing approvals for any of our product candidates that successfully complete clinical studies; seek to identify, evaluate and validate additional product candidates; acquire or in-license other product candidates and technologies; make milestone or other payments under our product acquisition and in-license agreements, including, without limitation, our agreements with the University of British Columbia, the Memorial University of Newfoundland, 1st Order Pharmaceuticals, Inc., or 1st Order, Valeant Pharmaceuticals International, Inc., or Valeant, and other third parties; maintain, protect and expand our intellectual property portfolio; attract and retain skilled personnel; establish a sales, marketing and distribution infrastructure to commercialize any products for which we or one of our collaborators may obtain marketing approval, and maintain commercial rights; create additional infrastructure to support our operations and our product development and planned future commercialization efforts; and experience any delays or encounter issues with any of the above.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8" w:name="page19"/>
    <w:bookmarkEnd w:id="18"/>
    <w:p>
      <w:pPr>
        <w:ind w:firstLine="518"/>
        <w:spacing w:after="0" w:line="270" w:lineRule="auto"/>
        <w:rPr>
          <w:sz w:val="20"/>
          <w:szCs w:val="20"/>
          <w:color w:val="auto"/>
        </w:rPr>
      </w:pPr>
      <w:r>
        <w:rPr>
          <w:rFonts w:ascii="Arial" w:cs="Arial" w:eastAsia="Arial" w:hAnsi="Arial"/>
          <w:sz w:val="17"/>
          <w:szCs w:val="17"/>
          <w:color w:val="auto"/>
        </w:rPr>
        <w:t>Until such time as we can generate substantial product revenue, if ever, we expect to finance our cash needs through a combination of collaboration agreements and equity or debt financings. Except for any obligations of our collaborators to reimburse us for research and development expenses or to make milestone payments under our agreements with them, we do not have any committed external sources of capital. To the extent that we raise additional capital through the future sale of equity or debt, the ownership interest of our shareholders will be diluted, and the terms of these securities may include liquidation or other preferences that adversely affect the rights of our existing common shareholders. If we raise additional funds through collaboration agreements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40" w:right="22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 either from our internal research efforts or through acquiring or in-licensing other product candidates or technologies;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independently researching and developing any of our future product candidates, including conducting pre-clinical research and clinical trials;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ultimately, royalties on future approved products for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 we develop independently;</w:t>
      </w:r>
    </w:p>
    <w:p>
      <w:pPr>
        <w:spacing w:after="0" w:line="128" w:lineRule="exact"/>
        <w:rPr>
          <w:rFonts w:ascii="Arial" w:cs="Arial" w:eastAsia="Arial" w:hAnsi="Arial"/>
          <w:sz w:val="17"/>
          <w:szCs w:val="17"/>
          <w:color w:val="auto"/>
        </w:rPr>
      </w:pPr>
    </w:p>
    <w:p>
      <w:pPr>
        <w:ind w:left="1040" w:right="8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future commercialization activities, if any, including activities required pursuant to our option to co-promote TV-45070, if exercised by us, and the cost of commercializing any future products we develop independently that are approved for sale;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products, if any;</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defending and enforcing patents, including litigation costs and the outcome of such litigation;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collaborators’ product candidates, and our future products, if any.</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Based on our research and development plans and our timing expectations related to the progress of our programs, we expect that our existing cash and cash equivalents and marketable securities as of the date of this report and research funding that we expect to receive under our existing collaborations, will enable us to fund our operating expenses and capital expenditure requirements for at least the next 12 months. We have based this estimate on assumptions that may prove to be wrong, and we could use our capital resources sooner than we expect. Additionally, the process of testing drug candidates in clinical trials is costly, and the timing of progress in these trials remains uncertain.</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2017 and 2016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5320" w:type="dxa"/>
            <w:vAlign w:val="bottom"/>
            <w:tcBorders>
              <w:bottom w:val="single" w:sz="8" w:color="CFF0FC"/>
            </w:tcBorders>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7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(21,888)</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(14,897)</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18,491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(15,616)</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23,916</w:t>
            </w:r>
          </w:p>
        </w:tc>
        <w:tc>
          <w:tcPr>
            <w:tcW w:w="12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For the nine months ended September 30, 2017, net cash used in operating activities totaled $21.9 million, compared to $14.9 million for the same period in 2016. The change was primarily related to a $3.7 million increase in research and development expenses, a $1.1 million decrease in revenue, and changes in working capital.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 w:name="page20"/>
    <w:bookmarkEnd w:id="19"/>
    <w:p>
      <w:pPr>
        <w:ind w:left="2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For the nine months ended September 30, 2017, net cash provided by investing activities totaled $18.5 million, compared to net cash used in investing activities of $15.6 million for the same period in 2016. The change was driven by the maturity of marketable securities, net of purchases in the nine months ended September 30, 2017 as compared to the purchase of marketable securities in the same period in 2016.</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For the nine months ended September 30, 2017, net cash provided by financing activities totaled $0.2 million, compared to $23.9 million for same period in 2016. The change was primarily related to $23.8 million of net proceeds from the issuance of our common shares in an underwritten public offering completed in September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Our future significant contractual obligations as of December 31, 2016 were reported in our Annual Report on Form 10-K, filed with the SEC and the Canadian Securities Commissions on March 8, 2017.</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As of September 30, 2017, there have been no material changes from the contractual commitments previously disclosed in the Annual Report on Form 10-K other than the following:</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March 2017, we entered into a license, manufacture and supply agreement with a pharmaceutical contract manufacturing organization for the access and use of certain regulatory documents as well as for the manufacture and supply of clinical and commercial drug product to support the development of a potential product candidate. Under the terms of the agreement, we paid an upfront fee of $0.5 million CAD and will be required to pay a low single-digit percentage royalty on net sales of any products developed and commercialized under the agreement.</w:t>
      </w:r>
    </w:p>
    <w:p>
      <w:pPr>
        <w:spacing w:after="0" w:line="187"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In April 2017, we acquired XEN1101 (previously known as 1OP2198) from 1st Order pursuant to an asset purchase agreement. 1st Order previously acquired 1OP2198 from an affiliate of Valeant, and we have assumed certain financial responsibilities under that agreement. Under the terms of the agreement, we paid an upfront fee of $0.4 million, which we expensed as research and development, and expect to pay an additional $0.7 million in milestones in 2017. Future potential payments to both 1st Order and Valeant include $1.0 million in clinical development milestones, up to $13.0 million in regulatory milestones, and up to approximately $33.6 million in sales-based and other milestones, which includes a $1.5 million milestone that may be payable pre-commercially, plus a mid-to-high single-digit percentage royalty on commercial sales.</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July 2017, we entered into a license agreement with a pharmaceutical company for the access and use of certain regulatory documents to support the development of a potential product candidate. Under the terms of the agreement, we paid an upfront fee of $1.0 million, which we expensed as research and development. Future potential payments include $2.0 million in clinical development milestones, up to $7.0 million in regulatory milestones, which includes $1.0 million expected to be paid in late 2017 or early 2018, plus a low-to-mid single-digit percentage royalty on net sales of any products developed and commercialized under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in the last three fiscal years.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purposes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121"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As of November 3, 2017, we had 17,998,420 common shares issued and outstanding and outstanding stock options to purchase an additional 2,378,220 common shares.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May 2014, the Financial Accounting Standards Board, or FASB, issued Accounting Standards Update, or ASU, 2014-09, Revenue from Contracts with Customers (ASC 606) to clarify the principles of recognizing revenue and to develop a common revenue standard that would remove inconsistencies in revenue requirements, leading to improved comparability of revenue recognition practices across entities and industries. The standard, as subsequently amended, stipulates that an entity should recognize revenue to depict the transfer of promised goods or services to customers in an amount that reflects the consideration to which the entity expects to be entitled in exchange for those goods or services. The new guidance will be effective for public entities for fiscal years and interim periods within those years, beginning after December 15, 2017. ASC 606 may be adopted using one of two methods: the full retrospective method, which requires the standard to be applied to each prior period presented, or the modified retrospective method, which requires the cumulative effect of adoption to be recognized as an adjustment to opening retained earnings in the period of adoption. We anticipate the adoption of the standard under the modified retrospective approach on January 1, 2018. We have begun our evaluation and identified two significant collaboration agreements with respect to revenue, the collaborative development and license agreements with Teva and Genentech, described in notes 9(a) and (b), respectively, to our audited consolidated financial statements included in our 2016 Annual Report on Form 10-K for the year ended December 31, 2016. We are continuing to evaluate the new guidance as it applies to revenue previously recognized, milestone payments we are eligible to receive in future periods under these agreements, as well as financial statement disclosures.</w:t>
      </w:r>
    </w:p>
    <w:p>
      <w:pPr>
        <w:spacing w:after="0" w:line="188" w:lineRule="exact"/>
        <w:rPr>
          <w:sz w:val="20"/>
          <w:szCs w:val="20"/>
          <w:color w:val="auto"/>
        </w:rPr>
      </w:pPr>
    </w:p>
    <w:p>
      <w:pPr>
        <w:ind w:right="280" w:firstLine="518"/>
        <w:spacing w:after="0" w:line="255" w:lineRule="auto"/>
        <w:rPr>
          <w:sz w:val="20"/>
          <w:szCs w:val="20"/>
          <w:color w:val="auto"/>
        </w:rPr>
      </w:pPr>
      <w:r>
        <w:rPr>
          <w:rFonts w:ascii="Arial" w:cs="Arial" w:eastAsia="Arial" w:hAnsi="Arial"/>
          <w:sz w:val="18"/>
          <w:szCs w:val="18"/>
          <w:color w:val="auto"/>
        </w:rPr>
        <w:t>In February 2016, the FASB issued ASU 2016-02, Leases (Topic 842): Recognition and Measurement of Financial Assets and Financial Liabilities. The update requires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These amendments will be effective for public entities for fiscal years and interim periods within those years, beginning after December 15, 2018. We are currently evaluating the new guidance to determine the impact it will have on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We are exposed to various market risks in the ordinary course of our business, including changes in interest rates and currency exchange rates. Market risk is the potential loss arising from adverse changes in interest rates and exchange rates.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The principal market risk we face is foreign currency exchange rate risk. We face this risk, in part, as a result of entering into transactions denominated in currencies other than U.S. dollars, particularly those denominated in Canadian dollars. We also hold non-U.S. dollar denominated cash and cash equivalents, marketable securities, accounts receivable and accounts payable, which are denominated in Canadian dollars.</w:t>
      </w:r>
    </w:p>
    <w:p>
      <w:pPr>
        <w:spacing w:after="0" w:line="166"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Changes in foreign currency exchange rates can create significant foreign exchange gains or losses to us. Our current foreign currency risk is with the Canadian dollar, as a majority of our non-U.S. dollar denominated expenses are denominated in Canadian dollars and a significant portion of our cash and cash equivalents and marketable securities are held in Canadian dollars. To limit our exposure to volatility in currency markets, we estimate our anticipated expenses that will be denominated in Canadian and U.S. dollars and then purchase a corresponding amount of Canadian or U.S. dollars at the current spot rate. Once these estimated expense amounts are acquired, we do not hedge our exposure and thus assume the risk of future gains or losses on the amounts of Canadian dollars held. At September 30, 2017, we held cash and cash equivalents and marketable securities of $18.8 million denominated in Canadian dollars. A hypothetical 10% increase (decrease) in the value of the Canadian dollar would result in a foreign exchange gain (loss) of $1.9 million being recorded in the Statement of Operations on the translation of these Canadian dollar cash and cash equivalent balances into the U.S. dollar functional currency.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An additional market risk we face is interest rate risk. We had cash and cash equivalents and marketable securities of $43.8 million as of September 30, 2017.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 term nature of our cash and cash equivalents and marketable securities. Declines in interest rates, however, would reduce future investment income. A 10% change in interest rates during any of the periods presented would not have had a material impact on our financial statements. Such interest-earning instruments carry a degree of interest rate risk. We had no outstanding debt as of September 30, 2017.</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40" w:firstLine="526"/>
        <w:spacing w:after="0" w:line="257" w:lineRule="auto"/>
        <w:tabs>
          <w:tab w:leader="none" w:pos="7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Evaluation of disclosure controls and procedures. Our management, with the participation of our Chief Executive Officer and our Chief Financial Officer, have evaluated our disclosure controls and procedures (as defined in Rules 13a-15(e) and 15d-15(e) under the Securities Exchange Act of 1934, as amended) as of the end of the period covered by this quarterly report. Based on that evaluation, our Chief Executive Officer and our Chief Financial Officer have concluded that, as of the end of the period covered by this quarterly report, our disclosure controls and procedures were effective, in design and operation, at the reasonable assurance level.</w:t>
      </w:r>
    </w:p>
    <w:p>
      <w:pPr>
        <w:spacing w:after="0" w:line="188" w:lineRule="exact"/>
        <w:rPr>
          <w:rFonts w:ascii="Arial" w:cs="Arial" w:eastAsia="Arial" w:hAnsi="Arial"/>
          <w:sz w:val="18"/>
          <w:szCs w:val="18"/>
          <w:color w:val="auto"/>
        </w:rPr>
      </w:pPr>
    </w:p>
    <w:p>
      <w:pPr>
        <w:ind w:right="20" w:firstLine="526"/>
        <w:spacing w:after="0" w:line="308" w:lineRule="auto"/>
        <w:tabs>
          <w:tab w:leader="none" w:pos="773"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w:t>
      </w:r>
      <w:r>
        <w:rPr>
          <w:rFonts w:ascii="Arial" w:cs="Arial" w:eastAsia="Arial" w:hAnsi="Arial"/>
          <w:sz w:val="17"/>
          <w:szCs w:val="17"/>
          <w:i w:val="1"/>
          <w:iCs w:val="1"/>
          <w:color w:val="auto"/>
        </w:rPr>
        <w:t>.</w:t>
      </w:r>
      <w:r>
        <w:rPr>
          <w:rFonts w:ascii="Arial" w:cs="Arial" w:eastAsia="Arial" w:hAnsi="Arial"/>
          <w:sz w:val="17"/>
          <w:szCs w:val="17"/>
          <w:color w:val="auto"/>
        </w:rPr>
        <w:t xml:space="preserve"> There were no changes in our internal control over financial reporting during the period ended September 30, 2017 that have materially affected, or are reasonably likely to materially affect, our internal control over financial reporting.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the effectiveness of internal control.</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pacing w:after="0" w:line="27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report, including the section of this report captioned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report on Form 10-Q also contains forward-looking statements that involve risks and uncertainties. Our actual results could differ materially from those anticipated in the forward-looking statements as a result of factors that are described below and elsewhere in this report.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have incurred significant losses since our inception and anticipate that we will continue to incur significant losses for the foreseeable future.</w:t>
      </w:r>
    </w:p>
    <w:p>
      <w:pPr>
        <w:spacing w:after="0" w:line="140" w:lineRule="exact"/>
        <w:rPr>
          <w:sz w:val="20"/>
          <w:szCs w:val="20"/>
          <w:color w:val="auto"/>
        </w:rPr>
      </w:pPr>
    </w:p>
    <w:p>
      <w:pPr>
        <w:ind w:right="280" w:firstLine="518"/>
        <w:spacing w:after="0" w:line="302" w:lineRule="auto"/>
        <w:rPr>
          <w:sz w:val="20"/>
          <w:szCs w:val="20"/>
          <w:color w:val="auto"/>
        </w:rPr>
      </w:pPr>
      <w:r>
        <w:rPr>
          <w:rFonts w:ascii="Arial" w:cs="Arial" w:eastAsia="Arial" w:hAnsi="Arial"/>
          <w:sz w:val="16"/>
          <w:szCs w:val="16"/>
          <w:color w:val="auto"/>
        </w:rPr>
        <w:t>We are a clinical-stage biotechnology company and, other than the years ended December 31, 2014 and 2013, we have recorded net losses in each annual reporting period since inception in 1996, and we do not expect to have sustained profitability for the foreseeable future. We had net losses of $22.6 million for the nine months ended September 30, 2017 and an accumulated deficit of $165.3 million as of September 30, 2017, which were driven by expenses incurred in connection with our research programs and from general and administrative costs associated with our operations.</w:t>
      </w:r>
    </w:p>
    <w:p>
      <w:pPr>
        <w:spacing w:after="0" w:line="154"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pre-clinical development activities. To date, we have financed our operations through the sale of equity securities, funding received from our licensees and collaborators and, to a lesser extent, government funding. Other than royalties we were eligible to receive from sales of Glybera under our license to uniQure Biopharma B.V., or uniQure, which have not been significant to date and which ceased in October 2017 following expiration of Glybera’s marketing authorization, we have not generated any royalty revenue from product sales and our product candidates will require substantial additional investment before they will provide us with any product royalty revenue.</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17"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our research and pre-clinical and clinical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for our product candidates, including under our collaboration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7" w:lineRule="exact"/>
        <w:rPr>
          <w:rFonts w:ascii="Arial" w:cs="Arial" w:eastAsia="Arial" w:hAnsi="Arial"/>
          <w:sz w:val="18"/>
          <w:szCs w:val="18"/>
          <w:color w:val="auto"/>
        </w:rPr>
      </w:pPr>
    </w:p>
    <w:p>
      <w:pPr>
        <w:ind w:left="1040" w:right="20" w:hanging="519"/>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milestone or other payments under our in-license agreements, including, without limitation, our agreements with the University of British Columbia, the Memorial University of Newfoundland, 1st Order Pharmaceuticals, Inc., an affiliate of Valeant Pharmaceuticals International, Inc. and other third parties;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or one of our collaborators may obtain marketing approval, and for which we have maintained commercial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and our product development and planned future commercialization efforts;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expenses could increase beyond expectations for a variety of reasons, including if we are required by the U.S. Food and Drug Administration, or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shareholders’ equity.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3" w:name="page24"/>
    <w:bookmarkEnd w:id="23"/>
    <w:p>
      <w:pPr>
        <w:ind w:left="260"/>
        <w:spacing w:after="0"/>
        <w:rPr>
          <w:sz w:val="20"/>
          <w:szCs w:val="20"/>
          <w:color w:val="auto"/>
        </w:rPr>
      </w:pPr>
      <w:r>
        <w:rPr>
          <w:rFonts w:ascii="Arial" w:cs="Arial" w:eastAsia="Arial" w:hAnsi="Arial"/>
          <w:sz w:val="15"/>
          <w:szCs w:val="15"/>
          <w:b w:val="1"/>
          <w:bCs w:val="1"/>
          <w:i w:val="1"/>
          <w:iCs w:val="1"/>
          <w:color w:val="auto"/>
        </w:rPr>
        <w:t>Other than royalties from sales of Glybera, we have not generated any royalty revenue from product sales and may never become profitable on a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basis.</w:t>
      </w:r>
    </w:p>
    <w:p>
      <w:pPr>
        <w:spacing w:after="0" w:line="103"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Our ability to generate meaningful revenue and achieve profitability on a U.S. GAAP basis depends on our ability, alone or with strategic collaborators, to successfully complete the development of, and obtain the regulatory approvals necessary to commercialize, our product candidates. Substantially all of our revenue since inception has consisted of upfront and milestone payments associated with our collaboration and license agreements. Revenue from these agreements is dependent on successful development of our product candidates by us or our collaborators. Other than royalties we were eligible to receive from sales of Glybera under our license to uniQure, which have not been significant to date and which ceased in October 2017 following expiration of Glybera’s marketing authorization, we have not generated any royalty revenue from product sales, and do not otherwise anticipate generating revenue from product sales for the foreseeable future, if ever. If any of our product candidates fail in clinical trials or do not gain regulatory approval, or if any of our future products, if any, once approved, fail to achieve market acceptance or adequate market share, we may never become profitable. Although we were profitable for the years ended December 31, 2014 and 2013, we may not be able to sustain profitability in subsequent periods. Our ability to generate future revenue from product sales depends heavily on our success, and the success of our collaborators, in:</w:t>
      </w:r>
    </w:p>
    <w:p>
      <w:pPr>
        <w:spacing w:after="0" w:line="61"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completing research, pre-clinical and clinical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studies;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commercializing products for which we obtain regulatory and marketing approval, either with a collaborator or, if launched independently, by establishing sales, marketing and distribution infrastructure;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market acceptance of products for which we obtain regulatory and marketing approval as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1040" w:right="520" w:hanging="519"/>
        <w:spacing w:after="0" w:line="30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relationships with third parties that can provide adequate (in amount and quality) products and services to support clinical development and the market demand for any approved products in the future;</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developing sustainable, scalable, reproducible, and transferable manufacturing processes for any of our products approved in the future;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maintaining, protecting, expanding and enforcing our portfolio of intellectual property rights, including patents, trade secrets and know-how;</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scope of our future revenue will also depend upon the size of any markets in which our product candidates receive approval and the availability of insurance coverage and the availability and amount of reimbursement from third-party payers for future products, if any. If we are unable to achieve sufficient revenue to become profitable and remain so, our financial condition and operating results will be negatively impacted, and the market price of our common shares might be adversely impacted.</w:t>
      </w:r>
    </w:p>
    <w:p>
      <w:pPr>
        <w:spacing w:after="0" w:line="295"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b w:val="1"/>
          <w:bCs w:val="1"/>
          <w:i w:val="1"/>
          <w:iCs w:val="1"/>
          <w:color w:val="auto"/>
        </w:rPr>
        <w:t>We will likely need to raise additional funding, which may not be available on acceptable terms, if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300" w:firstLine="518"/>
        <w:spacing w:after="0" w:line="273" w:lineRule="auto"/>
        <w:rPr>
          <w:sz w:val="20"/>
          <w:szCs w:val="20"/>
          <w:color w:val="auto"/>
        </w:rPr>
      </w:pPr>
      <w:r>
        <w:rPr>
          <w:rFonts w:ascii="Arial" w:cs="Arial" w:eastAsia="Arial" w:hAnsi="Arial"/>
          <w:sz w:val="17"/>
          <w:szCs w:val="17"/>
          <w:color w:val="auto"/>
        </w:rPr>
        <w:t>Since our inception, we have dedicated most of our resources to the discovery and development of our proprietary pre-clinical and clinical product candidates, and we expect to continue to expend substantial resources doing so for the foreseeable future. These expenditures will include costs associated with research and development, potential milestone payments to third parties, manufacturing of product candidates and products approved for sale, conducting pre-clinical experiments and clinical trials and obtaining and maintaining regulatory approvals, as well as commercializing any products later approved for sale. During the nine months ended September 30, 2017, we incurred approximately $19.2 million of costs associated with research and development, exclusive of costs incurred by our collaborators in developing our product candidates.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4" w:name="page25"/>
    <w:bookmarkEnd w:id="24"/>
    <w:p>
      <w:pPr>
        <w:ind w:right="20" w:firstLine="518"/>
        <w:spacing w:after="0" w:line="259" w:lineRule="auto"/>
        <w:rPr>
          <w:sz w:val="20"/>
          <w:szCs w:val="20"/>
          <w:color w:val="auto"/>
        </w:rPr>
      </w:pPr>
      <w:r>
        <w:rPr>
          <w:rFonts w:ascii="Arial" w:cs="Arial" w:eastAsia="Arial" w:hAnsi="Arial"/>
          <w:sz w:val="18"/>
          <w:szCs w:val="18"/>
          <w:color w:val="auto"/>
        </w:rPr>
        <w:t>Our current cash and cash equivalents and marketable securities are not expected to be sufficient to complete clinical development of any of our product candidates and prepare for commercializing any product candidate which receives regulatory approval. Accordingly, we will likely require substantial additional capital to continue our clinical development and potential commercialization activities. Our future capital requirements depend on many factors, including but not limited to:</w:t>
      </w:r>
    </w:p>
    <w:p>
      <w:pPr>
        <w:spacing w:after="0" w:line="79" w:lineRule="exact"/>
        <w:rPr>
          <w:sz w:val="20"/>
          <w:szCs w:val="20"/>
          <w:color w:val="auto"/>
        </w:rPr>
      </w:pPr>
    </w:p>
    <w:p>
      <w:pPr>
        <w:ind w:left="1040" w:right="2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 either from our internal research efforts or through acquiring or in-licensing other product candidates or technologies;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independently researching and developing any of our future product candidates, including conducting pre-clinical research and clinical trials;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ultimately, royalties on future approved products for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 we develop independently;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magnitude of potential milestone payments under our product acquisition and in-license agreements;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future commercialization activities, including activities required pursuant to our option to co-promote TV-45070, if exercised by us, and the cost of commercializing any future products we develop independently that are approved for sale;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products, if any;</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agreements;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are unable to estimate the funds we will actually require to complete research and development of our product candidates or the funds required to commercialize any resulting product in the future.</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Based on our research and development plans and our timing expectations related to the progress of our programs, we expect that our existing cash and cash equivalents and marketable securities as of the date of this report and research funding that we expect to receive under our existing collaborations, will enable us to fund our operating expenses and capital expenditure requirements for at least the next 12 months.</w:t>
      </w:r>
    </w:p>
    <w:p>
      <w:pPr>
        <w:spacing w:after="0" w:line="181"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Raising funds in the future may present additional challenges and future financing may not be available in sufficient amounts or on terms acceptable to us, if at all.</w:t>
      </w:r>
    </w:p>
    <w:p>
      <w:pPr>
        <w:spacing w:after="0" w:line="280"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62"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terms of any financing arrangements we enter into may adversely affect the holdings or the rights of our shareholders and the issuance of additional securities, whether equity or debt, by us, or the possibility of such issuance, may cause the market price of our common shares to decline. The sale of additional equity or convertible securities would dilute all of our shareholders. For example, in September 2016, we sold 3,450,000 of our common shares at a price to the public of $7.50 per common share pursuant to our existing shelf registration statement on Form S-3 and corresponding Canadian base shelf prospectus. The incurrence of indebtedness would result in increased fixed payment obligations and, potentially, the imposition of restrictive covenants. Those covenants may include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resulting in the loss of rights to some of our product candidates or other unfavorable terms, any of which may have a material adverse effect on our business, operating results and prospects. In addition, any additional fundraising efforts may divert our management from their day-to-day activities, which may adversely affect our ability to develop and commercialize our product candidates.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and financial condition.</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Global credit and financial markets experienced extreme disruptions at various points over the last decade, characterized by diminished liquidity and credit availability, declines in consumer confidence, declines in economic growth, increases in unemployment rates, and uncertainty about economic stability. If another such disruption in credit and financial markets and deterioration of confidence in economic conditions occurs, our business may be adversely affected. If the equity and credit markets were to deteriorate significantly in the future,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the market price of our common shares could require us to delay or abandon development or commercialization plans. In addition, there is a risk that one or more of our current collaborators, service providers, manufacturers and other partners would not survive or be able to meet their commitments to us under such circumstances, which could directly affect our ability to attain our operating goals on schedule and on budget.</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risks associated with currency fluctuations which could impact our results of operations.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September 30, 2017, approximately 43% of our cash and cash equivalents and marketable securities was denominated in Canadian dollars.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Historically, the majority of our operating expenses have been denominated in Canadian dollars and the majority of our revenue has been denominated in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1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Prior to December 31, 2014, our functional currency was the Canadian dollar. On January 1, 2015, our functional currency changed from the Canadian dollar to the U.S. dollar based on our analysis of the changes in the primary economic environment in which we operate. As a result, changes in the exchange rate between the Canadian dollar and the U.S. dollar could materially impact our reported results of operations and distort period to period comparisons. In particular, to the extent that foreign currency-denominated (i.e., non-U.S. dollar) monetary assets do not equal the amount of our foreign currency denominated monetary liabilities, foreign currency gains or losses could arise and materially impact our financial statements.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market price of our common shares could be adversely affected.</w:t>
      </w:r>
    </w:p>
    <w:p>
      <w:pPr>
        <w:spacing w:after="0" w:line="19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From time to time, we may engage in exchange rate hedging activities in an effort to mitigate the impact of exchange rate fluctuations. For example, we aim to maintain a natural currency hedge against fluctuations in the U.S./Canadian foreign exchange rate by matching the amount of U.S. dollar and Canadian dollar investments to the expected amount of future U.S. dollar and Canadian dollar obligations, respectively. Any hedging technique we implement may fail to be effective. If our hedging activities are not effective, changes in currency exchange rates may have a more significant impact on the market price of our common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or our collaborators, may fail to successfully develop our product candidates.</w:t>
      </w:r>
    </w:p>
    <w:p>
      <w:pPr>
        <w:spacing w:after="0" w:line="11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Our clinical product candidates, which include TV-45070, GDC-0310, and XEN1101, along with our pre-clinical compounds, including XEN901, are in varying stages of development and will require substantial clinical development, testing and regulatory approval prior to commercialization. It may be several more years before these product candidates or any of our other product candidates receive marketing approval, if ever. If any of our product candidates fail to become approved products, our business, growth prospects, operating results and financial condition may be adversely affected and a decline in the market price of our common shares could result. For example, in June 2017, we, along with Teva Pharmaceutical Industries Ltd., or Teva, announced topline results from a Phase 2b clinical trial designed to evaluate the efficacy and safety of TV-45070 for the treatment of post-herpetic neuralgia, or PHN. Results from this trial showed that TV-45070 did not meet the primary endpoint of a statistically significant change in pain from baseline to week four as assessed by the numeric rating scale. Secondary endpoints were also not met. We and Teva plan to further analyze the data from this study to determine the next steps for TV-45070.</w:t>
      </w:r>
    </w:p>
    <w:p>
      <w:pPr>
        <w:spacing w:after="0" w:line="290"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b w:val="1"/>
          <w:bCs w:val="1"/>
          <w:i w:val="1"/>
          <w:iCs w:val="1"/>
          <w:color w:val="auto"/>
        </w:rPr>
        <w:t>We and our collaborators face substantial competition in the markets for our product candidates, which may result in others discovering, developing or commercializing products before us or doing so more successfully than we or our collaborators do.</w:t>
      </w:r>
    </w:p>
    <w:p>
      <w:pPr>
        <w:spacing w:after="0" w:line="6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products. We face potential competition in target discovery and product development from many different approaches and sources, including major pharmaceutical, specialty pharmaceutical and biotechnology companies, academic institutions and governmental agencies and public and private research institutions. Any product candidates that we or our collaborators successfully develop and commercialize will compete with existing products and any new products that may become available in the future.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6" w:name="page27"/>
    <w:bookmarkEnd w:id="26"/>
    <w:p>
      <w:pPr>
        <w:ind w:right="40" w:firstLine="518"/>
        <w:spacing w:after="0" w:line="264" w:lineRule="auto"/>
        <w:rPr>
          <w:sz w:val="20"/>
          <w:szCs w:val="20"/>
          <w:color w:val="auto"/>
        </w:rPr>
      </w:pPr>
      <w:r>
        <w:rPr>
          <w:rFonts w:ascii="Arial" w:cs="Arial" w:eastAsia="Arial" w:hAnsi="Arial"/>
          <w:sz w:val="18"/>
          <w:szCs w:val="18"/>
          <w:color w:val="auto"/>
        </w:rPr>
        <w:t>The key competitive factors affecting the success of all of our product candidates, if approved, are likely to be their efficacy, safety, convenience and price; the effectiveness and safety of alternative products; the level of generic competition; and the availability of coverage and adequate reimbursement from government and other third-party payers.</w:t>
      </w:r>
    </w:p>
    <w:p>
      <w:pPr>
        <w:spacing w:after="0" w:line="18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With respect to target discovery activities, competitors and other third parties, including academic and clinical researchers, may access rare families and identify novel targets for drug development before we do.</w:t>
      </w:r>
    </w:p>
    <w:p>
      <w:pPr>
        <w:spacing w:after="0" w:line="170"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collaboration arrangements with large and established companies.</w:t>
      </w:r>
    </w:p>
    <w:p>
      <w:pPr>
        <w:spacing w:after="0" w:line="17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commercial opportunities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regulatory approval for their products more rapidly than we may obtain approval for ours, which could result in our competitors establishing a strong market position before we are able to enter the market. In addition, our ability to compete may be affected by decisions made by insurers or other third party payers.</w:t>
      </w:r>
    </w:p>
    <w:p>
      <w:pPr>
        <w:spacing w:after="0" w:line="18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To the extent that we are unable to compete effectively against one or more of our competitors in these areas, our business will not grow and our financial condition, results of operations and the market price of our common shares may suffer.</w:t>
      </w:r>
    </w:p>
    <w:p>
      <w:pPr>
        <w:spacing w:after="0" w:line="17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Drug discovery and development for various pain applications is intensely competitive. There are a large number of approved products for neuropathic pain, inflammatory pain and other pain indications. These approved products include capsaicin, celecoxib, lidocaine, narcotic analgesics, gabapentin, and pregabalin. We are also aware of development programs at several pharmaceutical and biotechnology companies that are developing Nav1.7 inhibitors or other sodium channel inhibitors for the treatment of pain, including Amgen Inc., AstraZeneca PLC, Biogen Inc., Dainippon Sumitomo Co., Ltd., Eli Lilly and Company, Merck &amp; Co., Inc., or Merck, NeuroQuest Inc., Vertex Pharmaceuticals Inc., Voyager Therapeutics, Inc. and Chromocell Corporation in collaboration with its partner Astellas Pharma Inc. Moreover, we are aware of various other product candidates in development that target other mechanisms of action to treat various pain indications, including calcium channel inhibitors, nerve growth factor inhibitors, and Nav1.8 inhibitors.</w:t>
      </w:r>
    </w:p>
    <w:p>
      <w:pPr>
        <w:spacing w:after="0" w:line="167"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If XEN901 or XEN1101 were approved for the treatment of epilepsy, we anticipate that they could compete with other anti-epileptic drugs, or AEDs, which typically can be categorized into four classes by AED mechanism: modulation of voltage-gated ion channels, enhancement of GABA-mediated inhibitory neurotransmission, reduction of glutamate-mediated excitatory neurotransmission, and SV2A modulation. Commonly used AEDs to treat focal seizures include carbamazepine, lamotrigine, valproate, oxcarbazepine, gabapentin and topiramate. There are currently no FDA-approved treatments indicated for the early infantile epileptic encephalopathies EIEE7 or EIEE13. We are not aware of other companies that are developing selective Nav1.6 inhibitors for the treatment of epilepsy. There may be other potassium channel modulators in development that could potentially compete with XEN1101, including products in development from SciFluor Lifesciences, Inc., Knopp Biosciences LLC, and Upsher-Smith Laboratories, Inc.</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7" w:name="page28"/>
    <w:bookmarkEnd w:id="27"/>
    <w:p>
      <w:pPr>
        <w:ind w:right="240" w:firstLine="259"/>
        <w:spacing w:after="0" w:line="308" w:lineRule="auto"/>
        <w:rPr>
          <w:sz w:val="20"/>
          <w:szCs w:val="20"/>
          <w:color w:val="auto"/>
        </w:rPr>
      </w:pPr>
      <w:r>
        <w:rPr>
          <w:rFonts w:ascii="Arial" w:cs="Arial" w:eastAsia="Arial" w:hAnsi="Arial"/>
          <w:sz w:val="17"/>
          <w:szCs w:val="17"/>
          <w:b w:val="1"/>
          <w:bCs w:val="1"/>
          <w:i w:val="1"/>
          <w:iCs w:val="1"/>
          <w:color w:val="auto"/>
        </w:rPr>
        <w:t>We have no marketed proprietary products and have not yet advanced a product candidate beyond Phase 2 clinical trials, which makes it difficult to assess our ability to develop our future product candidates and commercialize any resulting products independently.</w:t>
      </w:r>
    </w:p>
    <w:p>
      <w:pPr>
        <w:spacing w:after="0" w:line="3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have no experience in Phase 3 and later stage clinical development, and related regulatory requirements or the commercialization of products. Teva is responsible for the clinical development of TV-45070; Genentech, a member of the Roche Group, is responsible for the clinical development of GDC-0310; and uniQure controls and has been responsible for the development and commercialization of Glybera. Accordingly, we have not yet demonstrated our ability to independently and repeatedly conduct clinical development after Phase 2, obtain regulatory approval, and commercialize therapeutic products. We will need to develop such abilities if we are to execute on our business strategy to selectively develop and independently commercialize product candidates for orphan and niche indications. To execute on our business plan for the development of independent programs, we will need to successfully:</w:t>
      </w:r>
    </w:p>
    <w:p>
      <w:pPr>
        <w:spacing w:after="0" w:line="57"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execute our clinical development plans for later-stage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required regulatory approvals in each jurisdiction in which we will seek to commercialize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build and maintain appropriate sales, distribution and marketing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gain market acceptance for our future products, if 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 activities.</w:t>
      </w:r>
    </w:p>
    <w:p>
      <w:pPr>
        <w:spacing w:after="0" w:line="22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If we are unsuccessful in accomplishing these objectives, we would not be able to develop and commercialize any future orphan and niche disease product candidates independently, and could fail to realize the potential advantages of doing so.</w:t>
      </w:r>
    </w:p>
    <w:p>
      <w:pPr>
        <w:spacing w:after="0" w:line="279"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acquiring or in-licensing product candidates in addition to TV-45070, GDC-0310, XEN1101 and XEN901, our ability to expand our business and achieve our strategic objectives may be impaired.</w:t>
      </w:r>
    </w:p>
    <w:p>
      <w:pPr>
        <w:spacing w:after="0" w:line="6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use our discovery platform to identify validated drug targets and develop new product candidates. To date, our discovery platform has yielded one approved product, Glybera, and multiple development candidates, including TV-45070, GDC-0310 and XEN901. Use of our discovery platform requires substantial technical, financial and human resources, regardless of whether we identify any novel drug targets. Our discovery platform may initially show promise in identifying additional potential product candidates, yet fail to yield viable product candidates for clinical development or commercialization. Such failure may occur for many reasons, including the following: any product candidate may, on further study, be shown to have serious or unexpected side effects or other characteristics that indicate it is unlikely to be safe or otherwise does not meet applicable regulatory criteria; and any product candidate may not be capable of being produced in commercial quantities at an acceptable cost, or at all.</w:t>
      </w:r>
    </w:p>
    <w:p>
      <w:pPr>
        <w:spacing w:after="0" w:line="178" w:lineRule="exact"/>
        <w:rPr>
          <w:sz w:val="20"/>
          <w:szCs w:val="20"/>
          <w:color w:val="auto"/>
        </w:rPr>
      </w:pPr>
    </w:p>
    <w:p>
      <w:pPr>
        <w:jc w:val="both"/>
        <w:ind w:right="280" w:firstLine="518"/>
        <w:spacing w:after="0" w:line="286" w:lineRule="auto"/>
        <w:rPr>
          <w:sz w:val="20"/>
          <w:szCs w:val="20"/>
          <w:color w:val="auto"/>
        </w:rPr>
      </w:pPr>
      <w:r>
        <w:rPr>
          <w:rFonts w:ascii="Arial" w:cs="Arial" w:eastAsia="Arial" w:hAnsi="Arial"/>
          <w:sz w:val="17"/>
          <w:szCs w:val="17"/>
          <w:color w:val="auto"/>
        </w:rPr>
        <w:t>If we are unable to identify additional product candidates suitable for clinical development and commercialization either from our internal research efforts or though acquiring or in-licensing other product candidates or technologies, we may not be able to obtain product revenue in future periods, which likely would result in significant harm to our financial position and adversely impact the market price of our common shares.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approach to drug discovery is unproven, and we do not know whether we will be able to develop any products of commercial value.</w:t>
      </w:r>
    </w:p>
    <w:p>
      <w:pPr>
        <w:spacing w:after="0" w:line="12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Our discovery platform may not reproducibly or cost-effectively result in the discovery of product candidates and development of commercially viable products that safely and effectively treat human disease.</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There are various challenges in utilizing our discovery platform to successfully identify novel drug targets, including locating families suffering from rare disorders and severe phenotypes, entering into agreements with foreign collaborators, complying with various domestic and foreign privacy laws, accessing required technologies in a timely manner and transporting DNA across national borders.</w:t>
      </w:r>
    </w:p>
    <w:p>
      <w:pPr>
        <w:spacing w:after="0" w:line="18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To date, only Glybera has been both developed using our discovery platform and approved for commercial sale. If the use of our discovery platform fails to identify novel targets for drug discovery, or such targets prove to be unsuitable for treating human disease, or we are unable to develop product candidates with specificity and selectivity for such targets, we will fail to develop viable products. If we fail to develop and commercialize viable products, we will not achieve commercial success.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8" w:name="page29"/>
    <w:bookmarkEnd w:id="28"/>
    <w:p>
      <w:pPr>
        <w:ind w:right="160" w:firstLine="259"/>
        <w:spacing w:after="0" w:line="308" w:lineRule="auto"/>
        <w:rPr>
          <w:sz w:val="20"/>
          <w:szCs w:val="20"/>
          <w:color w:val="auto"/>
        </w:rPr>
      </w:pPr>
      <w:r>
        <w:rPr>
          <w:rFonts w:ascii="Arial" w:cs="Arial" w:eastAsia="Arial" w:hAnsi="Arial"/>
          <w:sz w:val="17"/>
          <w:szCs w:val="17"/>
          <w:b w:val="1"/>
          <w:bCs w:val="1"/>
          <w:i w:val="1"/>
          <w:iCs w:val="1"/>
          <w:color w:val="auto"/>
        </w:rPr>
        <w:t>If we fail to attract and retain senior management and key personnel, we may be unable to successfully develop our product candidates, perform our obligations under our collaboration agreements, conduct our clinical trials and commercialize our product candidates.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w:t>
      </w:r>
    </w:p>
    <w:p>
      <w:pPr>
        <w:spacing w:after="0" w:line="237" w:lineRule="exact"/>
        <w:rPr>
          <w:sz w:val="20"/>
          <w:szCs w:val="20"/>
          <w:color w:val="auto"/>
        </w:rPr>
      </w:pPr>
    </w:p>
    <w:p>
      <w:pPr>
        <w:ind w:right="320" w:firstLine="518"/>
        <w:spacing w:after="0" w:line="257" w:lineRule="auto"/>
        <w:rPr>
          <w:sz w:val="20"/>
          <w:szCs w:val="20"/>
          <w:color w:val="auto"/>
        </w:rPr>
      </w:pPr>
      <w:r>
        <w:rPr>
          <w:rFonts w:ascii="Arial" w:cs="Arial" w:eastAsia="Arial" w:hAnsi="Arial"/>
          <w:sz w:val="18"/>
          <w:szCs w:val="18"/>
          <w:color w:val="auto"/>
        </w:rPr>
        <w:t>We could experience difficulties attracting and retaining qualified employees as competition for qualified personnel in the biotechnology and pharmaceutical field is intense. We are highly dependent upon our senior management, particularly Dr. Simon Pimstone, our Chief Executive Officer and President, and Mr. Ian Mortimer, our Chief Financial Officer and Chief Operating Officer, as well as other employees. The loss of services of any of these individuals or one or more of our other members of senior management could materially delay or even prevent the successful development of our product candidates.</w:t>
      </w:r>
    </w:p>
    <w:p>
      <w:pPr>
        <w:spacing w:after="0" w:line="18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In addition, we will need to hire additional personnel as we expand our clinical development activities and develop commercial capabilities, including a sales infrastructure to support our independent commercialization efforts. We may not be able to attract and retain personnel on acceptable terms given the competition among numerous pharmaceutical and biotechnology companies for individuals with similar skill sets. The inability to recruit or loss of the services of any executive or key employee may impede the progress of our research, development and commercialization objectives.</w:t>
      </w:r>
    </w:p>
    <w:p>
      <w:pPr>
        <w:spacing w:after="0" w:line="28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are exposed to the risk of fraud or other misconduct by our employees, collaborators, vendors, principal investigators, consultants and commercial partners. Misconduct by these parties could include intentional failures to comply with the regulations of the FDA, EMA and other non-U.S. regulators, provide accurate information to the FDA, EMA and other non-U.S. regulators, comply with data privacy and security and healthcare fraud and abuse laws and regulations in the U.S.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Additionally, laws regarding data privacy and security, including the federal Health Insurance Portability and Accountability Act of 1996, or HIPAA, as amended by the Health Information Technology for Economic and Clinical Health Act of 2009, or HITECH, as well as comparable laws in non-U.S. jurisdictions, may impose obligations with respect to safeguarding the privacy, use, security and transmission of individually identifiable health information such as genetic material or information we obtain through our direct-to-patient web-based recruitment approach for identifying patients with rare or extreme phenotypes or patients identified for clinical trials.</w:t>
      </w:r>
    </w:p>
    <w:p>
      <w:pPr>
        <w:spacing w:after="0" w:line="178"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Various laws and regulations may restrict or prohibit a wide range of pricing, discounting, marketing and promotion, sales commission, customer incentive programs and other business arrangements. Any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encounter difficulties in managing our growth, including headcount, and expanding our operations successfully.</w:t>
      </w:r>
    </w:p>
    <w:p>
      <w:pPr>
        <w:spacing w:after="0" w:line="117"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Our business strategy involves continued development and, where development is successful, commercialization of select product candidates for orphan and niche indications independently. In order to execute on this strategy, we will need to build out a regulatory, sales, manufacturing, distribution and marketing infrastructure and expand our development capabilities or contract with third parties to provide these capabilities and infrastructure for us. To achieve this, we will need to identify, hire and integrate personnel who have not worked together as a group previously.</w:t>
      </w:r>
    </w:p>
    <w:p>
      <w:pPr>
        <w:spacing w:after="0" w:line="17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 our operations expand, we expect that we will need to manage additional relationships with various strategic collaborators, suppliers and other third parties.</w:t>
      </w:r>
    </w:p>
    <w:p>
      <w:pPr>
        <w:spacing w:after="0" w:line="170"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Drs. Simon Pimstone and Y. Paul Goldberg each devote a small amount of their time to clinical work outside of their duties at our company, conducting, generally, two to three outpatient clinics per month on average. Future growth will impose significant added responsibilities on members of management, and our management may need to divert a disproportionate amount of its attention away from our day-to-day activities and devote a substantial amount of time to managing these growth activities.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9" w:name="page30"/>
    <w:bookmarkEnd w:id="29"/>
    <w:p>
      <w:pPr>
        <w:ind w:right="160" w:firstLine="518"/>
        <w:spacing w:after="0" w:line="264" w:lineRule="auto"/>
        <w:rPr>
          <w:sz w:val="20"/>
          <w:szCs w:val="20"/>
          <w:color w:val="auto"/>
        </w:rPr>
      </w:pPr>
      <w:r>
        <w:rPr>
          <w:rFonts w:ascii="Arial" w:cs="Arial" w:eastAsia="Arial" w:hAnsi="Arial"/>
          <w:sz w:val="18"/>
          <w:szCs w:val="18"/>
          <w:color w:val="auto"/>
        </w:rPr>
        <w:t>If we are unable to effectively manage our growth, our expenses may increase more than expected, our ability to generate and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system failures.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Computer system, network or telecommunications failures due to events such as damage from malware, unauthorized access, terrorism, war, or natural disasters could interrupt our internal or partner operations. For example, the loss of pre-clinical trial data or data from completed or ongoing clinical trials for our product candidates could result in delays in our regulatory filings and development efforts and significantly increase our costs. To the extent that any disruption or cybersecurity breach were to result in a loss of or damage to our data, or inappropriate disclosure of confidential or proprietary information, we could incur liability and the development of our product candidates could be delayed. While we have implemented security measures and, to date, have not detected a cybersecurity breach nor experienced a material system failure, our internal computer systems and those of our contractors and consultants remain potentially vulnerable to damage from these events.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collaborator for TV-45070, Teva, is based in Israel and a significant portion of the research and development activities under our collaboration with Teva are performed outside of North America. Glybera has been approved for commercial sale in the EU by the EMA, subject to uniQure’s compliance with certain post-approval reporting and monitoring obligations; however, uniQure announced in April 2017 that it would not pursue the renewal of marketing authorization in Europe, which marketing authorization expired in October 2017. If we continue to engage in significant cross-border activities, we will be subject to risks related to international operations, including:</w:t>
      </w:r>
    </w:p>
    <w:p>
      <w:pPr>
        <w:spacing w:after="0" w:line="80"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regulatory requirements for maintaining approval of drugs and biologics in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weakness, including inflation, political instability or open conflict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of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117"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operations in foreign jurisdictions;</w:t>
      </w:r>
    </w:p>
    <w:p>
      <w:pPr>
        <w:spacing w:after="0" w:line="73" w:lineRule="exact"/>
        <w:rPr>
          <w:rFonts w:ascii="Arial" w:cs="Arial" w:eastAsia="Arial" w:hAnsi="Arial"/>
          <w:sz w:val="18"/>
          <w:szCs w:val="18"/>
          <w:color w:val="auto"/>
        </w:rPr>
      </w:pPr>
    </w:p>
    <w:p>
      <w:pPr>
        <w:ind w:left="1040" w:right="640" w:hanging="519"/>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tighter restrictions on privacy and the collection and use of data, including genetic material, may apply in jurisdictions outside of North America, where we find some of the families with individuals that exhibit the severe phenotypes that we study; and</w:t>
      </w:r>
    </w:p>
    <w:p>
      <w:pPr>
        <w:spacing w:after="0" w:line="38" w:lineRule="exact"/>
        <w:rPr>
          <w:rFonts w:ascii="Arial" w:cs="Arial" w:eastAsia="Arial" w:hAnsi="Arial"/>
          <w:sz w:val="17"/>
          <w:szCs w:val="17"/>
          <w:color w:val="auto"/>
        </w:rPr>
      </w:pPr>
    </w:p>
    <w:p>
      <w:pPr>
        <w:ind w:left="1040" w:right="3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any of these issues were to occur, our business could be materially harmed.</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U.S. holders of our common shares may suffer adverse tax consequences if we are characterized as a passive foreign investment company.</w:t>
      </w:r>
    </w:p>
    <w:p>
      <w:pPr>
        <w:spacing w:after="0" w:line="14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Generally, for any taxable year in which 75% or more of our gross income is passive income, or at least 50% of the average quarterly value of our assets (which may be determined in part by the market value of our common shares, which is subject to change) are held for the production of, or produce, passive income, we would be characterized as a passive foreign investment company, or PFIC, for U.S. federal income tax purposes. Based on the composition of our gross income and gross assets and the nature of our business, we do not believe that we were a PFIC for the taxable years ended December 31, 2016, 2015 and 2014, although we could be a PFIC for the calendar year ending December 31, 2017 or in subsequent years. Our status as a PFIC is a fact-intensive determination made on an annual basis and we cannot provide any assurance regarding our PFIC status for the taxable year ending December 31, 2017 or for future taxable years.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0" w:name="page31"/>
    <w:bookmarkEnd w:id="30"/>
    <w:p>
      <w:pPr>
        <w:ind w:right="140" w:firstLine="518"/>
        <w:spacing w:after="0" w:line="312" w:lineRule="auto"/>
        <w:rPr>
          <w:sz w:val="20"/>
          <w:szCs w:val="20"/>
          <w:color w:val="auto"/>
        </w:rPr>
      </w:pPr>
      <w:r>
        <w:rPr>
          <w:rFonts w:ascii="Arial" w:cs="Arial" w:eastAsia="Arial" w:hAnsi="Arial"/>
          <w:sz w:val="16"/>
          <w:szCs w:val="16"/>
          <w:color w:val="auto"/>
        </w:rPr>
        <w:t>If we are a PFIC for any subsequent year, U.S. holders of our common shares may suffer adverse tax consequences. Gains realized by non-corporate U.S. holders on the sale of our common shares would be taxed as ordinary income, rather than as capital gain, and the preferential tax rate applicable to dividends received on our common shares would be lost. Interest charges would also be added to taxes on gains and dividends realized by all U.S. holders.</w:t>
      </w:r>
    </w:p>
    <w:p>
      <w:pPr>
        <w:spacing w:after="0" w:line="14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A U.S. holder may avoid these adverse tax consequences by timely making a qualified electing fund election. For each year that we would meet the PFIC gross income or asset test, an electing U.S. holder would be required to include in gross income its pro rata share of our net ordinary income and net capital gains, if any. A U.S. holder may make a qualified electing fund election only if we commit to provide U.S. holders with their pro rata share of our net ordinary income and net capital gains. If we are a PFIC in the current or a future tax year, we will provide our U.S. holders with the information that is necessary in order for them to make a qualified electing fund election and to report their common shares of ordinary earnings and net capital gains for each year for which we are a PFIC.</w:t>
      </w:r>
    </w:p>
    <w:p>
      <w:pPr>
        <w:spacing w:after="0" w:line="19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 U.S. holder may also mitigate the adverse tax consequences if we are a PFIC by timely making a mark-to-market election. Generally, for each year that we would meet the PFIC gross income or asset test, an electing U.S. holder would include in gross income the increase in the value of its common shares during each of its taxable years and deduct from gross income the decrease in the value of such shares during each of its taxable years. A mark-to-market election may be made and maintained only if our common shares are regularly traded on a qualified exchange, including The NASDAQ Global Market, or NASDAQ. Whether our common shares are regularly traded on a qualified exchange is an annual determination based on facts that, in part, are beyond our control. Accordingly, a U.S. holder might not be eligible to make a mark-to-market election to mitigate the adverse tax consequences if we are characterized as a PFIC.</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may become subject to income tax in jurisdictions in which we are organized or operate, which would reduce our future earnings.</w:t>
      </w:r>
    </w:p>
    <w:p>
      <w:pPr>
        <w:spacing w:after="0" w:line="129"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There is a risk that we may become subject to income tax in jurisdictions outside of Canada and the United States, if under the laws of any such jurisdiction, we are considered to be carrying on a trade or business there or earn income that is considered to be sourced there and we do not qualify for an exemption. In jurisdictions where we do not believe we are subject to tax, we can provide no certainty that tax authorities in those jurisdictions will not subject one or more tax years to examination. Tax examinations are often complex as tax authorities may disagree with the treatment of items reported by us, the result of which could have a material adverse effect on our operating results and financial condition.</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shareholders and otherwise harm our business.</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actively evaluate various strategic transactions on an ongoing basis and may acquire other businesses, products or technologies as well as pursue strategic alliances, joint ventures or investments in complementary businesses. Any of these transactions could be material to our financial condition and operating results and expose us to many risks, including:</w:t>
      </w:r>
    </w:p>
    <w:p>
      <w:pPr>
        <w:spacing w:after="0" w:line="73"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 in our relationships with collaborators or suppliers as a result of such a transaction;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117"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management of strategic alliances or joint ventures or acquisition integration challenges;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w:t>
      </w:r>
    </w:p>
    <w:p>
      <w:pPr>
        <w:spacing w:after="0" w:line="225"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47"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The regulatory approval processes of the FDA, EMA and regulators in other jurisdictions are lengthy, time-consuming and inherently unpredictable.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or our collaborators, are unable to obtain timely regulatory approval for our product candidates, our business will be substantially harmed.</w:t>
      </w:r>
    </w:p>
    <w:p>
      <w:pPr>
        <w:spacing w:after="0" w:line="126"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regulatory approval process is expensive and the time required to obtain approval from the FDA, EMA or other regulatory authorities in other jurisdictions to sell any product is uncertain and may take years. Whether regulatory approval will be granted is unpredictable and depends upon numerous factors, including the substantial discretion of the regulatory authorities. Approval policies, regulations, or the type and amount of pre-clinical and clinical data necessary to gain approval may change during the course of a product candidate’s clinical development and may vary among jurisdictions. Other than for Glybera in the EU, neither we nor our collaborators have obtained regulatory approval for any of our product candidates. It is possible that none of our existing product candidates or any of our future product candidates will ever obtain regulatory approval, even if we expend substantial time and resources seeking such approval.</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EMA or other regulatory authorities may disagree with the design or implementation of our or our collaborators’ clinical trials;</w:t>
      </w:r>
    </w:p>
    <w:p>
      <w:pPr>
        <w:spacing w:after="0" w:line="128" w:lineRule="exact"/>
        <w:rPr>
          <w:rFonts w:ascii="Arial" w:cs="Arial" w:eastAsia="Arial" w:hAnsi="Arial"/>
          <w:sz w:val="17"/>
          <w:szCs w:val="17"/>
          <w:color w:val="auto"/>
        </w:rPr>
      </w:pPr>
    </w:p>
    <w:p>
      <w:pPr>
        <w:ind w:left="1040" w:right="5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satisfaction of the FDA, EMA or other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EMA or other regulatory authorities for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or our collaborators, may be unable to demonstrate that a product candidate’s clinical and other benefits outweigh its safety risks;</w:t>
      </w:r>
    </w:p>
    <w:p>
      <w:pPr>
        <w:spacing w:after="0" w:line="128" w:lineRule="exact"/>
        <w:rPr>
          <w:rFonts w:ascii="Arial" w:cs="Arial" w:eastAsia="Arial" w:hAnsi="Arial"/>
          <w:sz w:val="17"/>
          <w:szCs w:val="17"/>
          <w:color w:val="auto"/>
        </w:rPr>
      </w:pPr>
    </w:p>
    <w:p>
      <w:pPr>
        <w:ind w:left="1040" w:right="3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EMA or other regulatory authorities may disagree with our or our collaborators’ interpretation of data from pre-clinical studies or clinical trials;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New Drug Application, or NDA, or other submission or to obtain regulatory approval in the U.S. or elsewhere;</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or facilities of third-party manufacturers with which we or our collaborators contract for clinical and commercial supplies; and</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other regulatory authorities outside of the U.S. may significantly change in a manner rendering our or our collaborators’ clinical data insufficient for approval.</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Even if we, or our collaborators, obtain approval for a particular product, regulatory authorities may grant approval contingent on the performance of costly post-approval clinical trials, or may approve a product with a label that does not include the labeling claims necessary or desirable for the successful commercialization of that product.</w:t>
      </w:r>
    </w:p>
    <w:p>
      <w:pPr>
        <w:spacing w:after="0" w:line="289"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trials are prolonged or delayed, we, or our collaborators, may be unable to commercialize our product candidates on a timely basis.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Clinical testing of product candidates is expensive and, depending on the stage of development, can take a substantial period of time to complete.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Clinical trial outcomes are inherently uncertain, and failure can occur at any time during the clinical development process.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 trials can be halted or delayed for a variety of reasons, including those related to:</w:t>
      </w:r>
    </w:p>
    <w:p>
      <w:pPr>
        <w:spacing w:after="0" w:line="117"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side effects or adverse events in study participants presenting an unacceptable safety risk;</w:t>
      </w:r>
    </w:p>
    <w:p>
      <w:pPr>
        <w:spacing w:after="0" w:line="117" w:lineRule="exact"/>
        <w:rPr>
          <w:rFonts w:ascii="Arial" w:cs="Arial" w:eastAsia="Arial" w:hAnsi="Arial"/>
          <w:sz w:val="18"/>
          <w:szCs w:val="18"/>
          <w:color w:val="auto"/>
        </w:rPr>
      </w:pPr>
    </w:p>
    <w:p>
      <w:pPr>
        <w:ind w:left="1040" w:right="8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reach agreement with prospective contract research organizations, or CROs, and clinical trial sites, or the breach of such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32" w:name="page33"/>
    <w:bookmarkEnd w:id="32"/>
    <w:p>
      <w:pPr>
        <w:ind w:left="1040" w:right="10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requirement to undertake and complete additional pre-clinical studies to generate data required to support the continued clinical development of a product candidate or submission of an NDA;</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enroll sufficient patients to complete a protocol, particularly in orphan diseases;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substance or drug product sufficient to complete our pre-clinical studies and clinical trials;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w:t>
      </w:r>
    </w:p>
    <w:p>
      <w:pPr>
        <w:spacing w:after="0" w:line="225"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 results of any Phase 3 or other pivotal clinical trial may not be adequate to support marketing approval. These clinical trials are lengthy and, with respect to non-orphan indications, usually involve many hundreds to thousands of patients. In addition, if the FDA, EMA or another applicable regulator disagrees with our or our collaborator’s choice of the key testing criterion, or primary endpoint, or the results for the primary endpoint are not robust or significant relative to the control group of patients not receiving the experimental therapy, such regulator may refuse to approve our product candidate in the region in which it has jurisdiction. The FDA, EMA or other applicable non-U.S. regulators also may require additional clinical trials as a condition for approving any of these product candidates.</w:t>
      </w:r>
    </w:p>
    <w:p>
      <w:pPr>
        <w:spacing w:after="0" w:line="193"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We could also encounter delays if a clinical trial is suspended or terminated by us, by our collaborators, by the IRBs of the institutions in which such trial is being conducted, by any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product candidate manufacturing problems,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w:t>
      </w:r>
    </w:p>
    <w:p>
      <w:pPr>
        <w:spacing w:after="0" w:line="16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If we or our collaborators experience delays in the completion of, or termination of, any clinical trial of one of our product candidates, the commercial prospects of the product candidate will be harmed, could shorten the patent protection period during which we may have the exclusive right to commercialize our products and our or our collaborators’ ability to commence product sales and generate product revenue from the product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product candidates – including TV-45070 and GDC-0310 for the treatment of pain, as well as XEN1101 and XEN901 for the treatment of epilepsy</w:t>
      </w:r>
    </w:p>
    <w:p>
      <w:pPr>
        <w:spacing w:after="0" w:line="46" w:lineRule="exact"/>
        <w:rPr>
          <w:sz w:val="20"/>
          <w:szCs w:val="20"/>
          <w:color w:val="auto"/>
        </w:rPr>
      </w:pPr>
    </w:p>
    <w:p>
      <w:pPr>
        <w:ind w:right="480"/>
        <w:spacing w:after="0" w:line="323" w:lineRule="auto"/>
        <w:rPr>
          <w:sz w:val="20"/>
          <w:szCs w:val="20"/>
          <w:color w:val="auto"/>
        </w:rPr>
      </w:pPr>
      <w:r>
        <w:rPr>
          <w:rFonts w:ascii="Arial" w:cs="Arial" w:eastAsia="Arial" w:hAnsi="Arial"/>
          <w:sz w:val="16"/>
          <w:szCs w:val="16"/>
          <w:color w:val="auto"/>
        </w:rPr>
        <w:t>– target novel molecular mechanisms. Regulatory authorities may require more extensive studies of the long-term effects of such product candidates for regulatory approval, which could delay development of our product candidates or our future product candidates based on novel mechanisms.</w:t>
      </w:r>
    </w:p>
    <w:p>
      <w:pPr>
        <w:spacing w:after="0" w:line="247" w:lineRule="exact"/>
        <w:rPr>
          <w:sz w:val="20"/>
          <w:szCs w:val="20"/>
          <w:color w:val="auto"/>
        </w:rPr>
      </w:pPr>
    </w:p>
    <w:p>
      <w:pPr>
        <w:ind w:right="500" w:firstLine="259"/>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could prevent or delay regulatory approval and commercialization.</w:t>
      </w:r>
    </w:p>
    <w:p>
      <w:pPr>
        <w:spacing w:after="0" w:line="62"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Before obtaining regulatory approvals for the commercial sale of our products, we must demonstrate through lengthy, complex and expensive pre-clinical testing and clinical trials that the product candidate is both safe and effective for use in each target indication. Clinical trials often fail to demonstrate safety and efficacy of the product candidate studied for the target indication. Most product candidates that commence clinical trials are never approved as products. For example, in June 2017, we, along with Teva, announced topline results from a Phase 2b clinical trial designed to evaluate the efficacy and safety of TV-45070 in PHN. Results from this trial showed that TV-45070 did not meet the primary endpoint of a statistically significant change in pain from baseline to week four as assessed by the numeric rating scale. Secondary endpoints were also not met. We and Teva plan to further analyze the data from this study to determine the next steps for TV-45070.</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33" w:name="page34"/>
    <w:bookmarkEnd w:id="33"/>
    <w:p>
      <w:pPr>
        <w:ind w:right="40" w:firstLine="518"/>
        <w:spacing w:after="0" w:line="255" w:lineRule="auto"/>
        <w:rPr>
          <w:sz w:val="20"/>
          <w:szCs w:val="20"/>
          <w:color w:val="auto"/>
        </w:rPr>
      </w:pPr>
      <w:r>
        <w:rPr>
          <w:rFonts w:ascii="Arial" w:cs="Arial" w:eastAsia="Arial" w:hAnsi="Arial"/>
          <w:sz w:val="18"/>
          <w:szCs w:val="18"/>
          <w:color w:val="auto"/>
        </w:rPr>
        <w:t>In the case of some of our product candidates, we are seeking to develop treatments for diseases for which there is relatively limited clinical experience, and, in some cases our clinical trials use novel end points and measurement methodologies or subjective patient feedback, which adds a layer of complexity to our clinical trials and may delay regulatory approval. In addition, our focus on orphan and niche markets may cause us to select target indications that are in more challenging therapeutic areas. Clinical trials for pain, the indication for which TV-45070 and GDC-0310 are being developed, are inherently difficult to conduct. The primary measure of pain is based on subjective patient feedback, which can be influenced by factors outside of our control, and can vary widely from day to day for a particular patient, and from patient to patient and site to site within a clinical study. The placebo effect also tends to have a more significant impact on pain trials.</w:t>
      </w:r>
    </w:p>
    <w:p>
      <w:pPr>
        <w:spacing w:after="0" w:line="189"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If our product candidates are not shown to be both safe and effective in clinical trials, we will not be able to obtain regulatory approval or commercialize these product candidates and products. In such case, we would need to develop other compounds and conduct associated pre-clinical testing and clinical trials, as well as potentially seek additional financing, all of which would have a material adverse effect on our business, growth prospects, operating results, financial condition and results of operations.</w:t>
      </w:r>
    </w:p>
    <w:p>
      <w:pPr>
        <w:spacing w:after="0" w:line="295" w:lineRule="exact"/>
        <w:rPr>
          <w:sz w:val="20"/>
          <w:szCs w:val="20"/>
          <w:color w:val="auto"/>
        </w:rPr>
      </w:pPr>
    </w:p>
    <w:p>
      <w:pPr>
        <w:ind w:right="480" w:firstLine="259"/>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studies, including for orphan or niche indications, which could delay or prevent clinical studies of our product candidates.</w:t>
      </w:r>
    </w:p>
    <w:p>
      <w:pPr>
        <w:spacing w:after="0" w:line="6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study, to complete our clinical studies in a timely manner. Patient enrollment for clinical trials for orphan and niche indications and for more prevalent conditions is affected by factors including:</w:t>
      </w:r>
    </w:p>
    <w:p>
      <w:pPr>
        <w:spacing w:after="0" w:line="73"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 of the study protocol;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size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proximity and availability of clinical study sites for prospective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competing therapies and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studies;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2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limited patient populations in orphan and niche indications present significant recruitment challenges for clinical trials. As an example of a rare childhood epilepsy disorder, the prevalence of Dravet Syndrome is estimated to be 7,500 to 15,000 patients in the U.S. It is estimated that the populations of early infantile epileptic encephalopathies, such as EIEE7 and EIEE13, represent even smaller subsets amongst rare, childhood epilepsies when compared to Dravet Syndrome; however a full understanding of the size of these populations is still relatively unknown. Many of these patients may not be suitable or available for clinical trials. This means that we or our collaborators generally will have to run multi-site and potentially multi-national trials, which can be expensive and require close coordination and supervision. If we experience delays in completing our clinical trials, such delays could result in increased costs, delays in advancing our product development, delays in testing the effectiveness of our technology or termination of the clinical studies altogether.</w:t>
      </w:r>
    </w:p>
    <w:p>
      <w:pPr>
        <w:spacing w:after="0" w:line="275"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designation or other regulatory exclusivity for some of our product candidates, our competitive position would be harmed.</w:t>
      </w:r>
    </w:p>
    <w:p>
      <w:pPr>
        <w:spacing w:after="0" w:line="62"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A product candidate that receives orphan drug designation can benefit from a streamlined regulatory process as well as potential commercial benefits following approval. Currently, this designation provides market exclusivity in the U.S. and the EU for seven years and ten years, respectively, if a product is the first such product approved for such orphan indication. This market exclusivity does not, however, pertain to indications other than those for which the drug was specifically designated in the approval, nor does it prevent other types of drugs from receiving orphan designations or approvals in these same indications. Further, even after an orphan drug is approved, the FDA can subsequently approve a drug with similar chemical structure for the same condition if the FDA concludes that the new drug is clinically superior to the orphan product or a market shortage occurs.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4" w:name="page35"/>
    <w:bookmarkEnd w:id="34"/>
    <w:p>
      <w:pPr>
        <w:ind w:right="40" w:firstLine="518"/>
        <w:spacing w:after="0" w:line="255" w:lineRule="auto"/>
        <w:rPr>
          <w:sz w:val="20"/>
          <w:szCs w:val="20"/>
          <w:color w:val="auto"/>
        </w:rPr>
      </w:pPr>
      <w:r>
        <w:rPr>
          <w:rFonts w:ascii="Arial" w:cs="Arial" w:eastAsia="Arial" w:hAnsi="Arial"/>
          <w:sz w:val="18"/>
          <w:szCs w:val="18"/>
          <w:color w:val="auto"/>
        </w:rPr>
        <w:t>In the EU,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TV-45070 has received both fast track and orphan drug designations for the treatment of erythromelalgia, or EM, from the FDA, and flunarizine, a drug we are evaluating internally for the potential treatment of hemiplegic migraine, has received orphan drug designation from the FDA. If we seek orphan drug designations for other indications or in other jurisdictions, we may fail to receive such orphan drug designations and, even if we succeed, such orphan drug designations may fail to result in or maintain orphan drug exclusivity upon approval, which would harm our competitive position.</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results of pre-clinical studies and early clinical trials of our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may fail to show the desired safety and efficacy results or otherwise fail to be consistent with the results of earlier trials of the same product candidate. Later clinical trial results may not replicate earlier clinical trials for a variety of reasons, including differences in trial design, different trial endpoints (or lack of trial endpoints in exploratory studies), patient population, number of patients, patient selection criteria, trial duration, drug dosage and formulation and lack of statistical power in the earlier studies. These uncertainties are enhanced where the diseases under study lack established clinical endpoints and validated measures of efficacy, as is often the case with orphan diseases for which no drugs have been developed previously. For example, our results for two small exploratory clinical trials for primary EM pain, one using a topical formulation and the other an oral formulation of TV-45070, used novel measures of efficacy assessment. While these studies provided promising results, further larger clinical trials would be necessary to confirm and extend these observations.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As product candidates are developed through pre-clinical to late 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and/or jeopardize our or our collaborators’ ability to commence product sales and generate revenue.</w:t>
      </w:r>
    </w:p>
    <w:p>
      <w:pPr>
        <w:spacing w:after="0" w:line="287"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one jurisdiction, we may never obtain approval for our product candidates in other jurisdictions, which would limit our market opportunities and adversely affect our business.</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Sales of our approved products are, and will be, subject to U.S. and foreign regulatory requirements governing clinical trials and marketing approval, and we plan to seek regulatory approval to commercialize our product candidates in North America, the EU and in additional foreign countries.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regulatory authorities in other countries or jurisdictions, and approval by one foreign regulatory authority does not ensure approval by regulatory authorities in other countries. Approval procedures vary among jurisdictions and can be lengthy and expensive, and involve requirements and administrative review periods different from, and greater than, those in the U.S., including additional pre-clinical studies or clinical trials. Even if our product candidates are approved, regulatory approval for any product may be withdrawn by the regulatory authorities in a particular jurisdiction.</w:t>
      </w:r>
    </w:p>
    <w:p>
      <w:pPr>
        <w:spacing w:after="0" w:line="182"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Even if a product is approved, the FDA or the EMA, as the case may be, may limit the indications for which the product may be marketed, require extensive warnings on the product labeling or require expensive and time-consuming clinical trials or reporting as conditions of approval. In many countries outside the U.S., a product candidate must be approved for reimbursement before it can be approved for sale in that country. In some cases, the price that we intend to charge for a product is also subject to approval.</w:t>
      </w:r>
    </w:p>
    <w:p>
      <w:pPr>
        <w:spacing w:after="0" w:line="18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Regulatory authorities in countries outside of the U.S. and the EU also have their own requirements for approval of product candidates with which we must comply prior to marketing in those countries. Obtaining foreign regulatory approvals and compliance with such foreign regulatory requirements could result in significant delays, difficulties and costs for us and could delay or prevent the introduction of our current and any future products, in certain countries.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5" w:name="page36"/>
    <w:bookmarkEnd w:id="35"/>
    <w:p>
      <w:pPr>
        <w:ind w:right="340" w:firstLine="518"/>
        <w:spacing w:after="0" w:line="342" w:lineRule="auto"/>
        <w:rPr>
          <w:sz w:val="20"/>
          <w:szCs w:val="20"/>
          <w:color w:val="auto"/>
        </w:rPr>
      </w:pPr>
      <w:r>
        <w:rPr>
          <w:rFonts w:ascii="Arial" w:cs="Arial" w:eastAsia="Arial" w:hAnsi="Arial"/>
          <w:sz w:val="16"/>
          <w:szCs w:val="16"/>
          <w:color w:val="auto"/>
        </w:rPr>
        <w:t>If we fail to receive applicable marketing approvals or comply with the regulatory requirements in international markets, our target market will be reduced and our ability to realize the full market potential of our product candidates will be harmed and our business will be adversely affected.</w:t>
      </w:r>
    </w:p>
    <w:p>
      <w:pPr>
        <w:spacing w:after="0" w:line="232"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b w:val="1"/>
          <w:bCs w:val="1"/>
          <w:i w:val="1"/>
          <w:iCs w:val="1"/>
          <w:color w:val="auto"/>
        </w:rPr>
        <w:t>We work with outside scientists and their institutions in executing our business strategy of developing product candidates using our discovery platform. These scientists may have other commitments or conflicts of interest, which could limit our access to their expertise and harm our ability to leverage our discovery platform.</w:t>
      </w:r>
    </w:p>
    <w:p>
      <w:pPr>
        <w:spacing w:after="0" w:line="73"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We work with scientific advisors and collaborators at academic research institutions in connection with our discovery platform. These scientific advisors serve as our link to the various families with extreme phenotypes in that these advisors may:</w:t>
      </w:r>
    </w:p>
    <w:p>
      <w:pPr>
        <w:spacing w:after="0" w:line="62"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 families as potential candidates for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their consent to participate in our research;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 medical examinations and gather medical histories;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conduct the initial analysis of suitability of the families to participate in our research based on the foregoing;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collect data and biological samples from the family members periodically in accordance with our study protocols.</w:t>
      </w:r>
    </w:p>
    <w:p>
      <w:pPr>
        <w:spacing w:after="0" w:line="225"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These scientists and collaborators are not our employees, rather they serve as either independent contractors or the primary investigators under research collaboration agreements that we have with their sponsoring academic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independently commercializing any future products.</w:t>
      </w:r>
    </w:p>
    <w:p>
      <w:pPr>
        <w:spacing w:after="0" w:line="62"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We do not have a sales or marketing infrastructure and, as a company, have no sales, marketing or distribution experience. Our strategy involves, in part, building our own commercial infrastructure to selectively commercialize future products in niche or orphan indications. Where we believe such involvement would advance our business, we seek to retain the right to participate in the future development and commercialization of such products. For example, we have a co-promotion option for TV-45070 with Teva in the U.S.</w:t>
      </w:r>
    </w:p>
    <w:p>
      <w:pPr>
        <w:spacing w:after="0" w:line="187" w:lineRule="exact"/>
        <w:rPr>
          <w:sz w:val="20"/>
          <w:szCs w:val="20"/>
          <w:color w:val="auto"/>
        </w:rPr>
      </w:pPr>
    </w:p>
    <w:p>
      <w:pPr>
        <w:jc w:val="both"/>
        <w:ind w:right="140" w:firstLine="518"/>
        <w:spacing w:after="0" w:line="312" w:lineRule="auto"/>
        <w:rPr>
          <w:sz w:val="20"/>
          <w:szCs w:val="20"/>
          <w:color w:val="auto"/>
        </w:rPr>
      </w:pPr>
      <w:r>
        <w:rPr>
          <w:rFonts w:ascii="Arial" w:cs="Arial" w:eastAsia="Arial" w:hAnsi="Arial"/>
          <w:sz w:val="16"/>
          <w:szCs w:val="16"/>
          <w:color w:val="auto"/>
        </w:rPr>
        <w:t>To develop internal sales, distribution and marketing capabilities, we will have to invest significant amounts of financial and management resources, some of which will need to be committed prior to any confirmation that any of our proprietary product candidates will be approved. For any future products for which we decide to perform sales, marketing and distribution functions ourselves, we could face a number of additional risks, including:</w:t>
      </w:r>
    </w:p>
    <w:p>
      <w:pPr>
        <w:spacing w:after="0" w:line="39"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inability to recruit and retain adequate numbers of effective sales and marketing personnel or develop alternative sales channels;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40" w:right="30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and maintaining an independent sales and marketing organization.</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a product, the resulting revenue or the profitability from this revenue to us is likely to be lower than if we had sold, marketed and distributed that product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current or any future products effectively.</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36" w:name="page37"/>
    <w:bookmarkEnd w:id="36"/>
    <w:p>
      <w:pPr>
        <w:ind w:right="280" w:firstLine="259"/>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to commercialize any of the product candidates that we develop independently, we will be subject to ongoing regulatory obligations and continued regulatory review, which may result in significant additional expense.</w:t>
      </w:r>
    </w:p>
    <w:p>
      <w:pPr>
        <w:spacing w:after="0" w:line="6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Any regulatory approvals that we receive for our product candidates we commercialize will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w:t>
      </w:r>
    </w:p>
    <w:p>
      <w:pPr>
        <w:spacing w:after="0" w:line="18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For any approved product, we will need to ensure continued compliance with extensive regulations and requirements regarding the manufacturing processes, labeling, packaging, distribution, adverse event reporting, storage, advertising, promotion and recordkeeping for the product. These requirements include submissions of safety and other post-approval information and reports, as well as continued compliance with current good manufacturing practices, or cGMP, and current good clinical practices, or cGCP,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40" w:right="2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EMA or another applicable regulatory authority to approve pending applications or supplements to approved applications filed by us or our collaborators,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Occurrence of any of the foregoing could have a material and adverse effect on our business and results of operations.</w:t>
      </w:r>
    </w:p>
    <w:p>
      <w:pPr>
        <w:spacing w:after="0" w:line="333"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or our collaborators develop are smaller than we believe they are, our revenue may be adversely affected and our business may suffer.</w:t>
      </w:r>
    </w:p>
    <w:p>
      <w:pPr>
        <w:spacing w:after="0" w:line="62"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intend to focus our independent product development on treatments for rare diseases. Our projections of both the number of people who have these diseases, as well as the subset of people with these diseases who have the potential to benefit from treatment with our product candidates, are based on estimates. Currently, most reported estimates of the prevalence of these diseases are based on studies of small subsets of the population in specific geographic areas, which are then extrapolated to estimate the prevalence of the diseases in the U.S. or elsewhere. If the prevalence of such diseases is smaller than we have projected, then, even if our products are approved, we may not be able to successfully commercialize them.</w:t>
      </w:r>
    </w:p>
    <w:p>
      <w:pPr>
        <w:spacing w:after="0" w:line="281"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b w:val="1"/>
          <w:bCs w:val="1"/>
          <w:i w:val="1"/>
          <w:iCs w:val="1"/>
          <w:color w:val="auto"/>
        </w:rPr>
        <w:t>Even if we or our collaborators receive approval to commercialize our products, unfavorable pricing regulations and challenging third-party coverage and reimbursement practices could harm our business.</w:t>
      </w:r>
    </w:p>
    <w:p>
      <w:pPr>
        <w:spacing w:after="0" w:line="62"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Our or any collaborators’ ability to commercialize any products successfully will depend, in part, on the extent to which coverage and reimbursement for these products and related treatments will be available from government healthcare programs, private health insurers, managed care plans, and other organizations. Government authorities and third-party payers, such as private health insurers and health maintenance organizations, decide which medications they will pay for and establish reimbursement levels. A primary trend in the U.S. healthcare industry is cost containment. Government authorities and third-party payers have attempted to control costs by limiting coverage and the amount of reimbursement for particular medications. Increasingly, third-party payers are requiring that drug companies provide them with predetermined discounts from list prices and are challenging the prices charged for medical products. We cannot be sure that coverage and reimbursement will be available for any product that we or any collaborator commercialize and, if reimbursement is available, the level of reimbursement. In addition, coverage and reimbursement may impact the demand for, or the price of, any product candidate for which we or a collaborator obtains marketing approval. If coverage and reimbursement are not available or reimbursement is available only to limited levels, we or our collaborators may not be able to successfully commercialize any product candidate for which marketing approval is obtained.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7" w:name="page38"/>
    <w:bookmarkEnd w:id="37"/>
    <w:p>
      <w:pPr>
        <w:ind w:firstLine="518"/>
        <w:spacing w:after="0" w:line="269"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EMA or other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payers and by any future relaxation of laws that presently restrict imports of drugs from countries where they may be sold at lower prices than in the U.S. Third-party payers often rely upon Medicare coverage policy and payment limitations in setting their own reimbursement policies. Our or any collaborator’s inability to promptly obtain coverage and profitable payment rates from both government-funded and private payers for any approved products that we or our collaborators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target patient populations in orphan and niche indications, where we intend to selectively develop and commercialize products independently, are relatively small. In order for therapies that are designed to treat smaller patient populations to be commercially viable, the reimbursement for such therapies needs to be higher, on a relative basis, to account for the lack of volume. Accordingly, we will need to implement a coverage and reimbursement strategy for any approved product that accounts for the smaller potential market size. If we are unable to establish or sustain coverage and adequate reimbursement for our current and any future products from third party payers or the government, the adoption of those products and sales revenue will be adversely affected, which, in turn, could adversely affect the ability to market or sell those products.</w:t>
      </w:r>
    </w:p>
    <w:p>
      <w:pPr>
        <w:spacing w:after="0" w:line="287"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commercialize any products that we or our collaborators develop and affect the prices we may obtain.</w:t>
      </w:r>
    </w:p>
    <w:p>
      <w:pPr>
        <w:spacing w:after="0" w:line="6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U.S. and some foreign jurisdictions are considering or have enacted a number of legislative and regulatory proposals to change the healthcare system in ways that could affect our ability to sell any of our products profitably, once such products are approved for sale. Among policy makers and payers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88"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the PPACA, was enacted in 2010 and includes measures that have significantly changed, or will significantly change, the way healthcare is financed by both governmental and private insurers. Among the provisions of the PPACA of importance to the pharmaceutical industry are the following:</w:t>
      </w:r>
    </w:p>
    <w:p>
      <w:pPr>
        <w:spacing w:after="0" w:line="57" w:lineRule="exact"/>
        <w:rPr>
          <w:sz w:val="20"/>
          <w:szCs w:val="20"/>
          <w:color w:val="auto"/>
        </w:rPr>
      </w:pPr>
    </w:p>
    <w:p>
      <w:pPr>
        <w:ind w:left="1040" w:right="280" w:hanging="519"/>
        <w:spacing w:after="0" w:line="308"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 that began in 2011;</w:t>
      </w:r>
    </w:p>
    <w:p>
      <w:pPr>
        <w:spacing w:after="0" w:line="38" w:lineRule="exact"/>
        <w:rPr>
          <w:rFonts w:ascii="Arial" w:cs="Arial" w:eastAsia="Arial" w:hAnsi="Arial"/>
          <w:sz w:val="17"/>
          <w:szCs w:val="17"/>
          <w:color w:val="auto"/>
        </w:rPr>
      </w:pPr>
    </w:p>
    <w:p>
      <w:pPr>
        <w:ind w:left="1040" w:right="3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the rebates a manufacturer must pay under the Medicaid Drug Rebate Program to 23% and 13% of the average manufacturer price for branded and generic drugs, respectively;</w:t>
      </w:r>
    </w:p>
    <w:p>
      <w:pPr>
        <w:spacing w:after="0" w:line="62" w:lineRule="exact"/>
        <w:rPr>
          <w:rFonts w:ascii="Arial" w:cs="Arial" w:eastAsia="Arial" w:hAnsi="Arial"/>
          <w:sz w:val="18"/>
          <w:szCs w:val="18"/>
          <w:color w:val="auto"/>
        </w:rPr>
      </w:pPr>
    </w:p>
    <w:p>
      <w:pPr>
        <w:ind w:left="1040" w:right="160" w:hanging="519"/>
        <w:spacing w:after="0" w:line="264"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040" w:right="280" w:hanging="519"/>
        <w:spacing w:after="0" w:line="264"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beginning in 2014, thereby potentially increasing manufacturers’ Medicaid rebate liability;</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8" w:name="page39"/>
    <w:bookmarkEnd w:id="38"/>
    <w:p>
      <w:pPr>
        <w:ind w:left="1040" w:right="60" w:hanging="519"/>
        <w:spacing w:after="0" w:line="253"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requirements under the federal Open Payments program, created under Section 6002 of the PPACA and its implementing regulations that manufacturers of drugs, devices, biologics and medical supplies for which payment is available under Medicare, Medicaid or the Children’s Health Insurance Program (with certain exceptions) report annually to the U.S. Department of Health and Human Services, or HHS, information related to “payments or other transfers of value” made or distributed to physicians (defined to include doctors, dentists, optometrists, podiatrists and chiropractors) and teaching hospitals and that applicable manufacturers and applicable group purchasing organizations report annually to the HHS ownership and investment interests held by physicians (as defined above) and their immediate family members, with data collection required beginning August 1, 2013 and reporting to the Centers for Medicare &amp; Medicaid Services, or CMS, required by the 90th day of each subsequent calendar year, and disclosure of such information made on a publicly available website starting September 2014;</w:t>
      </w:r>
    </w:p>
    <w:p>
      <w:pPr>
        <w:spacing w:after="0" w:line="89"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62"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beginning in 2014, has authority to recommend certain changes to the Medicare program that could result in reduced payments for prescription drugs and those recommendations could have the effect of law even if Congress does not act on the recommendations; and</w:t>
      </w:r>
    </w:p>
    <w:p>
      <w:pPr>
        <w:spacing w:after="0" w:line="73"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CMS to test innovative payment and service delivery models to lower Medicare and Medicaid spending, potentially including prescription drug spending, that began, in 2011.</w:t>
      </w:r>
    </w:p>
    <w:p>
      <w:pPr>
        <w:spacing w:after="0" w:line="17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current or any future products. In addition to continuing pressure on prices and cost containment measures, legislative developments at the EU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products, if any, might not be considered medically reasonable and necessary for a specific indication or cost-effective by third-party payers. An adequate level of reimbursement might not be available for such products and third-party payers’ reimbursement policies might adversely affect our or our collaborators’ ability to sell any future products profitably.</w:t>
      </w:r>
    </w:p>
    <w:p>
      <w:pPr>
        <w:spacing w:after="0" w:line="189"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Trump administration and Congress may also attempt broad sweeping changes to the current health care laws, including PPACA. The impact of any such changes on us and the pharmaceutical industry as a whole is currently unknown. Any changes to the PPACA are likely to have an impact on our results of operations, and may have a material adverse effect on our result of operations. We cannot predict the likelihood, nature or extent of government regulation that may arise from future legislation or administrative action, either in the U.S.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most foreign countries, particularly those in the EU,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39" w:name="page40"/>
    <w:bookmarkEnd w:id="39"/>
    <w:p>
      <w:pPr>
        <w:ind w:right="20" w:firstLine="518"/>
        <w:spacing w:after="0" w:line="293"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 that is generated from the sale of the product in that country. If reimbursement of such products is unavailable or limited in scope or amount, or if pricing is set at unsatisfactory levels, or if there is competition from lower priced cross-border sales, our profitability will be negatively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80" w:firstLine="259"/>
        <w:spacing w:after="0" w:line="381" w:lineRule="auto"/>
        <w:rPr>
          <w:sz w:val="20"/>
          <w:szCs w:val="20"/>
          <w:color w:val="auto"/>
        </w:rPr>
      </w:pPr>
      <w:r>
        <w:rPr>
          <w:rFonts w:ascii="Arial" w:cs="Arial" w:eastAsia="Arial" w:hAnsi="Arial"/>
          <w:sz w:val="15"/>
          <w:szCs w:val="15"/>
          <w:b w:val="1"/>
          <w:bCs w:val="1"/>
          <w:i w:val="1"/>
          <w:iCs w:val="1"/>
          <w:color w:val="auto"/>
        </w:rPr>
        <w:t>We depend on our collaborative relationship with Teva to further develop and commercialize TV-45070, and if our relationship is not successful or is terminated, we may not be able to effectively develop and/or commercialize TV-45070, which could have a material adverse effect on our business.</w:t>
      </w:r>
    </w:p>
    <w:p>
      <w:pPr>
        <w:spacing w:after="0" w:line="10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We depend on Teva to collaborate with us to develop and globally commercialize TV-45070. Under the agreement, Teva controls all decision-making with respect to the clinical development and commercialization for TV-45070.</w:t>
      </w:r>
    </w:p>
    <w:p>
      <w:pPr>
        <w:spacing w:after="0" w:line="17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As a result of our dependence on Teva, the eventual success or commercial viability of TV-45070 is largely beyond our control. The financial returns to us, if any, depend in large part on the achievement of development and commercialization milestones, plus a share of any revenue from sales. Therefore, our success, and any associated financial returns to us and our investors, will depend in large part on Teva’s performance under the agreement. We are subject to a number of additional specific risks associated with our dependence on our collaborative relationship with Teva, including:</w:t>
      </w:r>
    </w:p>
    <w:p>
      <w:pPr>
        <w:spacing w:after="0" w:line="46"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decisions by Teva or the Joint Development Committee regarding the development and commercialization of TV-45070;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possible disagreements as to the timing, nature and extent of development plans, including clinical trials or regulatory approval strategy;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significant rights if we fail to meet our obligations under the agreement;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limited control over clinical trials of TV-45070;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key management personnel at Teva, including in members of the Joint Development Committee;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possible disagreements with Teva regarding the agreement, for example, with regard to ownership of intellectual property rights.</w:t>
      </w:r>
    </w:p>
    <w:p>
      <w:pPr>
        <w:spacing w:after="0" w:line="225"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If either we or Teva fail to perform our respective obligations, any clinical trial, regulatory approval or development progress could be significantly delayed or halted, could result in costly or time-consuming litigation or arbitration and could have a material adverse effect on our business.</w:t>
      </w:r>
    </w:p>
    <w:p>
      <w:pPr>
        <w:spacing w:after="0" w:line="124"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Decisions by Teva to emphasize other drug candidates currently in its portfolio ahead of our product candidates, or to add competitive agents to its portfolio could result in a decision to terminate the agreement, in which event, among other things, we may be responsible for paying any remaining costs of all ongoing or future clinical trials.</w:t>
      </w:r>
    </w:p>
    <w:p>
      <w:pPr>
        <w:spacing w:after="0" w:line="18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In addition, Teva’s executive offices and a substantial percentage of their manufacturing capabilities are located in Israel. Teva’s Israeli operations are dependent upon materials imported from outside Israel, and Teva also exports significant amounts of products from Israel. Accordingly, our collaboration with Teva could be materially and adversely affected by acts of terrorism or if major hostilities were to occur in the Middle East or trade between Israel and its present trading partners were curtailed, including as a result of acts of terrorism in the U.S. or elsewhere.</w:t>
      </w:r>
    </w:p>
    <w:p>
      <w:pPr>
        <w:spacing w:after="0" w:line="17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Any of the above discussed scenarios could adversely affect the timing and extent of our development and commercialization activities, which could cause significant delays and funding shortfalls for those activities and seriously harm our business.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40" w:name="page41"/>
    <w:bookmarkEnd w:id="40"/>
    <w:p>
      <w:pPr>
        <w:ind w:right="80" w:firstLine="259"/>
        <w:spacing w:after="0" w:line="277" w:lineRule="auto"/>
        <w:rPr>
          <w:sz w:val="20"/>
          <w:szCs w:val="20"/>
          <w:color w:val="auto"/>
        </w:rPr>
      </w:pPr>
      <w:r>
        <w:rPr>
          <w:rFonts w:ascii="Arial" w:cs="Arial" w:eastAsia="Arial" w:hAnsi="Arial"/>
          <w:sz w:val="18"/>
          <w:szCs w:val="18"/>
          <w:b w:val="1"/>
          <w:bCs w:val="1"/>
          <w:i w:val="1"/>
          <w:iCs w:val="1"/>
          <w:color w:val="auto"/>
        </w:rPr>
        <w:t>Our prospects for successful development and commercialization of our partnered products and product candidates are dependent upon the research, development and marketing efforts of our collaborators.</w:t>
      </w:r>
    </w:p>
    <w:p>
      <w:pPr>
        <w:spacing w:after="0" w:line="62"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have no control over the resources, time and effort that our collaborators may devote to our programs and limited access to information regarding or resulting from such programs. We are dependent on Teva, Genentech, and Merck to fund and conduct the research and any clinical development of product candidates under our collaboration with each of them, and for the successful regulatory approval, marketing and commercialization of one or more of such products or product candidates. Such success will be subject to significant uncertainty.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recognize revenue from successful collaborations may be impaired by multiple factors including:</w:t>
      </w:r>
    </w:p>
    <w:p>
      <w:pPr>
        <w:spacing w:after="0" w:line="117" w:lineRule="exact"/>
        <w:rPr>
          <w:sz w:val="20"/>
          <w:szCs w:val="20"/>
          <w:color w:val="auto"/>
        </w:rPr>
      </w:pPr>
    </w:p>
    <w:p>
      <w:pPr>
        <w:ind w:left="10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may shift its priorities and resources away from our programs due to a change in business strategies, or a merger, acquisition, sale or downsizing of its company or business unit;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may cease development in therapeutic areas which are the subject of our strategic alliances;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may change the success criteria for a particular program or product candidate thereby delaying or ceasing development of such program or candidate;</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 collaborator will also delay payment of milestones tied to such activities, thereby impacting our ability to fund our own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could develop a product that competes, either directly or indirectly, with our current or future products, if any;</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with commercialization obligations may not commit sufficient financial or human resources to the marketing, distribution or sale of a product;</w:t>
      </w:r>
    </w:p>
    <w:p>
      <w:pPr>
        <w:spacing w:after="0" w:line="62"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with manufacturing responsibilities may encounter regulatory, resource or quality issues and be unable to meet demand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may exercise its rights under the agreement to terminate our collaboration;</w:t>
      </w:r>
    </w:p>
    <w:p>
      <w:pPr>
        <w:spacing w:after="0" w:line="117" w:lineRule="exact"/>
        <w:rPr>
          <w:rFonts w:ascii="Arial" w:cs="Arial" w:eastAsia="Arial" w:hAnsi="Arial"/>
          <w:sz w:val="18"/>
          <w:szCs w:val="18"/>
          <w:color w:val="auto"/>
        </w:rPr>
      </w:pPr>
    </w:p>
    <w:p>
      <w:pPr>
        <w:ind w:left="1040" w:right="60" w:hanging="519"/>
        <w:spacing w:after="0" w:line="286"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dispute may arise between us and a collaborator concerning the research or development of a product candidate, commercialization of a product or payment of royalties or milestone payments, any of which could result in a delay in milestones, royalty payments or termination of a program and possibly resulting in costly litigation or arbitration which may divert management attention and resources;</w:t>
      </w:r>
    </w:p>
    <w:p>
      <w:pPr>
        <w:spacing w:after="0" w:line="57" w:lineRule="exact"/>
        <w:rPr>
          <w:rFonts w:ascii="Arial" w:cs="Arial" w:eastAsia="Arial" w:hAnsi="Arial"/>
          <w:sz w:val="17"/>
          <w:szCs w:val="17"/>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may not adequately protect the intellectual property rights associated with a product or product candidate;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may use our proprietary information or intellectual property in such a way as to invite litigation from a third party.</w:t>
      </w:r>
    </w:p>
    <w:p>
      <w:pPr>
        <w:spacing w:after="0" w:line="22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If our collaborators do not perform in the manner we expect or fulfill their responsibilities in a timely manner, or at all, the clinical development, regulatory approval and commercialization efforts could be delayed, terminated or be commercially unsuccessful. Conflicts between us and our collaborators may arise. In the event of termination of one or more of our collaboration agreements, it may become necessary for us to assume the responsibility of any terminated product or product candidates at our own expense or seek new collaborators. In that event, we would likely be required to limit the size and scope of one or more of our independent programs or increase our expenditures and seek additional funding which may not be available on acceptable terms or at all, and our business would be materially and adversely affected.</w:t>
      </w:r>
    </w:p>
    <w:p>
      <w:pPr>
        <w:spacing w:after="0" w:line="287"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new collaborations or maintaining our existing alliances, which could adversely affect our ability to develop future product candidates and commercialize future products.</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may seek to enter into additional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other collaborations or other alternative arrangements for any future product candidates because our research and development pipeline may be insufficient, our product candidates may be deemed to be at too early of a stage of development for collaboration effort and/or third parties may view our product candidates as lacking the requisite potential to demonstrate safety and efficacy.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1" w:name="page42"/>
    <w:bookmarkEnd w:id="41"/>
    <w:p>
      <w:pPr>
        <w:ind w:right="200" w:firstLine="518"/>
        <w:spacing w:after="0" w:line="277" w:lineRule="auto"/>
        <w:rPr>
          <w:sz w:val="20"/>
          <w:szCs w:val="20"/>
          <w:color w:val="auto"/>
        </w:rPr>
      </w:pPr>
      <w:r>
        <w:rPr>
          <w:rFonts w:ascii="Arial" w:cs="Arial" w:eastAsia="Arial" w:hAnsi="Arial"/>
          <w:sz w:val="18"/>
          <w:szCs w:val="18"/>
          <w:color w:val="auto"/>
        </w:rPr>
        <w:t>If any of our existing collaboration agreements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cash expenditures related to development of our product candidates would increase significantly and we may need to seek additional financing sooner than expected;</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competitiveness of any product that is commercialized could be reduced.</w:t>
      </w:r>
    </w:p>
    <w:p>
      <w:pPr>
        <w:spacing w:after="0" w:line="333" w:lineRule="exact"/>
        <w:rPr>
          <w:sz w:val="20"/>
          <w:szCs w:val="20"/>
          <w:color w:val="auto"/>
        </w:rPr>
      </w:pPr>
    </w:p>
    <w:p>
      <w:pPr>
        <w:ind w:right="520" w:firstLine="259"/>
        <w:spacing w:after="0" w:line="375" w:lineRule="auto"/>
        <w:rPr>
          <w:sz w:val="20"/>
          <w:szCs w:val="20"/>
          <w:color w:val="auto"/>
        </w:rPr>
      </w:pPr>
      <w:r>
        <w:rPr>
          <w:rFonts w:ascii="Arial" w:cs="Arial" w:eastAsia="Arial" w:hAnsi="Arial"/>
          <w:sz w:val="15"/>
          <w:szCs w:val="15"/>
          <w:b w:val="1"/>
          <w:bCs w:val="1"/>
          <w:i w:val="1"/>
          <w:iCs w:val="1"/>
          <w:color w:val="auto"/>
        </w:rPr>
        <w:t>We intend to rely on third-party manufacturers to produce our clinical product candidate supplies. Any failure by a third-party manufacturer to produce acceptable supplies for us may delay or impair our ability to initiate or complete our clinical trials or commercialize approved products.</w:t>
      </w:r>
    </w:p>
    <w:p>
      <w:pPr>
        <w:spacing w:after="0" w:line="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do not currently own or operate any manufacturing facilities nor do we have any in-house manufacturing experience or personnel. We rely on our collaborators to manufacture product candidates licensed to them or work with multiple third party contract manufacturers to produce sufficient quantities of materials required for the manufacture of our product candidates for pre-clinical testing and clinical trials and intend to do so for the commercial manufacture of our products.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w:t>
      </w:r>
    </w:p>
    <w:p>
      <w:pPr>
        <w:spacing w:after="0" w:line="193"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277"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b w:val="1"/>
          <w:bCs w:val="1"/>
          <w:i w:val="1"/>
          <w:iCs w:val="1"/>
          <w:color w:val="auto"/>
        </w:rPr>
        <w:t>We rely on third parties to monitor, support, conduct and/or oversee clinical trials of the product candidates that we are developing independently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8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rely on entities outside of our control, which may include academic institutions, CROs, hospitals, clinics and other third-party collaborators, to monitor, support, conduct and/or oversee pre-clinical and clinical studies of our current and future product candidates. We also rely on third parties to perform clinical trials on our current and future product candidates when they reach that stage. As a result, we have less control over the timing and cost of these studies and the ability to recruit trial subjects than if we conducted these trials with our own personnel.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42" w:name="page43"/>
    <w:bookmarkEnd w:id="42"/>
    <w:p>
      <w:pPr>
        <w:ind w:firstLine="518"/>
        <w:spacing w:after="0" w:line="254" w:lineRule="auto"/>
        <w:rPr>
          <w:sz w:val="20"/>
          <w:szCs w:val="20"/>
          <w:color w:val="auto"/>
        </w:rPr>
      </w:pPr>
      <w:r>
        <w:rPr>
          <w:rFonts w:ascii="Arial" w:cs="Arial" w:eastAsia="Arial" w:hAnsi="Arial"/>
          <w:sz w:val="18"/>
          <w:szCs w:val="18"/>
          <w:color w:val="auto"/>
        </w:rPr>
        <w:t>If we are unable to maintain or enter into agreements with these third parties on acceptable terms, or if any such engagement is terminated prematurely, we may be unable to enroll patients on a timely basis or otherwise conduct our trials in the manner we anticipate. In addition, there is no guarantee that these third parties will devote adequate time and resources to our studies or perform as required by our contract or in accordance with regulatory requirements, including maintenance of clinical trial information regarding our product candidates.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or delayed with additional costs incurred, or our data may be rejected by the FDA, EMA or other regulatory agencies.</w:t>
      </w:r>
    </w:p>
    <w:p>
      <w:pPr>
        <w:spacing w:after="0" w:line="19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70"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We and our CROs are required to comply with cGCP regulations and guidelines enforced by the FDA, the competent authorities of the member states of the European Economic Area and comparable foreign regulatory authorities for products in clinical development. Regulatory authorities enforce these cGCP regulations through periodic inspections of clinical trial sponsors, principal investigators and clinical trial sites. If we or any of our CROs fail to comply with applicable cGCP regulations, the clinical data generated in our clinical trials may be deemed unreliable and our submission of marketing applications may be delayed or the FDA may require us to perform additional clinical trials before approving our marketing applications. Upon inspection, the FDA could determine that any of our clinical trials fail or have failed to comply with applicable cGCP regulations. In addition, our clinical trials must be conducted with product produced under the cGMP regulations enforced by the FDA, and our clinical trials may require a large number of test subjects. Our failure to comply with these regulations may require us to repeat clinical trials, which would delay the regulatory approval process and increase our costs. Moreover, our business may be implicated if any of our CROs violates federal or state fraud and abuse or false claims laws and regulations or healthcare privacy and security laws.</w:t>
      </w:r>
    </w:p>
    <w:p>
      <w:pPr>
        <w:spacing w:after="0" w:line="195"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If any of our clinical trial sites terminates for any reason, we may experience the loss of follow-up information on patients enrolled in our ongoing clinical trials unless we are able to transfer the care of those patients to another qualified clinical trial site. Further, if our relationship with any of our CROs is terminated, we may be unable to enter into arrangements with alternative CROs on commercially reasonable terms, or at all.</w:t>
      </w:r>
    </w:p>
    <w:p>
      <w:pPr>
        <w:spacing w:after="0" w:line="16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Switching or adding CROs or other suppliers can involve substantial cost and require extensive management time and focus. In addition, there is a natural transition period when a new CRO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could be unsuccessful in obtaining or maintaining adequate patent protection for one or more of our products or product candidates.</w:t>
      </w:r>
    </w:p>
    <w:p>
      <w:pPr>
        <w:spacing w:after="0" w:line="12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commercial success will depend, in large part, on our ability to obtain and maintain patent and other intellectual property protection with respect to our product candidates. Patents might not be issued or granted with respect to our patent applications that are currently pending, and issued or granted patents might later be found to be invalid or unenforceable, be interpreted in a manner that does not adequately protect our current product or any future products, or fail to otherwise provide us with any competitive advantage. The patent position of biotechnology and pharmaceutical companies is generally uncertain because it involves complex legal and factual considerations. The standards applied by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3" w:name="page44"/>
    <w:bookmarkEnd w:id="43"/>
    <w:p>
      <w:pPr>
        <w:ind w:firstLine="518"/>
        <w:spacing w:after="0" w:line="253"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The USPTO and various non-US governmental patent agencies require compliance with a number of procedural, documentary, fee payment and other similar provisions during the patent application process. We employ reputable law firms and other professionals to help us comply with respect to the patents and patent applications that we own, and we rely upon our licensors or our other collaborators to effect compliance with respect to the patents and patent applications that we license.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examples are illustrative:</w:t>
      </w:r>
    </w:p>
    <w:p>
      <w:pPr>
        <w:spacing w:after="0" w:line="117" w:lineRule="exact"/>
        <w:rPr>
          <w:sz w:val="20"/>
          <w:szCs w:val="20"/>
          <w:color w:val="auto"/>
        </w:rPr>
      </w:pPr>
    </w:p>
    <w:p>
      <w:pPr>
        <w:ind w:left="1040" w:right="2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obtain patents for certain compounds many years before we obtain marketing approval for products containing such compounds, and because patents have a limited life, which may begin to run out prior to the commercial sale of the related product, the commercial value of our patents may be limited;</w:t>
      </w:r>
    </w:p>
    <w:p>
      <w:pPr>
        <w:spacing w:after="0" w:line="73" w:lineRule="exact"/>
        <w:rPr>
          <w:rFonts w:ascii="Arial" w:cs="Arial" w:eastAsia="Arial" w:hAnsi="Arial"/>
          <w:sz w:val="18"/>
          <w:szCs w:val="18"/>
          <w:color w:val="auto"/>
        </w:rPr>
      </w:pPr>
    </w:p>
    <w:p>
      <w:pPr>
        <w:ind w:left="1040" w:right="880" w:hanging="519"/>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U.S., or we may fail to apply for or obtain adequate intellectual property protection in all the jurisdictions in which we operate; and</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current or future products, if any, and our patents or other intellectual property rights may not be effective or sufficient to prevent them from competing.</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4" w:name="page45"/>
    <w:bookmarkEnd w:id="44"/>
    <w:p>
      <w:pPr>
        <w:ind w:right="20" w:firstLine="518"/>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93"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80"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b w:val="1"/>
          <w:bCs w:val="1"/>
          <w:i w:val="1"/>
          <w:iCs w:val="1"/>
          <w:color w:val="auto"/>
        </w:rPr>
        <w:t>Patent protection and patent prosecution for some of our product candidates is dependent on, and the ability to assert patents and defend them against claims of invalidity is maintained by, third parties.</w:t>
      </w:r>
    </w:p>
    <w:p>
      <w:pPr>
        <w:spacing w:after="0" w:line="62"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There have been and may be times in the future when certain patents that relate to our product candidates or any approved products are controlled by our licensees or licensors. Although we may, under such arrangements, have rights to consult with our collaborators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Currently, some of these rights relating to the patent portfolios for TV-45070, GDC-0310, Glybera and some of our earlier stage product candidates are held by our collaborators.</w:t>
      </w:r>
    </w:p>
    <w:p>
      <w:pPr>
        <w:spacing w:after="0" w:line="17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5" w:name="page46"/>
    <w:bookmarkEnd w:id="45"/>
    <w:p>
      <w:pPr>
        <w:ind w:right="580" w:firstLine="259"/>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one of our licensors is not valid or is unenforceable, or may refuse to stop the other party in such infringement proceeding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any of our patent applications at risk of not yielding an issued patent.</w:t>
      </w:r>
    </w:p>
    <w:p>
      <w:pPr>
        <w:spacing w:after="0" w:line="19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Interference proceedings, derivation proceedings, entitlement proceedings, ex parte reexamination, inter partes reexamination, inter partes review, post-grant review, and opposition proceedings provoked by third parties or brought by the USPTO or any foreign patent authority may be used to challenge inventorship, ownership, claim scope, or validity of our patent applications.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Litigation or interference proceedings may fail and, even if successful, may result in substantial costs and distract our management and other employees.</w:t>
      </w:r>
    </w:p>
    <w:p>
      <w:pPr>
        <w:spacing w:after="0" w:line="193"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We may not be able to prevent, alone or with our licensors, misappropriation of our trade secrets or confidential information, particularly in countries where the laws may not protect those rights as fully as in the U.S.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market price of our common shares.</w:t>
      </w:r>
    </w:p>
    <w:p>
      <w:pPr>
        <w:spacing w:after="0" w:line="266" w:lineRule="exact"/>
        <w:rPr>
          <w:sz w:val="20"/>
          <w:szCs w:val="20"/>
          <w:color w:val="auto"/>
        </w:rPr>
      </w:pPr>
    </w:p>
    <w:p>
      <w:pPr>
        <w:ind w:right="320" w:firstLine="259"/>
        <w:spacing w:after="0" w:line="308" w:lineRule="auto"/>
        <w:rPr>
          <w:sz w:val="20"/>
          <w:szCs w:val="20"/>
          <w:color w:val="auto"/>
        </w:rPr>
      </w:pPr>
      <w:r>
        <w:rPr>
          <w:rFonts w:ascii="Arial" w:cs="Arial" w:eastAsia="Arial" w:hAnsi="Arial"/>
          <w:sz w:val="17"/>
          <w:szCs w:val="17"/>
          <w:b w:val="1"/>
          <w:bCs w:val="1"/>
          <w:i w:val="1"/>
          <w:iCs w:val="1"/>
          <w:color w:val="auto"/>
        </w:rPr>
        <w:t>Claims that our product candidates or the sale or use of our future products infringe the patent or other intellectual property rights of third parties could result in costly litigation or could require substantial time and money to resolve, even if litigation is avoided.</w:t>
      </w:r>
    </w:p>
    <w:p>
      <w:pPr>
        <w:spacing w:after="0" w:line="3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commercial success depends upon our ability to develop product candidates and commercialize products that may be approved in the future, using our proprietary technology without infringing the intellectual property rights of others. Our product or product candidates or any uses of them may now and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78"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color w:val="auto"/>
        </w:rPr>
        <w:t>It is possible that relevant patents or patent applications held by third parties will cover our product candidates at the time of launch and we may also fail to identify, relevant patents or patent applications held by third parties that cover our product candidates. For example, applications filed before November 29, 2000, and certain applications filed after that date that will not be filed outside the U.S. remain confidential until patents issue. Other patent applications in the U.S.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USPTO or its foreign counterpart to determine priority of invention. Additionally, pending patent applications and patents which have been published can, subject to certain limitations, be later amended in a manner that could cover our current or future products, if any, or their use.</w:t>
      </w:r>
    </w:p>
    <w:p>
      <w:pPr>
        <w:spacing w:after="0" w:line="18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6" w:name="page47"/>
    <w:bookmarkEnd w:id="46"/>
    <w:p>
      <w:pPr>
        <w:ind w:right="120" w:firstLine="518"/>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financial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collaborations that would help us bring our product candidates to market.</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collaborators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intellectual property litigation and we could lose,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current or future products, if any, in order to avoid infringing or otherwise violating third-party intellectual property rights. This may not be technically or commercially feasible, may render those products less competitive, or may delay or prevent the entry of those products to the market. Any of the foregoing could limit our research and development activities, our ability to commercialize one or more product candidates, or both.</w:t>
      </w:r>
    </w:p>
    <w:p>
      <w:pPr>
        <w:spacing w:after="0" w:line="183"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In the future, we may receive offers to license and demands to license from third parties claiming that we are infringing their intellectual property or owe license fees and, even if such claims are without merit, we could fail to successfully avoid or settle such claims.</w:t>
      </w:r>
    </w:p>
    <w:p>
      <w:pPr>
        <w:spacing w:after="0" w:line="166"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If Teva, uniQure, Genentech or Merck license or otherwise acquire rights to intellectual property controlled by a third party in various circumstances, for example, where a product could not be legally developed or commercialized in a country without the third-party intellectual property right or, where it is decided that it would be useful to acquire such third-party right to develop or commercialize the product, they are eligible under our collaboration agreements to decrease payments payable to us on a product-by-product basis and, in certain cases, on a country-by-country basis. Any of the foregoing events could harm our business significantly.</w:t>
      </w:r>
    </w:p>
    <w:p>
      <w:pPr>
        <w:spacing w:after="0" w:line="296" w:lineRule="exact"/>
        <w:rPr>
          <w:sz w:val="20"/>
          <w:szCs w:val="20"/>
          <w:color w:val="auto"/>
        </w:rPr>
      </w:pPr>
    </w:p>
    <w:p>
      <w:pPr>
        <w:ind w:right="820" w:firstLine="259"/>
        <w:spacing w:after="0" w:line="277" w:lineRule="auto"/>
        <w:rPr>
          <w:sz w:val="20"/>
          <w:szCs w:val="20"/>
          <w:color w:val="auto"/>
        </w:rPr>
      </w:pPr>
      <w:r>
        <w:rPr>
          <w:rFonts w:ascii="Arial" w:cs="Arial" w:eastAsia="Arial" w:hAnsi="Arial"/>
          <w:sz w:val="18"/>
          <w:szCs w:val="18"/>
          <w:b w:val="1"/>
          <w:bCs w:val="1"/>
          <w:i w:val="1"/>
          <w:iCs w:val="1"/>
          <w:color w:val="auto"/>
        </w:rPr>
        <w:t>If we breach any of the agreements under which we license the use, development and commercialization rights to our product candidates or technology from third parties, we could lose license rights that are important to our business.</w:t>
      </w:r>
    </w:p>
    <w:p>
      <w:pPr>
        <w:spacing w:after="0" w:line="6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Under our existing license and other agreements, including those associated with our XEN1101 program,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licensing partners may have the right to terminate the applicable license in whole or in part. Generally, the loss of any one of our current licenses, or any other license we may acquire in the future, could materially harm our business, prospects, financial condition and results of operations.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7" w:name="page48"/>
    <w:bookmarkEnd w:id="47"/>
    <w:p>
      <w:pPr>
        <w:ind w:right="800" w:firstLine="259"/>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discovery platform, business strategy and product candidates in order to protect our competitive position, which are difficult to protect.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280"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b w:val="1"/>
          <w:bCs w:val="1"/>
          <w:i w:val="1"/>
          <w:iCs w:val="1"/>
          <w:color w:val="auto"/>
        </w:rPr>
        <w:t>Recent court decisions could increase the uncertainties and costs surrounding the prosecution of our patent applications and the enforcement or defense of our issued patents.</w:t>
      </w:r>
    </w:p>
    <w:p>
      <w:pPr>
        <w:spacing w:after="0" w:line="62"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On June 13, 2013, the U.S. Supreme Court decision in Association for Molecular Pathology v. Myriad Genetics, Inc., held that isolated DNA sequences are not patentable. In December 2014, the USPTO issued its Interim Guidance on Patent Subject Matter Eligibility, in which it extended Myriad's "marked difference" standard for patent subject matter eligibility to all potential natural products. This standard applies to patent claims that recite not only nucleic acids (such as DNA in Myriad), but also other subject matter that could be considered a natural product, such as peptides, proteins, extracts, organisms, antibodies, chemicals, and minerals. As a consequence of the Myriad decision and the USPTO’s Interim Guidance, if any of our future product candidates utilize isolated DNA, peptides, proteins or the like, we will not be able to obtain patents in the U.S. claiming such novel gene targets that we discover, which could limit our ability to prevent third parties from developing drugs directed against such targets.</w:t>
      </w:r>
    </w:p>
    <w:p>
      <w:pPr>
        <w:spacing w:after="0" w:line="286"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Act and similar legislation outside of the U.S. by extending the patent terms for our product candidates, our business may be materially harmed.</w:t>
      </w:r>
    </w:p>
    <w:p>
      <w:pPr>
        <w:spacing w:after="0" w:line="62"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if any, one or more U.S. patents may be eligible for limited patent term restoration under the Hatch-Waxman Act. The Hatch-Waxman Act permits a patent restoration term of up to five years as compensation for patent term lost during clinical testing of the product and the subsequent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5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89"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b w:val="1"/>
          <w:bCs w:val="1"/>
          <w:i w:val="1"/>
          <w:iCs w:val="1"/>
          <w:color w:val="auto"/>
        </w:rPr>
        <w:t>We have not registered our corporate name as a trademark in all of our potential markets, and failure to secure those registrations could adversely affect our business.</w:t>
      </w:r>
    </w:p>
    <w:p>
      <w:pPr>
        <w:spacing w:after="0" w:line="62"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Our corporate name, Xenon, has not been trademarked in each market where we operate and plan to operate. Our trademark applications for our corporate name or the name of our products may not be allowed for registration, and our registered trademarks may not be maintained or enforced. During trademark registration proceedings, we may receive rejections, which we may be unable to overcome in our responses. Third parties may also attempt to register trademarks utilizing the Xenon name on their products, and we may not be successful in preventing such usage.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48" w:name="page49"/>
    <w:bookmarkEnd w:id="48"/>
    <w:p>
      <w:pPr>
        <w:ind w:right="400" w:firstLine="259"/>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our common shares may decline. Such announcements could also harm our reputation or the market for our future products, which could have a material adverse effect on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current and any future products.</w:t>
      </w:r>
    </w:p>
    <w:p>
      <w:pPr>
        <w:spacing w:after="0" w:line="62"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 Regardless of the merits or eventual outcome, liability claims may result in:</w:t>
      </w:r>
    </w:p>
    <w:p>
      <w:pPr>
        <w:spacing w:after="0" w:line="71"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decline in the market price of our common shares.</w:t>
      </w:r>
    </w:p>
    <w:p>
      <w:pPr>
        <w:spacing w:after="0" w:line="22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currently carry product liability insurance of $10,000,000 per occurrence and $10,000,000 aggregate limit. We believe our product liability insurance coverage is appropriate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then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the market price of our common shares to decline and, if judgments exceed our insurance coverage, could adversely affect our future results of operations and business.</w:t>
      </w:r>
    </w:p>
    <w:p>
      <w:pPr>
        <w:spacing w:after="0" w:line="167"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Patients with certain of the diseases targeted by our product candidates are often already in severe and advanced stages of disease and have both known and unknown significant pre-existing and potentially life-threatening conditions.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those product candidates,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49" w:name="page50"/>
    <w:bookmarkEnd w:id="49"/>
    <w:p>
      <w:pPr>
        <w:ind w:right="140" w:firstLine="259"/>
        <w:spacing w:after="0" w:line="259" w:lineRule="auto"/>
        <w:rPr>
          <w:sz w:val="20"/>
          <w:szCs w:val="20"/>
          <w:color w:val="auto"/>
        </w:rPr>
      </w:pPr>
      <w:r>
        <w:rPr>
          <w:rFonts w:ascii="Arial" w:cs="Arial" w:eastAsia="Arial" w:hAnsi="Arial"/>
          <w:sz w:val="18"/>
          <w:szCs w:val="18"/>
          <w:b w:val="1"/>
          <w:bCs w:val="1"/>
          <w:i w:val="1"/>
          <w:iCs w:val="1"/>
          <w:color w:val="auto"/>
        </w:rPr>
        <w:t>Our current and future relationships with customers and third-party payers in the U.S.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Healthcare providers, physicians and third-party payers in the U.S. and elsewhere play a primary role in the recommendation and prescription of any product candidates for which we obtain marketing approval. Our future arrangements with third-party payers and customers may expose us to broadly applicable fraud and abuse and other healthcare laws and regulations, including, without limitation, the federal Anti-Kickback Statute and the federal False Claims Act, that may constrain the business or financial arrangements and relationships through which we market, sell and distribute any products for which we obtain marketing approval.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81" w:lineRule="exact"/>
        <w:rPr>
          <w:sz w:val="20"/>
          <w:szCs w:val="20"/>
          <w:color w:val="auto"/>
        </w:rPr>
      </w:pPr>
    </w:p>
    <w:p>
      <w:pPr>
        <w:ind w:left="1040" w:right="100" w:hanging="519"/>
        <w:spacing w:after="0" w:line="25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ind w:left="1040" w:right="20" w:hanging="519"/>
        <w:spacing w:after="0" w:line="302" w:lineRule="auto"/>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including the federal False Claims Act, which impose criminal and civil penalties, including civil whistleblower or qui tam actions, against individuals or entities for knowingly presenting, or causing to be presented, to the federal government, including the Medicare and Medicaid programs, or other third party payers claims for payment that are false or fraudulent or making a false statement to avoid, decrease or conceal an obligation to pay money to the federal government;</w:t>
      </w:r>
    </w:p>
    <w:p>
      <w:pPr>
        <w:spacing w:after="0" w:line="46" w:lineRule="exact"/>
        <w:rPr>
          <w:rFonts w:ascii="Arial" w:cs="Arial" w:eastAsia="Arial" w:hAnsi="Arial"/>
          <w:sz w:val="16"/>
          <w:szCs w:val="16"/>
          <w:color w:val="auto"/>
        </w:rPr>
      </w:pPr>
    </w:p>
    <w:p>
      <w:pPr>
        <w:ind w:left="1040" w:right="70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executing a scheme to defraud any healthcare benefit program and making false statements relating to healthcare matters;</w:t>
      </w:r>
    </w:p>
    <w:p>
      <w:pPr>
        <w:spacing w:after="0" w:line="62" w:lineRule="exact"/>
        <w:rPr>
          <w:rFonts w:ascii="Arial" w:cs="Arial" w:eastAsia="Arial" w:hAnsi="Arial"/>
          <w:sz w:val="18"/>
          <w:szCs w:val="18"/>
          <w:color w:val="auto"/>
        </w:rPr>
      </w:pPr>
    </w:p>
    <w:p>
      <w:pPr>
        <w:ind w:left="1040" w:right="240" w:hanging="519"/>
        <w:spacing w:after="0" w:line="25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obligations on covered healthcare providers, health plans, and healthcare clearinghouses, as well as their business associates that create, receive, maintain, or transmit individually identifiable health information for or on their behalf,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Open Payments program; and</w:t>
      </w:r>
    </w:p>
    <w:p>
      <w:pPr>
        <w:spacing w:after="0" w:line="117" w:lineRule="exact"/>
        <w:rPr>
          <w:rFonts w:ascii="Arial" w:cs="Arial" w:eastAsia="Arial" w:hAnsi="Arial"/>
          <w:sz w:val="18"/>
          <w:szCs w:val="18"/>
          <w:color w:val="auto"/>
        </w:rPr>
      </w:pPr>
    </w:p>
    <w:p>
      <w:pPr>
        <w:ind w:left="1040" w:right="40" w:hanging="519"/>
        <w:spacing w:after="0" w:line="271"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payers,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to physicians and other healthcare providers or marketing expenditures; and state and foreign laws governing the collection, export, privacy, use and security of biological materials and health information in certain circumstances, many of which differ from each other in significant ways and may not have the same effect, thus complicating compliance efforts.</w:t>
      </w:r>
    </w:p>
    <w:p>
      <w:pPr>
        <w:spacing w:after="0" w:line="179"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0" w:name="page51"/>
    <w:bookmarkEnd w:id="50"/>
    <w:p>
      <w:pPr>
        <w:ind w:right="20" w:firstLine="259"/>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Our research and development activities involve the controlled use of potentially harmful biological materials as well as hazardous materials, chemicals, and various radioactive compounds typically employed in molecular and cellular biology. For example, we routinely use cells in culture and we employ small amounts of radioisotopes. We cannot completely eliminate the risk of accidental contamination or injury from the use, storage, handling, or disposal of these materials through our maintenance of up-to-date licensing and training programs. In the event of contamination or injury, we could be held liable for damages that result, and any liability could exceed our resources. We currently carry insurance covering certain claims arising from our use of these materials. However, if we are unable to maintain our insurance coverage at a reasonable cost and with adequate coverage, our insurance may not cover any liability that may arise. We are subject to U.S. and Canadian federal, provincial, and local laws and regulations governing the use, storage, handling, and disposal of these materials and specified waste products. Complying with regulations regarding the use of these materials could be costly, and if we fail to comply with these regulations, it could have a material adverse effect on our operations and profitability.</w:t>
      </w:r>
    </w:p>
    <w:p>
      <w:pPr>
        <w:spacing w:after="0" w:line="275"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serious disaster.</w:t>
      </w:r>
    </w:p>
    <w:p>
      <w:pPr>
        <w:spacing w:after="0" w:line="6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headquarters are located in Burnaby, British Columbia, Canada. We are vulnerable to natural disasters such as earthquakes that could disrupt our operations. If a natural disaster, power outage, fire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Although we carry insurance for earthquakes and other natural disasters, we may not carry sufficient business interruption insurance to compensate us for all losses that may occur. The disaster recovery and business continuity plans we have in place currently are limited and may not be adequate in the event of a serious disaster or similar event. We may incur substantial expenses as a result of a natural disaster or earthquake, which could have a material adverse effect on our business. In addition, we may lose samples or other valuable data. The occurrence of any of the forgoing could have a material adverse effect on our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Shares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market price of our common shares may be volatile, and purchasers of our common shares could incur substantial losses.</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market price of our common shares has fluctuated in the past and is likely to be volatile in the future. As a result of this volatility, investors may experience losses on their investment in our common shares. The market price for our common shares may be influenced by many factors, including the following:</w:t>
      </w:r>
    </w:p>
    <w:p>
      <w:pPr>
        <w:spacing w:after="0" w:line="73" w:lineRule="exact"/>
        <w:rPr>
          <w:sz w:val="20"/>
          <w:szCs w:val="20"/>
          <w:color w:val="auto"/>
        </w:rPr>
      </w:pPr>
    </w:p>
    <w:p>
      <w:pPr>
        <w:ind w:left="1040" w:right="56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actions by any of our collaborators regarding our product candidates they are developing, including announcements regarding clinical or regulatory decisions or developments or our collaboration;</w:t>
      </w:r>
    </w:p>
    <w:p>
      <w:pPr>
        <w:spacing w:after="0" w:line="62" w:lineRule="exact"/>
        <w:rPr>
          <w:rFonts w:ascii="Arial" w:cs="Arial" w:eastAsia="Arial" w:hAnsi="Arial"/>
          <w:sz w:val="18"/>
          <w:szCs w:val="18"/>
          <w:color w:val="auto"/>
        </w:rPr>
      </w:pPr>
    </w:p>
    <w:p>
      <w:pPr>
        <w:ind w:left="1040" w:right="800" w:hanging="519"/>
        <w:spacing w:after="0" w:line="308"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product candidates or new uses for existing products, significant contracts, commercial relationships or capital commitments and the timing of these introductions or announcements;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any of our products and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obtain or delays in obtaining or maintaining product approvals or clearances from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regulatory or reimbursement announcements;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legal developments in Canada, the U.S. or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successfully commercialize our future product candidates we develop independently, if approved;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1" w:name="page52"/>
    <w:bookmarkEnd w:id="51"/>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quarterly variations in our financial results or those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change to the composition of the board of directors or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common shares by us or our shareholders in the future, as well as the overall trading volume of our common shares;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040" w:right="120" w:hanging="519"/>
        <w:spacing w:after="0" w:line="342" w:lineRule="auto"/>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general economic, industry and market conditions in the pharmaceutical and biotechnology sectors and other factors that may be unrelated to our operating performance or the operating performance of our competitors, including changes in market valuations of similar companies; and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addition, the stock market in general, and NASDAQ and the biopharmaceutical industry in particular, have from time to time experienced volatility that often has been unrelated to the operating performance of the underlying companies. These broad market and industry fluctuations may adversely affect the market price of our common shares, regardless of our operating performance. In several recent situations where the market price of a stock has been volatile, holders of that stock have instituted securities class action litigation against the company that issued the stock. If any of our shareholders were to bring a lawsuit against us, the defense and disposition of the lawsuit could be costly and divert the time and attention of our management and harm our operating results.</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Future sales of our common shares in the public market could cause the market price of our common shares to fall.</w:t>
      </w:r>
    </w:p>
    <w:p>
      <w:pPr>
        <w:spacing w:after="0" w:line="117"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The market price of our common shares could decline as a result of sales of a large number of our common shares or the perception that these sales could occur. These sales, or the possibility that these sales may occur, also might make it more difficult for us to sell equity securities in the future at a time and at a price that we deem appropriate.</w:t>
      </w:r>
    </w:p>
    <w:p>
      <w:pPr>
        <w:spacing w:after="0" w:line="18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addition, in the future, we may issue additional common shares or other equity or debt securities convertible into common shares in connection with a financing, acquisition, litigation settlement, employee arrangements or otherwise. Any such issuance could result in substantial dilution to our existing shareholders and could cause the market price of our common shares to decline.</w:t>
      </w:r>
    </w:p>
    <w:p>
      <w:pPr>
        <w:spacing w:after="0" w:line="289"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b w:val="1"/>
          <w:bCs w:val="1"/>
          <w:i w:val="1"/>
          <w:iCs w:val="1"/>
          <w:color w:val="auto"/>
        </w:rPr>
        <w:t>Provisions in our corporate charter documents and Canadian law could make an acquisition of us, which may be beneficial to our shareholders, more difficult and may prevent attempts by our shareholders to replace or remove our current management and/or limit the market price of our common shares.</w:t>
      </w:r>
    </w:p>
    <w:p>
      <w:pPr>
        <w:spacing w:after="0" w:line="73" w:lineRule="exact"/>
        <w:rPr>
          <w:sz w:val="20"/>
          <w:szCs w:val="20"/>
          <w:color w:val="auto"/>
        </w:rPr>
      </w:pPr>
    </w:p>
    <w:p>
      <w:pPr>
        <w:ind w:right="200" w:firstLine="518"/>
        <w:spacing w:after="0" w:line="272" w:lineRule="auto"/>
        <w:rPr>
          <w:sz w:val="20"/>
          <w:szCs w:val="20"/>
          <w:color w:val="auto"/>
        </w:rPr>
      </w:pPr>
      <w:r>
        <w:rPr>
          <w:rFonts w:ascii="Arial" w:cs="Arial" w:eastAsia="Arial" w:hAnsi="Arial"/>
          <w:sz w:val="17"/>
          <w:szCs w:val="17"/>
          <w:color w:val="auto"/>
        </w:rPr>
        <w:t>Provisions in our articles and our by-laws, as well as certain provisions under the Canada Business Corporations Act, or CBCA, and applicable Canadian securities laws, may discourage, delay or prevent a merger, acquisition or other change in control of us that shareholders may consider favorable, including transactions in which they might otherwise receive a premium for their common shares. These provisions could also limit the price that investors might be willing to pay in the future for our common shares, thereby depressing the market price of our common shares. In addition, because our board of directors is responsible for appointing the members of our management team, these provisions may frustrate or prevent any attempts by our shareholders to replace or remove our current management by making it more difficult for shareholders to replace members of our board of directors. Among other things, these provisions include the following:</w:t>
      </w:r>
    </w:p>
    <w:p>
      <w:pPr>
        <w:spacing w:after="0" w:line="70" w:lineRule="exact"/>
        <w:rPr>
          <w:sz w:val="20"/>
          <w:szCs w:val="20"/>
          <w:color w:val="auto"/>
        </w:rPr>
      </w:pPr>
    </w:p>
    <w:p>
      <w:pPr>
        <w:ind w:left="1040" w:right="8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shareholders cannot amend our articles unless such amendment is approved by shareholders holding at least two-thirds of the shares entitled to vote on such approval;</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board of directors may, without shareholder approval, issue preferred shares having any terms, conditions, rights, preferences and privileges as the board of directors may determine;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shareholders must give advance notice to nominate directors or to submit proposals for consideration at shareholders’ meetings.</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Any provision in our articles, by-laws, under the CBCA or under any applicable Canadian securities law that has the effect of delaying or deterring a change in control could limit the opportunity for our shareholders to receive a premium for their common shares, and could also affect the price that some investors are willing to pay for our common shares.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52" w:name="page53"/>
    <w:bookmarkEnd w:id="52"/>
    <w:p>
      <w:pPr>
        <w:ind w:left="260"/>
        <w:spacing w:after="0"/>
        <w:rPr>
          <w:sz w:val="20"/>
          <w:szCs w:val="20"/>
          <w:color w:val="auto"/>
        </w:rPr>
      </w:pPr>
      <w:r>
        <w:rPr>
          <w:rFonts w:ascii="Arial" w:cs="Arial" w:eastAsia="Arial" w:hAnsi="Arial"/>
          <w:sz w:val="18"/>
          <w:szCs w:val="18"/>
          <w:b w:val="1"/>
          <w:bCs w:val="1"/>
          <w:i w:val="1"/>
          <w:iCs w:val="1"/>
          <w:color w:val="auto"/>
        </w:rPr>
        <w:t>U.S. civil liabilities may not be enforceable against us, our directors, or our officers.</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are governed by the CBCA and our principal place of business is in Canada. Many of our directors and officers reside outside of the U.S., and all or a substantial portion of their assets as well as all or a substantial portion of our assets are located outside the U.S. As a result, it may be difficult for investors to effect service of process within the U.S. upon us and certain of our directors and officers or to enforce judgments obtained against us or such persons, in U.S. courts, in any action, including actions predicated upon the civil liability provisions of U.S. federal securities laws or any other laws of the U.S. Additionally, rights predicated solely upon civil liability provisions of U.S. federal securities laws or any other laws of the U.S. may not be enforceable in original actions, or actions to enforce judgments obtained in U.S. courts, brought in Canadian courts, including courts in the Province of British Columbia.</w:t>
      </w:r>
    </w:p>
    <w:p>
      <w:pPr>
        <w:spacing w:after="0" w:line="273"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of Canada which in some cases have a different effect on shareholders than the corporate laws of Delaware, U.S.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are governed by the CBCA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our company by means of a tender offer, a proxy contest or otherwise, or may affect the price an acquiring party would be willing to offer in such an instance. The material differences between the CBCA and Delaware General Corporation Law, or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DGCL generally only requires a majority vote; and (ii) under the CBCA a holder of 5% or more of our common shares can requisition a special meeting of shareholders, whereas such right does not exist under the DGCL.</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 active trading market for our common shares may not be maintained.</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common shares are currently traded on NASDAQ, but we can provide no assurance that we will be able to maintain an active trading market on NASDAQ or any other exchange in the future. If an active market for our common shares is not maintained, it may be difficult for our shareholders to sell the common shares they have purchased without depressing the market price for the common shares or at all. Further, an inactive market may also impair our ability to raise capital by selling additional common shares and may impair our ability to enter into strategic collaborations or acquire companies or products by using our common shares as consideration.</w:t>
      </w:r>
    </w:p>
    <w:p>
      <w:pPr>
        <w:spacing w:after="0" w:line="296"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b w:val="1"/>
          <w:bCs w:val="1"/>
          <w:i w:val="1"/>
          <w:iCs w:val="1"/>
          <w:color w:val="auto"/>
        </w:rPr>
        <w:t>Complying with the laws and regulations affecting public companies will increase our costs and the demands on management and could harm our operating results and our ability to accurately report our financial condition, results of operations or cash flows, which may adversely affect investor confidence in us and, as a result, the value of our common shares.</w:t>
      </w:r>
    </w:p>
    <w:p>
      <w:pPr>
        <w:spacing w:after="0" w:line="73"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As a public company, and particularly after we cease to be an “emerging growth company,” we will incur significant legal, accounting and other expenses. In addition, the Sarbanes-Oxley Act of 2002, or the Sarbanes-Oxley Act, and the related rules and regulations subsequently implemented by the Securities and Exchange Commission, or SEC, the applicable Canadian securities regulators and NASDAQ impose numerous requirements on public companies, including requiring changes in corporate governance practices. Also, the Securities Exchange Act of 1934, as amended, or the Exchange Act, requires, among other things, that we file annual, quarterly and current reports with respect to our business and operating results. Our management and other personnel have and will continue to devote a substantial amount of time to compliance with these laws and regulations. These requirements have increased and will continue to increase our legal, accounting, and financial compliance costs and have made and will continue to make some activities more time-consuming and costly. For example, these rules and regulations make it difficult and expensive for us to maintain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of directors or our board committees or as executive officers.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3" w:name="page54"/>
    <w:bookmarkEnd w:id="53"/>
    <w:p>
      <w:pPr>
        <w:ind w:right="20" w:firstLine="518"/>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expect to avail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shares could decline and we could be subject to sanctions or investigations by the SEC or other regulatory authorities, which would require additional financial and management resources.</w:t>
      </w:r>
    </w:p>
    <w:p>
      <w:pPr>
        <w:spacing w:after="0" w:line="175"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96"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common shares less attractive to investors.</w:t>
      </w:r>
    </w:p>
    <w:p>
      <w:pPr>
        <w:spacing w:after="0" w:line="6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have our independent registered public accounting firm audit our internal control over financial reporting under Section 404,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could be an “emerging growth company” for up to five years following the completion of our initial public offering, although, if we have more than $1.0 billion in annual revenue, if the market value of our common shares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shares less attractive if we choose to rely on these exemptions. If some investors find our common shares less attractive as a result of any choices to reduce future disclosure, there may be a less active trading market for our common shares and the market price of our common shares may be more volatile.</w:t>
      </w:r>
    </w:p>
    <w:p>
      <w:pPr>
        <w:spacing w:after="0" w:line="1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As an “emerging growth company,” the JOBS Act allows us to delay adoption of new or revised accounting pronouncements applicable to public companies until such pronouncements are made applicable to private companies. However, we previously decided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96"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market price of our common shares.</w:t>
      </w:r>
    </w:p>
    <w:p>
      <w:pPr>
        <w:spacing w:after="0" w:line="73" w:lineRule="exact"/>
        <w:rPr>
          <w:sz w:val="20"/>
          <w:szCs w:val="20"/>
          <w:color w:val="auto"/>
        </w:rPr>
      </w:pPr>
    </w:p>
    <w:p>
      <w:pPr>
        <w:ind w:right="280" w:firstLine="518"/>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market price of our common shares.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4" w:name="page55"/>
    <w:bookmarkEnd w:id="54"/>
    <w:p>
      <w:pPr>
        <w:ind w:right="160" w:firstLine="518"/>
        <w:spacing w:after="0" w:line="270"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In addition, our management did not perform an evaluation of our internal control over financial reporting as of December 31, 2014 or December 31, 2013 and our independent registered public accounting firm did not perform an evaluation of our internal control over financial reporting during any period in accordance with the provisions of the Sarbanes-Oxley Act. Had we and our independent registered public accounting firm performed such an evaluation, control deficiencies may have been identified by management or our independent registered public accounting firm, and those control deficiencies could have also represented one or more material weaknesses. Undetected material weaknesses in our internal controls could lead to financial statement restatements and require us to incur the expense of remediation.</w:t>
      </w:r>
    </w:p>
    <w:p>
      <w:pPr>
        <w:spacing w:after="0" w:line="286"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shares or rights to purchase common shares, including pursuant to our equity incentive plans, could cause you to incur dilution and could cause the market price of our common shares to fall.</w:t>
      </w:r>
    </w:p>
    <w:p>
      <w:pPr>
        <w:spacing w:after="0" w:line="62"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As of September 30, 2017, options to purchase 2,207,380 of our common shares with a weighted-average exercise price of $7.74 per common share were outstanding. The exercise of any of these options would result in dilution to current shareholders. Further, because we will need to raise additional capital to fund our clinical development programs, we may in the future sell substantial amounts of common shares or securities convertible into or exchangeable for common shares. Pursuant to our equity incentive plans, our compensation committee (or a subset or delegate thereof) is authorized to grant equity-based incentive awards to our employees, directors and consultants. Future option grants and issuances of common shares under our share-based compensation plans may have an adverse effect on the market price of our common shares.</w:t>
      </w:r>
    </w:p>
    <w:p>
      <w:pPr>
        <w:spacing w:after="0" w:line="17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These future issuances of common shares or common share-related securities, together with the exercise of outstanding options and any additional common shares issued in connection with acquisitions, if any, may result in further dilution to our existing shareholders, and new investors could gain rights, preferences and privileges senior to those of holders of our common shares.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at risk of securities class action litigation.</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w:t>
      </w:r>
    </w:p>
    <w:p>
      <w:pPr>
        <w:spacing w:after="0" w:line="274"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its exchange, which could limit investors’ ability to make transactions in our securities and subject us to additional trading restrictions.</w:t>
      </w:r>
    </w:p>
    <w:p>
      <w:pPr>
        <w:spacing w:after="0" w:line="62"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Our common shares are listed on NASDAQ under the trading symbol “XENE.” Our securities may fail to meet the continued listing requirements to be listed on NASDAQ. If NASDAQ delists our common shares from trading on its exchange, we could face significant material adverse consequences, including:</w:t>
      </w:r>
    </w:p>
    <w:p>
      <w:pPr>
        <w:spacing w:after="0" w:line="73" w:lineRule="exact"/>
        <w:rPr>
          <w:sz w:val="20"/>
          <w:szCs w:val="20"/>
          <w:color w:val="auto"/>
        </w:rPr>
      </w:pPr>
    </w:p>
    <w:p>
      <w:pPr>
        <w:ind w:left="1040" w:hanging="519"/>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significant impairment of the liquidity for our common shares, which may substantially decrease the market price of our common shares;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1040" w:right="80" w:hanging="519"/>
        <w:spacing w:after="0" w:line="308"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determination that our common shares qualify as a “penny stock” which will require brokers trading in our common shares to adhere to more stringent rules and possibly resulting in a reduced level of trading activity in the secondary trading market for our common shares;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55" w:name="page56"/>
    <w:bookmarkEnd w:id="55"/>
    <w:p>
      <w:pPr>
        <w:ind w:firstLine="2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issue an adverse opinion about our business, the market price of our common shares and the trading volume of our common shares could decline.</w:t>
      </w:r>
    </w:p>
    <w:p>
      <w:pPr>
        <w:spacing w:after="0" w:line="62"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The trading market for our common shares is influenced by the research and reports that securities or industry analysts publish about us or our business. If too few securities or industry analysts cover our company, the market price of our common shares would likely be negatively impacted. If securities and industry analysts who cover us downgrade our common shares or publish inaccurate or unfavorable research about our business, the market price of our common shares would likely decline. If one or more of these analysts cease coverage of our company or fail to publish reports on us regularly, demand for our common shares could decrease, which might cause the market price of our common shares and the trading volume of our common shares to decline.</w:t>
      </w:r>
    </w:p>
    <w:p>
      <w:pPr>
        <w:spacing w:after="0" w:line="301" w:lineRule="exact"/>
        <w:rPr>
          <w:sz w:val="20"/>
          <w:szCs w:val="20"/>
          <w:color w:val="auto"/>
        </w:rPr>
      </w:pPr>
    </w:p>
    <w:p>
      <w:pPr>
        <w:ind w:right="80" w:firstLine="259"/>
        <w:spacing w:after="0" w:line="342" w:lineRule="auto"/>
        <w:rPr>
          <w:sz w:val="20"/>
          <w:szCs w:val="20"/>
          <w:color w:val="auto"/>
        </w:rPr>
      </w:pPr>
      <w:r>
        <w:rPr>
          <w:rFonts w:ascii="Arial" w:cs="Arial" w:eastAsia="Arial" w:hAnsi="Arial"/>
          <w:sz w:val="16"/>
          <w:szCs w:val="16"/>
          <w:b w:val="1"/>
          <w:bCs w:val="1"/>
          <w:i w:val="1"/>
          <w:iCs w:val="1"/>
          <w:color w:val="auto"/>
        </w:rPr>
        <w:t>Our management team has broad discretion as to the use of the net proceeds from our September 2016 public offering of our common shares and the investment of these proceeds may not yield a favorable return. We may invest the proceeds in ways with which our shareholders disagree.</w:t>
      </w:r>
    </w:p>
    <w:p>
      <w:pPr>
        <w:spacing w:after="0" w:line="16"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have broad discretion in the application of the net proceeds to us from our September 2016 public offering of our common shares. You may not agree with our decisions, and our use of the proceeds and our existing cash and cash equivalents and marketable securities may not improve our results of operation or enhance the value of our common shares. The results and effectiveness of the use of proceeds are uncertain, and we could spend the proceeds in ways that you do not agree with or that do not improve our results of operations or enhance the value of our common shares. Our failure to apply these funds effectively could have a material adverse effect on our business, delay the development of our product candidates and cause the market price of our common shares to decline. In addition, until the net proceeds are used, they may be placed in investments that do not produce significant income or that may lose value.</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anticipate paying any cash dividends on our common shares in the foreseeable future.</w:t>
      </w:r>
    </w:p>
    <w:p>
      <w:pPr>
        <w:spacing w:after="0" w:line="117" w:lineRule="exact"/>
        <w:rPr>
          <w:sz w:val="20"/>
          <w:szCs w:val="20"/>
          <w:color w:val="auto"/>
        </w:rPr>
      </w:pPr>
    </w:p>
    <w:p>
      <w:pPr>
        <w:jc w:val="both"/>
        <w:ind w:right="240" w:firstLine="518"/>
        <w:spacing w:after="0" w:line="312" w:lineRule="auto"/>
        <w:rPr>
          <w:sz w:val="20"/>
          <w:szCs w:val="20"/>
          <w:color w:val="auto"/>
        </w:rPr>
      </w:pPr>
      <w:r>
        <w:rPr>
          <w:rFonts w:ascii="Arial" w:cs="Arial" w:eastAsia="Arial" w:hAnsi="Arial"/>
          <w:sz w:val="16"/>
          <w:szCs w:val="16"/>
          <w:color w:val="auto"/>
        </w:rPr>
        <w:t>We do not currently intend to pay any cash dividends on our common shares in the foreseeable future. We currently intend to retain all of our future earnings, if any, to finance the growth and development of our business. In addition, the terms of any future debt agreements may preclude us from paying dividends. As a result, capital appreciation, if any, of our common shares may be investors’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gridSpan w:val="5"/>
            <w:vMerge w:val="restart"/>
          </w:tcPr>
          <w:p>
            <w:pPr>
              <w:ind w:left="4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103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Borders>
              <w:top w:val="single" w:sz="8" w:color="auto"/>
            </w:tcBorders>
            <w:gridSpan w:val="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Certification of Chief Executive Officer pursuant to Rule 13a-14(a).</w:t>
              </w:r>
            </w:hyperlink>
          </w:p>
        </w:tc>
        <w:tc>
          <w:tcPr>
            <w:tcW w:w="0" w:type="dxa"/>
            <w:vAlign w:val="bottom"/>
          </w:tcPr>
          <w:p>
            <w:pPr>
              <w:spacing w:after="0"/>
              <w:rPr>
                <w:sz w:val="1"/>
                <w:szCs w:val="1"/>
                <w:color w:val="auto"/>
              </w:rPr>
            </w:pPr>
          </w:p>
        </w:tc>
      </w:tr>
      <w:tr>
        <w:trPr>
          <w:trHeight w:val="345"/>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86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Certification of Chief Financial Officer pursuant to Rule 13a-14(a).</w:t>
              </w:r>
            </w:hyperlink>
          </w:p>
        </w:tc>
        <w:tc>
          <w:tcPr>
            <w:tcW w:w="40" w:type="dxa"/>
            <w:vAlign w:val="bottom"/>
            <w:tcBorders>
              <w:top w:val="single" w:sz="8" w:color="0000EE"/>
            </w:tcBorders>
          </w:tcPr>
          <w:p>
            <w:pPr>
              <w:spacing w:after="0"/>
              <w:rPr>
                <w:sz w:val="24"/>
                <w:szCs w:val="24"/>
                <w:color w:val="auto"/>
              </w:rPr>
            </w:pPr>
          </w:p>
        </w:tc>
        <w:tc>
          <w:tcPr>
            <w:tcW w:w="54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4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Certification of Chief Executive Officer pursuant to 18 U.S.C Section 1350.</w:t>
              </w:r>
            </w:hyperlink>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gridSpan w:val="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Certification of Chief Financial Officer pursuant to 18 U.S.C Section 1350.</w:t>
              </w:r>
            </w:hyperlink>
          </w:p>
        </w:tc>
        <w:tc>
          <w:tcPr>
            <w:tcW w:w="0" w:type="dxa"/>
            <w:vAlign w:val="bottom"/>
          </w:tcPr>
          <w:p>
            <w:pPr>
              <w:spacing w:after="0"/>
              <w:rPr>
                <w:sz w:val="1"/>
                <w:szCs w:val="1"/>
                <w:color w:val="auto"/>
              </w:rPr>
            </w:pPr>
          </w:p>
        </w:tc>
      </w:tr>
      <w:tr>
        <w:trPr>
          <w:trHeight w:val="385"/>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4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4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65"/>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65"/>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65"/>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65"/>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2090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76" w:lineRule="exact"/>
        <w:rPr>
          <w:sz w:val="20"/>
          <w:szCs w:val="20"/>
          <w:color w:val="auto"/>
        </w:rPr>
      </w:pPr>
    </w:p>
    <w:p>
      <w:pPr>
        <w:ind w:left="520" w:right="40" w:hanging="512"/>
        <w:spacing w:after="0" w:line="259"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on Form 10-Q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57" w:name="page58"/>
    <w:bookmarkEnd w:id="57"/>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XENON PHARMACEUTICALS INC.</w:t>
      </w:r>
    </w:p>
    <w:p>
      <w:pPr>
        <w:spacing w:after="0" w:line="21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Simon Pimstone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XENON PHARMACEUTICALS INC.</w:t>
      </w:r>
    </w:p>
    <w:p>
      <w:pPr>
        <w:spacing w:after="0" w:line="211"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Ian Mortimer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34131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6"/>
          <w:szCs w:val="16"/>
          <w:i w:val="1"/>
          <w:iCs w:val="1"/>
          <w:color w:val="auto"/>
        </w:rPr>
        <w:t>Chief Financial Officer, Chief Operating Officer and Corporate Secretary</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35" w:right="2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Simon Pimstone, certify that:</w:t>
      </w:r>
    </w:p>
    <w:p>
      <w:pPr>
        <w:spacing w:after="0" w:line="333"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Xenon Pharmaceuticals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00" w:hanging="372"/>
        <w:spacing w:after="0" w:line="264"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60" w:right="440" w:hanging="374"/>
        <w:spacing w:after="0" w:line="264" w:lineRule="auto"/>
        <w:tabs>
          <w:tab w:leader="none" w:pos="7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60" w:right="140" w:hanging="374"/>
        <w:spacing w:after="0" w:line="264" w:lineRule="auto"/>
        <w:tabs>
          <w:tab w:leader="none" w:pos="7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60" w:right="920" w:hanging="374"/>
        <w:spacing w:after="0" w:line="342" w:lineRule="auto"/>
        <w:tabs>
          <w:tab w:leader="none" w:pos="7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60" w:hanging="374"/>
        <w:spacing w:after="0" w:line="264" w:lineRule="auto"/>
        <w:tabs>
          <w:tab w:leader="none" w:pos="7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right="340" w:hanging="374"/>
        <w:spacing w:after="0" w:line="277" w:lineRule="auto"/>
        <w:tabs>
          <w:tab w:leader="none" w:pos="7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right="300" w:hanging="374"/>
        <w:spacing w:after="0" w:line="277" w:lineRule="auto"/>
        <w:tabs>
          <w:tab w:leader="none" w:pos="7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spacing w:after="0"/>
        <w:tabs>
          <w:tab w:leader="none" w:pos="5760" w:val="left"/>
          <w:tab w:leader="none" w:pos="806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Simon Pimstone</w:t>
      </w:r>
    </w:p>
    <w:p>
      <w:pPr>
        <w:spacing w:after="0" w:line="27"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Mortimer, certify that:</w:t>
      </w:r>
    </w:p>
    <w:p>
      <w:pPr>
        <w:spacing w:after="0" w:line="333"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Xenon Pharmaceuticals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00" w:hanging="372"/>
        <w:spacing w:after="0" w:line="264"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60" w:right="440" w:hanging="374"/>
        <w:spacing w:after="0" w:line="264" w:lineRule="auto"/>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60" w:right="140" w:hanging="374"/>
        <w:spacing w:after="0" w:line="264" w:lineRule="auto"/>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60" w:right="920" w:hanging="374"/>
        <w:spacing w:after="0" w:line="342" w:lineRule="auto"/>
        <w:tabs>
          <w:tab w:leader="none" w:pos="7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60" w:hanging="374"/>
        <w:spacing w:after="0" w:line="264" w:lineRule="auto"/>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right="340" w:hanging="374"/>
        <w:spacing w:after="0" w:line="277" w:lineRule="auto"/>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right="300" w:hanging="374"/>
        <w:spacing w:after="0" w:line="277" w:lineRule="auto"/>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spacing w:after="0"/>
        <w:tabs>
          <w:tab w:leader="none" w:pos="5760" w:val="left"/>
          <w:tab w:leader="none" w:pos="816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Ian Mortimer</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Chief Financial Officer and Chief Operating Officer</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connection with the Quarterly Report of Xenon Pharmaceuticals Inc. (the “Company”) on Form 10-Q for the quarter ended September 30, 2017, as filed with the Securities and Exchange Commission on the date hereof (the “Report”), I, Simon Pimstone, President and Chief Executive Officer </w:t>
      </w:r>
      <w:r>
        <w:rPr>
          <w:rFonts w:ascii="Arial" w:cs="Arial" w:eastAsia="Arial" w:hAnsi="Arial"/>
          <w:sz w:val="18"/>
          <w:szCs w:val="18"/>
          <w:i w:val="1"/>
          <w:iCs w:val="1"/>
          <w:color w:val="auto"/>
        </w:rPr>
        <w:t>(Principal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Executive Officer) </w:t>
      </w:r>
      <w:r>
        <w:rPr>
          <w:rFonts w:ascii="Arial" w:cs="Arial" w:eastAsia="Arial" w:hAnsi="Arial"/>
          <w:sz w:val="18"/>
          <w:szCs w:val="18"/>
          <w:color w:val="auto"/>
        </w:rPr>
        <w:t>of the Company, certify, pursuant to 18 U.S.C. Section 1350, as adopted pursuant to Section 906 of the Sarbanes-Oxley Act of 2002, that to</w:t>
      </w:r>
      <w:r>
        <w:rPr>
          <w:rFonts w:ascii="Arial" w:cs="Arial" w:eastAsia="Arial" w:hAnsi="Arial"/>
          <w:sz w:val="18"/>
          <w:szCs w:val="18"/>
          <w:i w:val="1"/>
          <w:iCs w:val="1"/>
          <w:color w:val="auto"/>
        </w:rPr>
        <w:t xml:space="preserve"> </w:t>
      </w:r>
      <w:r>
        <w:rPr>
          <w:rFonts w:ascii="Arial" w:cs="Arial" w:eastAsia="Arial" w:hAnsi="Arial"/>
          <w:sz w:val="18"/>
          <w:szCs w:val="18"/>
          <w:color w:val="auto"/>
        </w:rPr>
        <w:t>my knowledge:</w:t>
      </w:r>
    </w:p>
    <w:p>
      <w:pPr>
        <w:spacing w:after="0" w:line="187" w:lineRule="exact"/>
        <w:rPr>
          <w:sz w:val="20"/>
          <w:szCs w:val="20"/>
          <w:color w:val="auto"/>
        </w:rPr>
      </w:pPr>
    </w:p>
    <w:p>
      <w:pPr>
        <w:ind w:left="720" w:hanging="361"/>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tabs>
          <w:tab w:leader="none" w:pos="5760" w:val="left"/>
          <w:tab w:leader="none" w:pos="806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Simon Pimstone</w:t>
      </w:r>
    </w:p>
    <w:p>
      <w:pPr>
        <w:spacing w:after="0" w:line="27"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In connection with the Quarterly Report of Xenon Pharmaceuticals Inc. (the “Company”) on Form 10-Q for the quarter ended September 30, 2017, as filed with the Securities and Exchange Commission on the date hereof (the “Report”), I, Ian Mortimer, Chief Financial Officer and Chief Operating Officer </w:t>
      </w:r>
      <w:r>
        <w:rPr>
          <w:rFonts w:ascii="Arial" w:cs="Arial" w:eastAsia="Arial" w:hAnsi="Arial"/>
          <w:sz w:val="18"/>
          <w:szCs w:val="18"/>
          <w:i w:val="1"/>
          <w:iCs w:val="1"/>
          <w:color w:val="auto"/>
        </w:rPr>
        <w:t xml:space="preserve">(Principal Financial and Accounting Officer) </w:t>
      </w:r>
      <w:r>
        <w:rPr>
          <w:rFonts w:ascii="Arial" w:cs="Arial" w:eastAsia="Arial" w:hAnsi="Arial"/>
          <w:sz w:val="18"/>
          <w:szCs w:val="18"/>
          <w:color w:val="auto"/>
        </w:rPr>
        <w:t>of the Company, certify, pursuant to 18 U.S.C. Section 1350, as adopted pursuant to Section 906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Sarbanes-Oxley Act of 2002, that to my knowledge:</w:t>
      </w:r>
    </w:p>
    <w:p>
      <w:pPr>
        <w:spacing w:after="0" w:line="187" w:lineRule="exact"/>
        <w:rPr>
          <w:sz w:val="20"/>
          <w:szCs w:val="20"/>
          <w:color w:val="auto"/>
        </w:rPr>
      </w:pPr>
    </w:p>
    <w:p>
      <w:pPr>
        <w:ind w:left="720" w:hanging="361"/>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60"/>
        <w:spacing w:after="0"/>
        <w:tabs>
          <w:tab w:leader="none" w:pos="5760" w:val="left"/>
          <w:tab w:leader="none" w:pos="816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Ian Mortimer</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Chief Financial Officer and Chief Operating Officer</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4"/>
    </w:lvl>
  </w:abstractNum>
  <w:abstractNum w:abstractNumId="5">
    <w:nsid w:val="2CA88611"/>
    <w:multiLevelType w:val="hybridMultilevel"/>
    <w:lvl w:ilvl="0">
      <w:lvlJc w:val="left"/>
      <w:lvlText w:val="%1."/>
      <w:numFmt w:val="decimal"/>
      <w:start w:val="5"/>
    </w:lvl>
    <w:lvl w:ilvl="1">
      <w:lvlJc w:val="left"/>
      <w:lvlText w:val="•"/>
      <w:numFmt w:val="bullet"/>
      <w:start w:val="1"/>
    </w:lvl>
  </w:abstractNum>
  <w:abstractNum w:abstractNumId="6">
    <w:nsid w:val="836C40E"/>
    <w:multiLevelType w:val="hybridMultilevel"/>
    <w:lvl w:ilvl="0">
      <w:lvlJc w:val="left"/>
      <w:lvlText w:val="%1."/>
      <w:numFmt w:val="decimal"/>
      <w:start w:val="7"/>
    </w:lvl>
    <w:lvl w:ilvl="1">
      <w:lvlJc w:val="left"/>
      <w:lvlText w:val="(%2)"/>
      <w:numFmt w:val="lowerLetter"/>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8"/>
    </w:lvl>
  </w:abstractNum>
  <w:abstractNum w:abstractNumId="9">
    <w:nsid w:val="8138641"/>
    <w:multiLevelType w:val="hybridMultilevel"/>
    <w:lvl w:ilvl="0">
      <w:lvlJc w:val="left"/>
      <w:lvlText w:val="%1."/>
      <w:numFmt w:val="decimal"/>
      <w:start w:val="9"/>
    </w:lvl>
    <w:lvl w:ilvl="1">
      <w:lvlJc w:val="left"/>
      <w:lvlText w:val="(%2)"/>
      <w:numFmt w:val="lowerLetter"/>
      <w:start w:val="1"/>
    </w:lvl>
  </w:abstractNum>
  <w:abstractNum w:abstractNumId="10">
    <w:nsid w:val="1E7FF521"/>
    <w:multiLevelType w:val="hybridMultilevel"/>
    <w:lvl w:ilvl="0">
      <w:lvlJc w:val="left"/>
      <w:lvlText w:val="(%1)"/>
      <w:numFmt w:val="lowerLetter"/>
      <w:start w:val="4"/>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endash "/>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2019-12-29T04:02:20Z</dcterms:created>
  <dcterms:modified xsi:type="dcterms:W3CDTF">2019-12-29T04:02:20Z</dcterms:modified>
</cp:coreProperties>
</file>