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3, 2026</w:t>
      </w:r>
    </w:p>
    <w:p>
      <w:pPr>
        <w:spacing w:after="0" w:line="6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POST-EFFECTIVE AMENDMENT NO. 1 TO:</w:t>
      </w:r>
    </w:p>
    <w:p>
      <w:pPr>
        <w:spacing w:after="0" w:line="44"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333-199860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333-202765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333-210050</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333-216543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333-223497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333-230103</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333-237036</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333-238895</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333-265377</w:t>
      </w:r>
    </w:p>
    <w:p>
      <w:pPr>
        <w:spacing w:after="0" w:line="10"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25"/>
          <w:szCs w:val="25"/>
          <w:b w:val="1"/>
          <w:bCs w:val="1"/>
          <w:color w:val="auto"/>
        </w:rPr>
        <w:t>FORM S-8 REGISTRATION STATEMENT NO. 333-279962</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XENON PHARMACEUTICALS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p>
      <w:pPr>
        <w:spacing w:after="0" w:line="20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Canada</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98-0661854</w:t>
      </w:r>
    </w:p>
    <w:p>
      <w:pPr>
        <w:spacing w:after="0" w:line="24" w:lineRule="exact"/>
        <w:rPr>
          <w:sz w:val="24"/>
          <w:szCs w:val="24"/>
          <w:color w:val="auto"/>
        </w:rPr>
      </w:pPr>
    </w:p>
    <w:p>
      <w:pPr>
        <w:sectPr>
          <w:pgSz w:w="11900" w:h="16838" w:orient="portrait"/>
          <w:cols w:equalWidth="0" w:num="2">
            <w:col w:w="7280" w:space="720"/>
            <w:col w:w="3240"/>
          </w:cols>
          <w:pgMar w:left="320" w:top="576"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3" w:lineRule="exact"/>
        <w:rPr>
          <w:sz w:val="24"/>
          <w:szCs w:val="24"/>
          <w:color w:val="auto"/>
        </w:rPr>
      </w:pPr>
    </w:p>
    <w:p>
      <w:pPr>
        <w:sectPr>
          <w:pgSz w:w="11900" w:h="16838" w:orient="portrait"/>
          <w:cols w:equalWidth="0" w:num="2">
            <w:col w:w="7140" w:space="720"/>
            <w:col w:w="3380"/>
          </w:cols>
          <w:pgMar w:left="320" w:top="57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40"/>
          </w:cols>
          <w:pgMar w:left="320" w:top="576" w:right="339" w:bottom="1440" w:gutter="0" w:footer="0" w:header="0"/>
          <w:type w:val="continuous"/>
        </w:sectPr>
      </w:pP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Thomas P. Kelly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Gilmore Way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Burnaby, British Columbia V5G 4W8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(604) 484-3300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6" w:lineRule="exact"/>
        <w:rPr>
          <w:sz w:val="24"/>
          <w:szCs w:val="24"/>
          <w:color w:val="auto"/>
        </w:rPr>
      </w:pPr>
    </w:p>
    <w:p>
      <w:pPr>
        <w:jc w:val="both"/>
        <w:ind w:right="26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649"/>
        </w:trPr>
        <w:tc>
          <w:tcPr>
            <w:tcW w:w="20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p>
      <w:pPr>
        <w:jc w:val="cente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437515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133350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150495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600" w:top="531" w:right="639" w:bottom="1440" w:gutter="0" w:footer="0" w:header="0"/>
        </w:sectPr>
      </w:pPr>
    </w:p>
    <w:bookmarkStart w:id="2" w:name="page3"/>
    <w:bookmarkEnd w:id="2"/>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640" w:firstLine="749"/>
        <w:spacing w:after="0" w:line="261" w:lineRule="auto"/>
        <w:rPr>
          <w:sz w:val="20"/>
          <w:szCs w:val="20"/>
          <w:color w:val="auto"/>
        </w:rPr>
      </w:pPr>
      <w:r>
        <w:rPr>
          <w:rFonts w:ascii="Times New Roman" w:cs="Times New Roman" w:eastAsia="Times New Roman" w:hAnsi="Times New Roman"/>
          <w:sz w:val="18"/>
          <w:szCs w:val="18"/>
          <w:color w:val="auto"/>
        </w:rPr>
        <w:t>Pursuant to Securities Act Forms Corporation Finance Interpretation 126.43 (“CFI 126.43”) published by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Xenon Pharmaceuticals Inc.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is filing this Post-Effective Amendment No. 1 to Registration Statements on Form S-8 (this “</w:t>
      </w:r>
      <w:r>
        <w:rPr>
          <w:rFonts w:ascii="Times New Roman" w:cs="Times New Roman" w:eastAsia="Times New Roman" w:hAnsi="Times New Roman"/>
          <w:sz w:val="18"/>
          <w:szCs w:val="18"/>
          <w:b w:val="1"/>
          <w:bCs w:val="1"/>
          <w:color w:val="auto"/>
        </w:rPr>
        <w:t>Post-Effective Amendment</w:t>
      </w:r>
      <w:r>
        <w:rPr>
          <w:rFonts w:ascii="Times New Roman" w:cs="Times New Roman" w:eastAsia="Times New Roman" w:hAnsi="Times New Roman"/>
          <w:sz w:val="18"/>
          <w:szCs w:val="18"/>
          <w:color w:val="auto"/>
        </w:rPr>
        <w:t>”) to the following registration statements on Form S-8 (collectively,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filed by the Registrant with the Commission:</w:t>
      </w:r>
    </w:p>
    <w:p>
      <w:pPr>
        <w:spacing w:after="0" w:line="72" w:lineRule="exact"/>
        <w:rPr>
          <w:sz w:val="20"/>
          <w:szCs w:val="20"/>
          <w:color w:val="auto"/>
        </w:rPr>
      </w:pPr>
    </w:p>
    <w:p>
      <w:pPr>
        <w:ind w:left="1020" w:hanging="503"/>
        <w:spacing w:after="0" w:line="258"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on November 5, 2014 (File No. 333-199860) with respect to 1,762,404 common shares of the Registrant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consisting of (i) 1,350,882 Common Shares, which were subject to then-outstanding stock options under the Registrant’s Amended and Restated Stock Option Plan, as amended; (ii) 36,008 Common Shares, which were subject to outstanding stock options under the Registrant’s 2014 Equity Incentive Plan (as subsequently amended, the “</w:t>
      </w:r>
      <w:r>
        <w:rPr>
          <w:rFonts w:ascii="Times New Roman" w:cs="Times New Roman" w:eastAsia="Times New Roman" w:hAnsi="Times New Roman"/>
          <w:sz w:val="18"/>
          <w:szCs w:val="18"/>
          <w:b w:val="1"/>
          <w:bCs w:val="1"/>
          <w:color w:val="auto"/>
        </w:rPr>
        <w:t>Amended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Restated 2014 Plan</w:t>
      </w:r>
      <w:r>
        <w:rPr>
          <w:rFonts w:ascii="Times New Roman" w:cs="Times New Roman" w:eastAsia="Times New Roman" w:hAnsi="Times New Roman"/>
          <w:sz w:val="18"/>
          <w:szCs w:val="18"/>
          <w:color w:val="auto"/>
        </w:rPr>
        <w:t>”); and (iii) 375,514 Common Shares to be issued under the Amended and Restated 2014 Plan;</w:t>
      </w:r>
    </w:p>
    <w:p>
      <w:pPr>
        <w:spacing w:after="0" w:line="75"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16, 2015 (File No. 333-202765) with respect to 150,000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2016 (File No. 333-210050) with respect to 375,000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8, 2017 (File No. 333-216543) with respect to 500,000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7, 2018 (File No. 333-223497) with respect to 700,000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6, 2019 (File No. 333-230103) with respect to 900,000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March 9, 2020 (File No. 333-237036) with respect to 1,028,806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3, 2020 (File No. 333-238895) with respect to 4,000,000 Common Shares to be issued under the Amended and Restated 2014 Plan;</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2, 2022 (File No. 333-265377) with respect to 5,300,000 Common Shares to be issued under the Amended and Restated 2014 Plan; and</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filed by the Registrant with the Commission pursuant to General Instruction E on June 5, 2024 (File No. 333-279962) with respect to 5,200,000 Common Shares to be issued under the Amended and Restated 2014 Plan.</w:t>
      </w:r>
    </w:p>
    <w:p>
      <w:pPr>
        <w:spacing w:after="0" w:line="158" w:lineRule="exact"/>
        <w:rPr>
          <w:sz w:val="20"/>
          <w:szCs w:val="20"/>
          <w:color w:val="auto"/>
        </w:rPr>
      </w:pPr>
    </w:p>
    <w:p>
      <w:pPr>
        <w:ind w:right="440" w:firstLine="749"/>
        <w:spacing w:after="0" w:line="286" w:lineRule="auto"/>
        <w:rPr>
          <w:sz w:val="20"/>
          <w:szCs w:val="20"/>
          <w:color w:val="auto"/>
        </w:rPr>
      </w:pPr>
      <w:r>
        <w:rPr>
          <w:rFonts w:ascii="Times New Roman" w:cs="Times New Roman" w:eastAsia="Times New Roman" w:hAnsi="Times New Roman"/>
          <w:sz w:val="18"/>
          <w:szCs w:val="18"/>
          <w:color w:val="auto"/>
        </w:rPr>
        <w:t>On June 2, 2026, the Registrant’s shareholders approved the Registrant’s 2026 Equity Incentive Plan (the “</w:t>
      </w:r>
      <w:r>
        <w:rPr>
          <w:rFonts w:ascii="Times New Roman" w:cs="Times New Roman" w:eastAsia="Times New Roman" w:hAnsi="Times New Roman"/>
          <w:sz w:val="18"/>
          <w:szCs w:val="18"/>
          <w:b w:val="1"/>
          <w:bCs w:val="1"/>
          <w:color w:val="auto"/>
        </w:rPr>
        <w:t>2026 Plan</w:t>
      </w:r>
      <w:r>
        <w:rPr>
          <w:rFonts w:ascii="Times New Roman" w:cs="Times New Roman" w:eastAsia="Times New Roman" w:hAnsi="Times New Roman"/>
          <w:sz w:val="18"/>
          <w:szCs w:val="18"/>
          <w:color w:val="auto"/>
        </w:rPr>
        <w:t>”), which replaces the Amended and Restated 2014 Plan. No further awards will be made under the Amended and Restated 2014 Plan.</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number of Common Shares initially authorized for issuance pursuant to the awards under the 2026 Plan includes (a) 4,400,000 Common Shares, (b) 2,873,223 Common Shares, which equals the number of shares available for future grant under the Amended and Restated 2014 Plan as of June 2, 2026 and (c) up to 11,788,376 Common Shares, underlying awards outstanding under the Amended and Restated 2014 Plan that, on or after June 2, 2026, terminate, expire or lapse for any reason without the delivery of shares to the holder thereof (such shares under clauses (b) and (c), the “</w:t>
      </w:r>
      <w:r>
        <w:rPr>
          <w:rFonts w:ascii="Times New Roman" w:cs="Times New Roman" w:eastAsia="Times New Roman" w:hAnsi="Times New Roman"/>
          <w:sz w:val="18"/>
          <w:szCs w:val="18"/>
          <w:b w:val="1"/>
          <w:bCs w:val="1"/>
          <w:color w:val="auto"/>
        </w:rPr>
        <w:t>Carryover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Contemporaneously with the filing of this Post-Effective Amendment, the Registrant is filing a Registration Statement on Form S-8 to register the 4,400,000 newly authorized Common Shares that have become available for offer or sale pursuant to the 2026 Plan, which number does not include the Carryover Shares.</w:t>
      </w:r>
    </w:p>
    <w:p>
      <w:pPr>
        <w:spacing w:after="0" w:line="17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accordance with CFI 126.43 and pursuant to the undertaking in Item 512(a)(1)(iii) of Regulation S-K that the Registrant disclose a material change in the plan of distribution as it was originally disclosed in the Registration Statements, this Post-Effective Amendment is filed to indicate that the Registration Statements will also cover the issuance of the Carryover Shares under the 2026 Plan (as such shares would no longer be issuable under the Amended and Restated 2014 Plan as described above). No additional securities are being registered by this Post-Effective Amendment.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Post-Effective Amendment in accordance with the provisions of Rule 428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introductory note to Part I of Form S-8. The documents containing the information specified in Part I of Form S-8 will be delivered to the participants in the equity benefit plans covered by this Post-Effective Amendment as specified by Rule 428(b)1) under the Securities Act.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previously filed with the Commission are hereby incorporated by reference:</w:t>
      </w:r>
    </w:p>
    <w:p>
      <w:pPr>
        <w:spacing w:after="0" w:line="225" w:lineRule="exact"/>
        <w:rPr>
          <w:sz w:val="20"/>
          <w:szCs w:val="20"/>
          <w:color w:val="auto"/>
        </w:rPr>
      </w:pPr>
    </w:p>
    <w:p>
      <w:pPr>
        <w:ind w:left="1500" w:right="1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Commission on February 26, 2026;</w:t>
      </w:r>
    </w:p>
    <w:p>
      <w:pPr>
        <w:spacing w:after="0" w:line="161" w:lineRule="exact"/>
        <w:rPr>
          <w:rFonts w:ascii="Times New Roman" w:cs="Times New Roman" w:eastAsia="Times New Roman" w:hAnsi="Times New Roman"/>
          <w:sz w:val="18"/>
          <w:szCs w:val="18"/>
          <w:color w:val="auto"/>
        </w:rPr>
      </w:pPr>
    </w:p>
    <w:p>
      <w:pPr>
        <w:ind w:left="1500" w:right="240" w:hanging="743"/>
        <w:spacing w:after="0" w:line="282"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Commission pursuant to Section 13(a) or 15(d) of the Securities Exchange Act of 1934,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since the end of the fiscal year covered by the Registrant’s Annual Report referred to in (1) above; and</w:t>
      </w:r>
    </w:p>
    <w:p>
      <w:pPr>
        <w:spacing w:after="0" w:line="161" w:lineRule="exact"/>
        <w:rPr>
          <w:rFonts w:ascii="Times New Roman" w:cs="Times New Roman" w:eastAsia="Times New Roman" w:hAnsi="Times New Roman"/>
          <w:sz w:val="18"/>
          <w:szCs w:val="18"/>
          <w:color w:val="auto"/>
        </w:rPr>
      </w:pPr>
    </w:p>
    <w:p>
      <w:pPr>
        <w:ind w:left="1500" w:hanging="743"/>
        <w:spacing w:after="0" w:line="261" w:lineRule="auto"/>
        <w:tabs>
          <w:tab w:leader="none" w:pos="1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shares contained in the Registration Statement on </w:t>
      </w:r>
      <w:hyperlink r:id="rId21">
        <w:r>
          <w:rPr>
            <w:rFonts w:ascii="Times New Roman" w:cs="Times New Roman" w:eastAsia="Times New Roman" w:hAnsi="Times New Roman"/>
            <w:sz w:val="18"/>
            <w:szCs w:val="18"/>
            <w:u w:val="single" w:color="auto"/>
            <w:color w:val="0000FF"/>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001-36687) filed with the Commission on October 10, 2014, pursuant to Section 12(b) of the Act, as updated by any amendment or report filed for the purpose of updating such description, including the description of the Registrant’s Common Shares contained in Exhibit 4.3 to its Annual Report on Form 10-K for the fiscal year ended December 31, 2025, filed with the Commission on February 26, 2026.</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spacing w:after="0" w:line="194"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and 15(d) of the Act, prior to the filing of a post-effective amendment which indicates that all securities registered have been sold or which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into the Registration Statements. Any statement contained in a document incorporated or deemed to be incorporated by reference herein shall be deemed to be modified or superseded for purposes of the Registration Statements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the Registration Statements.</w:t>
      </w:r>
    </w:p>
    <w:p>
      <w:pPr>
        <w:spacing w:after="0" w:line="192"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Under no circumstances will any information furnished under current items 2.02 or 7.01 of Form 8-K be deemed incorporated herein by reference unless such Form 8-K expressly provides to the contrary.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Under the Canada Business Corporations Act (the “CBCA”), the Registrant may indemnify its current or former directors or officers or any other individuals who act or have acted at its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his or her association with the Registrant or the other entity. The CBCA also provides that the Registrant may advance moneys to a director, officer or other individual for costs, charges and expenses reasonably incurred in connection with such a proceeding. The individual shall repay the moneys to the Registrant if indemnification of the individual is ultimately prohibited under the CBCA, as described below.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Indemnification is prohibited under the CBCA unless the individual:</w:t>
      </w:r>
    </w:p>
    <w:p>
      <w:pPr>
        <w:spacing w:after="0" w:line="117" w:lineRule="exact"/>
        <w:rPr>
          <w:sz w:val="20"/>
          <w:szCs w:val="20"/>
          <w:color w:val="auto"/>
        </w:rPr>
      </w:pPr>
    </w:p>
    <w:p>
      <w:pPr>
        <w:ind w:left="1020" w:right="8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honestly and in good faith with a view to the Registrant’s best interests, or the best interests of the other entity for which the individual acted as director or officer or in a similar capacity at the Registrant’s request;</w:t>
      </w:r>
    </w:p>
    <w:p>
      <w:pPr>
        <w:spacing w:after="0" w:line="53"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criminal or administrative action or proceeding that is enforced by a monetary penalty, the individual had reasonable grounds for believing that his or her conduct was lawful; and</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judged by the court or other competent authority to have committed any fault or omitted to do anything that the individual ought to have done.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line="194"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Registrant’s by-laws require it to indemnify each of its directors, officers, former directors and officers and persons who act or acted at its request as a director or officer, or in a similar capacity, of a body corporate to the fullest extent permitted under the CBCA. The Registrant will indemnify such individual against all costs, charges and expenses, including an amount paid to settle an action or proceeding to which the individual is made a party by reason of being or having been a director or officer of the Registrant or such body corporate. The Registrant’s by-laws also require it to, with the approval of a court, indemnify such individual referred to above, in respect of an action by or on behalf of it or such body corporate to procure a judgment in its favor, to which the individual is made a party by reason of being or having been a director or an officer of the Registrant or such body corporate, against all costs, charges and expenses reasonably incurred by him in connection with such action. However, the Registrant shall not indemnify such individual if the individual did not act honestly and in good faith with a view to the Registrant’s best interests or, in the case of a criminal or administrative action or proceeding that is enforced by a monetary penalty, the individual did not have reasonable grounds for believing that his or her conduct was lawful.</w:t>
      </w:r>
    </w:p>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Registrant’s by-laws authorize it, with the approval of its board of directors, to purchase and maintain insurance for the benefit of any person its board of directors may from time to time determine.</w:t>
      </w:r>
    </w:p>
    <w:p>
      <w:pPr>
        <w:spacing w:after="0" w:line="16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certain officers. As provided by its by-laws, these agreements, among other things, require the Registrant to indemnify each director and officer to the fullest extent permitted by Canadian law, including indemnification of all costs, charges and expenses reasonably incurred by such person in any action or proceeding, including, with the approval of a court, any action or proceeding by or in right of it, arising out of the person’s services as a director or officer; provided that, the Registrant will not indemnify such individual if, among other things, he or she did not act honestly and in good faith with a view to its best interests and, in the case of a criminal or penal action, the individual did not have reasonable grounds for believing that his or her conduct was lawful.</w:t>
      </w:r>
    </w:p>
    <w:p>
      <w:pPr>
        <w:spacing w:after="0" w:line="187" w:lineRule="exact"/>
        <w:rPr>
          <w:sz w:val="20"/>
          <w:szCs w:val="20"/>
          <w:color w:val="auto"/>
        </w:rPr>
      </w:pPr>
    </w:p>
    <w:p>
      <w:pPr>
        <w:ind w:right="420" w:firstLine="749"/>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members of the Registrant’s board of directors, officers or persons controlling it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also the undertakings set out in response to Item 9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34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 w:type="dxa"/>
            <w:vAlign w:val="bottom"/>
          </w:tcPr>
          <w:p>
            <w:pPr>
              <w:spacing w:after="0"/>
              <w:rPr>
                <w:sz w:val="7"/>
                <w:szCs w:val="7"/>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8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40" w:type="dxa"/>
            <w:vAlign w:val="bottom"/>
          </w:tcPr>
          <w:p>
            <w:pPr>
              <w:spacing w:after="0"/>
              <w:rPr>
                <w:sz w:val="24"/>
                <w:szCs w:val="24"/>
                <w:color w:val="auto"/>
              </w:rPr>
            </w:pPr>
          </w:p>
        </w:tc>
        <w:tc>
          <w:tcPr>
            <w:tcW w:w="1360" w:type="dxa"/>
            <w:vAlign w:val="bottom"/>
            <w:tcBorders>
              <w:top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60" w:type="dxa"/>
            <w:vAlign w:val="bottom"/>
            <w:tcBorders>
              <w:top w:val="single" w:sz="8" w:color="auto"/>
              <w:bottom w:val="single" w:sz="8" w:color="0000FF"/>
            </w:tcBorders>
            <w:gridSpan w:val="4"/>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Specimen common share certificate of the Registrant.</w:t>
              </w:r>
            </w:hyperlink>
          </w:p>
        </w:tc>
        <w:tc>
          <w:tcPr>
            <w:tcW w:w="800" w:type="dxa"/>
            <w:vAlign w:val="bottom"/>
            <w:tcBorders>
              <w:top w:val="single" w:sz="8" w:color="auto"/>
            </w:tcBorders>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0" w:type="dxa"/>
            <w:vAlign w:val="bottom"/>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333-198666</w:t>
            </w:r>
          </w:p>
        </w:tc>
        <w:tc>
          <w:tcPr>
            <w:tcW w:w="1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10/6/2014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Amended and Restated 2014 Equity Incentive Plan and related</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7"/>
          </w:tcPr>
          <w:p>
            <w:pPr>
              <w:spacing w:after="0" w:line="196" w:lineRule="exact"/>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agreement.</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2026 Equity Incentive Plan and related form agreements.</w:t>
              </w:r>
            </w:hyperlink>
          </w:p>
        </w:tc>
        <w:tc>
          <w:tcPr>
            <w:tcW w:w="5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001-36687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Opinion of Blake, Cassels &amp; Graydon LLP.</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Opinion of McCarthy Tétrault LLP.</w:t>
              </w:r>
            </w:hyperlink>
          </w:p>
        </w:tc>
        <w:tc>
          <w:tcPr>
            <w:tcW w:w="560" w:type="dxa"/>
            <w:vAlign w:val="bottom"/>
            <w:tcBorders>
              <w:top w:val="single" w:sz="8" w:color="0000FF"/>
            </w:tcBorders>
          </w:tcPr>
          <w:p>
            <w:pPr>
              <w:spacing w:after="0"/>
              <w:rPr>
                <w:sz w:val="24"/>
                <w:szCs w:val="24"/>
                <w:color w:val="auto"/>
              </w:rPr>
            </w:pPr>
          </w:p>
        </w:tc>
        <w:tc>
          <w:tcPr>
            <w:tcW w:w="15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277"/>
        </w:trPr>
        <w:tc>
          <w:tcPr>
            <w:tcW w:w="16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tbl>
      <w:tblPr>
        <w:tblLayout w:type="fixed"/>
        <w:tblInd w:w="240" w:type="dxa"/>
        <w:tblCellMar>
          <w:top w:w="0" w:type="dxa"/>
          <w:left w:w="0" w:type="dxa"/>
          <w:bottom w:w="0" w:type="dxa"/>
          <w:right w:w="0" w:type="dxa"/>
        </w:tblCellMar>
      </w:tblPr>
      <w:tr>
        <w:trPr>
          <w:trHeight w:val="23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13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380" w:type="dxa"/>
            <w:vAlign w:val="bottom"/>
            <w:gridSpan w:val="11"/>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10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 w:type="dxa"/>
            <w:vAlign w:val="bottom"/>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10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0" w:type="dxa"/>
            <w:vAlign w:val="bottom"/>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4"/>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11"/>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Opinion of McCarthy Tétrault LLP.</w:t>
              </w:r>
            </w:hyperlink>
          </w:p>
        </w:tc>
        <w:tc>
          <w:tcPr>
            <w:tcW w:w="2080" w:type="dxa"/>
            <w:vAlign w:val="bottom"/>
            <w:gridSpan w:val="8"/>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Opinion of Blake, Cassels &amp; Graydon LLP.</w:t>
              </w:r>
            </w:hyperlink>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c>
          <w:tcPr>
            <w:tcW w:w="620" w:type="dxa"/>
            <w:vAlign w:val="bottom"/>
            <w:gridSpan w:val="5"/>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206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Consent of KPMG LLP, Independent Registered Public</w:t>
            </w:r>
          </w:p>
        </w:tc>
        <w:tc>
          <w:tcPr>
            <w:tcW w:w="60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Accounting Firm.</w:t>
            </w:r>
          </w:p>
        </w:tc>
        <w:tc>
          <w:tcPr>
            <w:tcW w:w="33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Blake, Cassels &amp; Graydon LLP (contained in</w:t>
            </w:r>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Exhibit 5.1 hereto).</w:t>
            </w:r>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Consent of McCarthy Tétrault LLP (contained in Exhibit 5.2</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333-199860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11/5/2014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7">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Consent of McCarthy Tétrault LLP (contained in Exhibit 5.3</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333-202765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3/16/2015</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Consent of McCarthy Tétrault LLP (contained in Exhibit 5.4</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333-210050</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3/9/2016</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29">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Consent of McCarthy Tétrault LLP (contained in Exhibit 5.5</w:t>
              </w:r>
            </w:hyperlink>
          </w:p>
        </w:tc>
        <w:tc>
          <w:tcPr>
            <w:tcW w:w="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333-216543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3/8/2017</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Consent of McCarthy Tétrault LLP (contained in Exhibit 5.6</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333-223497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3/7/2018</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2">
              <w:r>
                <w:rPr>
                  <w:rFonts w:ascii="Times New Roman" w:cs="Times New Roman" w:eastAsia="Times New Roman" w:hAnsi="Times New Roman"/>
                  <w:sz w:val="18"/>
                  <w:szCs w:val="18"/>
                  <w:color w:val="0000FF"/>
                </w:rPr>
                <w: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3">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333-230103</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3/6/2019</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3">
              <w:r>
                <w:rPr>
                  <w:rFonts w:ascii="Times New Roman" w:cs="Times New Roman" w:eastAsia="Times New Roman" w:hAnsi="Times New Roman"/>
                  <w:sz w:val="18"/>
                  <w:szCs w:val="18"/>
                  <w:color w:val="0000FF"/>
                  <w:w w:val="98"/>
                </w:rPr>
                <w:t>Exhibit 5.7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333-237036</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3/9/2020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4">
              <w:r>
                <w:rPr>
                  <w:rFonts w:ascii="Times New Roman" w:cs="Times New Roman" w:eastAsia="Times New Roman" w:hAnsi="Times New Roman"/>
                  <w:sz w:val="18"/>
                  <w:szCs w:val="18"/>
                  <w:color w:val="0000FF"/>
                  <w:w w:val="98"/>
                </w:rPr>
                <w:t>Exhibit 5.8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5">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333-238895</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6/3/2020</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5">
              <w:r>
                <w:rPr>
                  <w:rFonts w:ascii="Times New Roman" w:cs="Times New Roman" w:eastAsia="Times New Roman" w:hAnsi="Times New Roman"/>
                  <w:sz w:val="18"/>
                  <w:szCs w:val="18"/>
                  <w:color w:val="0000FF"/>
                  <w:w w:val="98"/>
                </w:rPr>
                <w:t>Exhibit 5.9 hereto).</w:t>
              </w:r>
            </w:hyperlink>
          </w:p>
        </w:tc>
        <w:tc>
          <w:tcPr>
            <w:tcW w:w="326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333-265377</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6/2/2022</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Exhibit 5.10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Consent of Blake, Cassels &amp; Graydon LLP (contained in</w:t>
              </w:r>
            </w:hyperlink>
          </w:p>
        </w:tc>
        <w:tc>
          <w:tcPr>
            <w:tcW w:w="52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2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333-279962</w:t>
            </w:r>
          </w:p>
        </w:tc>
        <w:tc>
          <w:tcPr>
            <w:tcW w:w="9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6/5/2024</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13"/>
          </w:tcPr>
          <w:p>
            <w:pPr>
              <w:spacing w:after="0" w:line="196" w:lineRule="exact"/>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Exhibit 5.11 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Power of Attorney (contained on signature page hereto).</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00" w:lineRule="exact"/>
        <w:rPr>
          <w:sz w:val="20"/>
          <w:szCs w:val="20"/>
          <w:color w:val="auto"/>
        </w:rPr>
      </w:pPr>
    </w:p>
    <w:p>
      <w:pPr>
        <w:spacing w:after="0" w:line="3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13" w:right="559" w:bottom="1440" w:gutter="0" w:footer="0" w:header="0"/>
        </w:sectPr>
      </w:pPr>
    </w:p>
    <w:bookmarkStart w:id="7" w:name="page8"/>
    <w:bookmarkEnd w:id="7"/>
    <w:p>
      <w:pPr>
        <w:ind w:left="1712" w:hanging="215"/>
        <w:spacing w:after="0"/>
        <w:tabs>
          <w:tab w:leader="none" w:pos="17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752" w:right="100" w:firstLine="745"/>
        <w:spacing w:after="0" w:line="255" w:lineRule="auto"/>
        <w:tabs>
          <w:tab w:leader="none" w:pos="17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752" w:right="60" w:firstLine="745"/>
        <w:spacing w:after="0" w:line="282" w:lineRule="auto"/>
        <w:tabs>
          <w:tab w:leader="none" w:pos="18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752"/>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of this section do not apply if the registration statement is on Form S-8,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2" w:lineRule="exact"/>
        <w:rPr>
          <w:sz w:val="20"/>
          <w:szCs w:val="20"/>
          <w:color w:val="auto"/>
        </w:rPr>
      </w:pPr>
    </w:p>
    <w:p>
      <w:pPr>
        <w:ind w:left="-8" w:right="120" w:firstLine="757"/>
        <w:spacing w:after="0" w:line="266"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8" w:right="520" w:firstLine="757"/>
        <w:spacing w:after="0" w:line="282" w:lineRule="auto"/>
        <w:tabs>
          <w:tab w:leader="none" w:pos="9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8" w:right="280" w:firstLine="8"/>
        <w:spacing w:after="0" w:line="258" w:lineRule="auto"/>
        <w:tabs>
          <w:tab w:leader="none" w:pos="2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left="-8" w:right="20" w:firstLine="8"/>
        <w:spacing w:after="0" w:line="254" w:lineRule="auto"/>
        <w:tabs>
          <w:tab w:leader="none" w:pos="2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568325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8" w:name="page9"/>
    <w:bookmarkEnd w:id="8"/>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Needham Heights, Massachusetts, on June 3, 2026.</w:t>
      </w:r>
    </w:p>
    <w:p>
      <w:pPr>
        <w:spacing w:after="0" w:line="38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XENON PHARMACEUTICALS INC.</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17145</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Thomas P. Kelly</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3" w:right="599" w:bottom="1440" w:gutter="0" w:footer="0" w:header="0"/>
        </w:sectPr>
      </w:pPr>
    </w:p>
    <w:bookmarkStart w:id="9" w:name="page10"/>
    <w:bookmarkEnd w:id="9"/>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Ian Mortimer and Thomas P. Kelly as his or her true and lawful attorneys-in-fact and agents, with full power of substitution and resubstitution, for him or her and in his or her name, place and stead, in any and all capacities (including his or her capacity as a director and/or officer of Xenon Pharmaceuticals Inc.) to sign any or all amendments (including post-effective amendments) to this registration statement on Form S-8,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any substitute or substitutes, may lawfully do or cause to be done by virtue hereof.</w:t>
      </w:r>
    </w:p>
    <w:p>
      <w:pPr>
        <w:spacing w:after="0" w:line="300"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Ian Mortimer</w:t>
      </w:r>
    </w:p>
    <w:p>
      <w:pPr>
        <w:spacing w:after="0" w:line="200" w:lineRule="exact"/>
        <w:rPr>
          <w:sz w:val="20"/>
          <w:szCs w:val="20"/>
          <w:color w:val="auto"/>
        </w:rPr>
      </w:pPr>
    </w:p>
    <w:p>
      <w:pPr>
        <w:spacing w:after="0" w:line="2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Thomas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Thomas P. Kelly</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Dawn Svoronos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Dawn Svoronos</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Gillian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Gillian Cannon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Steven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Steven Gannon</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color w:val="auto"/>
        </w:rPr>
        <w:t>/s/ Elizabeth Garofalo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Elizabeth Garofalo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Justin Gover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Justin Gover</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Patrick Machado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Patrick Machado</w:t>
      </w:r>
    </w:p>
    <w:p>
      <w:pPr>
        <w:spacing w:after="0" w:line="220"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/s/ Gary Patou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color w:val="auto"/>
        </w:rPr>
        <w:t>Gary Patou</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0"/>
                <w:szCs w:val="20"/>
                <w:color w:val="auto"/>
              </w:rPr>
            </w:pPr>
          </w:p>
        </w:tc>
        <w:tc>
          <w:tcPr>
            <w:tcW w:w="24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3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w:t>
            </w: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2"/>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r>
        <w:trPr>
          <w:trHeight w:val="661"/>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June 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989965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120" w:space="720"/>
            <w:col w:w="7400"/>
          </w:cols>
          <w:pgMar w:left="320" w:top="1440" w:right="33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June 3,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-1270000</wp:posOffset>
            </wp:positionH>
            <wp:positionV relativeFrom="paragraph">
              <wp:posOffset>-1273810</wp:posOffset>
            </wp:positionV>
            <wp:extent cx="2366010" cy="6172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191296/1</w:t>
      </w:r>
    </w:p>
    <w:p>
      <w:pPr>
        <w:spacing w:after="0" w:line="200" w:lineRule="exact"/>
        <w:rPr>
          <w:sz w:val="20"/>
          <w:szCs w:val="20"/>
          <w:color w:val="auto"/>
        </w:rPr>
      </w:pPr>
    </w:p>
    <w:p>
      <w:pPr>
        <w:sectPr>
          <w:pgSz w:w="11900" w:h="16838" w:orient="portrait"/>
          <w:cols w:equalWidth="0" w:num="2">
            <w:col w:w="8700" w:space="720"/>
            <w:col w:w="1820"/>
          </w:cols>
          <w:pgMar w:left="320" w:top="1440" w:right="339" w:bottom="1440" w:gutter="0" w:footer="0" w:header="0"/>
        </w:sectPr>
      </w:pP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3650 Gilmore Way</w:t>
      </w:r>
    </w:p>
    <w:p>
      <w:pPr>
        <w:spacing w:after="0" w:line="234" w:lineRule="auto"/>
        <w:rPr>
          <w:sz w:val="20"/>
          <w:szCs w:val="20"/>
          <w:color w:val="auto"/>
        </w:rPr>
      </w:pPr>
      <w:r>
        <w:rPr>
          <w:rFonts w:ascii="Arial" w:cs="Arial" w:eastAsia="Arial" w:hAnsi="Arial"/>
          <w:sz w:val="18"/>
          <w:szCs w:val="18"/>
          <w:color w:val="auto"/>
        </w:rPr>
        <w:t>Burnaby, BC V5G 4W8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Post-Effective Amendment to Registration Statements on Form S-8 of Xenon Pharmaceuticals Inc. (the “Company”)</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have acted as Canadian counsel to the Company, a corporation continued under the federal laws of Canada, in connection with the Post-Effective Amendment No. 1 to the Registration Statements on Form S-8, Reg. Nos. 333-199860, 333-202765, 333-210050, 333-216543, 333-223497, 333-230103, 333-237036, 333-238895, 333-265377 and 333-279962 (the </w:t>
      </w:r>
      <w:r>
        <w:rPr>
          <w:rFonts w:ascii="Arial" w:cs="Arial" w:eastAsia="Arial" w:hAnsi="Arial"/>
          <w:sz w:val="18"/>
          <w:szCs w:val="18"/>
          <w:b w:val="1"/>
          <w:bCs w:val="1"/>
          <w:color w:val="auto"/>
        </w:rPr>
        <w:t>“Post-Effective Amendment”</w:t>
      </w:r>
      <w:r>
        <w:rPr>
          <w:rFonts w:ascii="Arial" w:cs="Arial" w:eastAsia="Arial" w:hAnsi="Arial"/>
          <w:sz w:val="18"/>
          <w:szCs w:val="18"/>
          <w:color w:val="auto"/>
        </w:rPr>
        <w:t xml:space="preserve">) to be filed by the Company with the U.S. Securities and Exchange Commission under the Securities Act of 1933, as amended. On June 2, 2026, the shareholders of the Company approved the Company’s 2026 Equity Incentive Plan (the </w:t>
      </w:r>
      <w:r>
        <w:rPr>
          <w:rFonts w:ascii="Arial" w:cs="Arial" w:eastAsia="Arial" w:hAnsi="Arial"/>
          <w:sz w:val="18"/>
          <w:szCs w:val="18"/>
          <w:b w:val="1"/>
          <w:bCs w:val="1"/>
          <w:color w:val="auto"/>
        </w:rPr>
        <w:t>“2026 Plan”</w:t>
      </w:r>
      <w:r>
        <w:rPr>
          <w:rFonts w:ascii="Arial" w:cs="Arial" w:eastAsia="Arial" w:hAnsi="Arial"/>
          <w:sz w:val="18"/>
          <w:szCs w:val="18"/>
          <w:color w:val="auto"/>
        </w:rPr>
        <w:t xml:space="preserve">). The total number of common shares in the capital of the Company (the </w:t>
      </w:r>
      <w:r>
        <w:rPr>
          <w:rFonts w:ascii="Arial" w:cs="Arial" w:eastAsia="Arial" w:hAnsi="Arial"/>
          <w:sz w:val="18"/>
          <w:szCs w:val="18"/>
          <w:b w:val="1"/>
          <w:bCs w:val="1"/>
          <w:color w:val="auto"/>
        </w:rPr>
        <w:t>“Shares”</w:t>
      </w:r>
      <w:r>
        <w:rPr>
          <w:rFonts w:ascii="Arial" w:cs="Arial" w:eastAsia="Arial" w:hAnsi="Arial"/>
          <w:sz w:val="18"/>
          <w:szCs w:val="18"/>
          <w:color w:val="auto"/>
        </w:rPr>
        <w:t xml:space="preserve">) that may be issued under the 2026 Plan is 19,061,599, which is equal to the sum of (i) 4,400,000 Shares, (ii) 2,873,223 Shares which had been available for issuance under the Company’s Amended and Restated 2014 Equity Incentive Plan (the </w:t>
      </w:r>
      <w:r>
        <w:rPr>
          <w:rFonts w:ascii="Arial" w:cs="Arial" w:eastAsia="Arial" w:hAnsi="Arial"/>
          <w:sz w:val="18"/>
          <w:szCs w:val="18"/>
          <w:b w:val="1"/>
          <w:bCs w:val="1"/>
          <w:color w:val="auto"/>
        </w:rPr>
        <w:t>“2014 Plan”</w:t>
      </w:r>
      <w:r>
        <w:rPr>
          <w:rFonts w:ascii="Arial" w:cs="Arial" w:eastAsia="Arial" w:hAnsi="Arial"/>
          <w:sz w:val="18"/>
          <w:szCs w:val="18"/>
          <w:color w:val="auto"/>
        </w:rPr>
        <w:t xml:space="preserve">) and were not issued or subject to outstanding awards under the 2014 Plan, and (iii) up to 11,788,376 Shares subject to outstanding awards under the 2014 Plan that may expire or terminate, or are otherwise surrendered, cancelled, forfeited or repurchased by the Company at their original issuance price pursuant to a contractual repurchase right and would have become available again for issuance under the terms of the 2014 Plan (the Shares described in clauses (ii) and (iii), the </w:t>
      </w:r>
      <w:r>
        <w:rPr>
          <w:rFonts w:ascii="Arial" w:cs="Arial" w:eastAsia="Arial" w:hAnsi="Arial"/>
          <w:sz w:val="18"/>
          <w:szCs w:val="18"/>
          <w:b w:val="1"/>
          <w:bCs w:val="1"/>
          <w:color w:val="auto"/>
        </w:rPr>
        <w:t>“Carryover Shares”</w:t>
      </w:r>
      <w:r>
        <w:rPr>
          <w:rFonts w:ascii="Arial" w:cs="Arial" w:eastAsia="Arial" w:hAnsi="Arial"/>
          <w:sz w:val="18"/>
          <w:szCs w:val="18"/>
          <w:color w:val="auto"/>
        </w:rPr>
        <w:t>).</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connection with giving this opinion, we have examined the Post-Effective Amendment (including exhibits thereto). We have also examined originals, certified or otherwise identified to our satisfaction, of such public and corporate records, certificates, instruments and other documents as we have considered necessary in order to express the opinion set out below. With respect to the accuracy of factual matters material to this opinion, we have relied upon certificates or comparable documents and representations of public officials and of officers and representatives of the Company.</w:t>
      </w:r>
    </w:p>
    <w:p>
      <w:pPr>
        <w:spacing w:after="0" w:line="17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In giving this opinion, we have assumed the genuineness of all signatures, the authenticity of all documents submitted to us as originals and the conformity to original documents of all documents submitted to us as copies, certified or otherwise identified to our satisfaction. We have also considered such questions of law as we have deemed relevant and necessary as a basis for the opinion hereinafter expressed.</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opinion expressed herein is limited to matters governed by the laws of the Province of British Columbia and the laws of Canada applicable therein.</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Based and relying upon and subject to the foregoing, we are of the opinion that the Carryover Shares have been duly authorized and, when issued by the Company in accordance with the terms of the 2026 Plan and the agreements contemplated by the 2026 Plan, will be validly issued, fully paid and non-assessable shares in the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252031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715010</wp:posOffset>
            </wp:positionV>
            <wp:extent cx="239141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2391410" cy="445770"/>
                    </a:xfrm>
                    <a:prstGeom prst="rect">
                      <a:avLst/>
                    </a:prstGeom>
                    <a:noFill/>
                  </pic:spPr>
                </pic:pic>
              </a:graphicData>
            </a:graphic>
          </wp:anchor>
        </w:drawing>
        <w:drawing>
          <wp:anchor simplePos="0" relativeHeight="251657728" behindDoc="1" locked="0" layoutInCell="0" allowOverlap="1">
            <wp:simplePos x="0" y="0"/>
            <wp:positionH relativeFrom="page">
              <wp:posOffset>4914265</wp:posOffset>
            </wp:positionH>
            <wp:positionV relativeFrom="page">
              <wp:posOffset>629285</wp:posOffset>
            </wp:positionV>
            <wp:extent cx="2366010" cy="6172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236601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filing of this opinion letter as an exhibit to the Post-Effective Amendment and further consent to the use of our name wherever appearing in the Post-Effective Amendment.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opinion is effective as at the date hereof and is based upon laws in effect and facts in existence as at the date hereof. We express no opinion as to the effect of future laws or judicial decisions on the subject matter hereof, nor do we undertake any duty to modify this opinion to reflect subsequent facts or developments concerning the Company or developments in the law occurring after the date hereof.</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Blake, Cassels &amp; Graydon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429260</wp:posOffset>
            </wp:positionV>
            <wp:extent cx="2520315"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2520315" cy="2057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180"/>
        <w:spacing w:after="0" w:line="237" w:lineRule="auto"/>
        <w:rPr>
          <w:sz w:val="20"/>
          <w:szCs w:val="20"/>
          <w:color w:val="auto"/>
        </w:rPr>
      </w:pPr>
      <w:r>
        <w:rPr>
          <w:rFonts w:ascii="Georgia" w:cs="Georgia" w:eastAsia="Georgia" w:hAnsi="Georgia"/>
          <w:sz w:val="18"/>
          <w:szCs w:val="18"/>
          <w:color w:val="auto"/>
        </w:rPr>
        <w:t>We hereby consent to the incorporation by reference in this Post-effective Amendment No. 1 to Registration Statement on Form S-8 (Nos. 333-199860, 333-202765, 333-210050, 333-216543, 333-223497, 333-230103, 333-237036, 333-238895, 333-265377, and 333-279962) of Xenon Pharmaceuticals Inc. of our report dated February 26, 2026 relating to the financial statements and the effectiveness of internal control over financial reporting, which appears in Xenon Pharmaceuticals Inc.'s Annual Report on Form 10-K for the year ended December 31, 2025.</w:t>
      </w:r>
    </w:p>
    <w:p>
      <w:pPr>
        <w:spacing w:after="0" w:line="10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Boston, Massachusetts</w:t>
      </w:r>
    </w:p>
    <w:p>
      <w:pPr>
        <w:spacing w:after="0"/>
        <w:rPr>
          <w:sz w:val="20"/>
          <w:szCs w:val="20"/>
          <w:color w:val="auto"/>
        </w:rPr>
      </w:pPr>
      <w:r>
        <w:rPr>
          <w:rFonts w:ascii="Georgia" w:cs="Georgia" w:eastAsia="Georgia" w:hAnsi="Georgia"/>
          <w:sz w:val="18"/>
          <w:szCs w:val="18"/>
          <w:color w:val="auto"/>
        </w:rPr>
        <w:t>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1265555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Xenon Pharmaceuticals Inc.</w:t>
      </w:r>
    </w:p>
    <w:p>
      <w:pPr>
        <w:spacing w:after="0" w:line="104"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consent to the use of our report dated February 27, 2025, on the consolidated financial statements of Xenon Pharmaceuticals Inc. (“the Entity”), which comprise the consolidated balance sheet as of December 31, 2024, the related consolidated statements of operations and comprehensive loss, shareholders’ equity and cash flows for each of the years in the two-year period ended December 31, 2024, and the related notes, which is incorporated by reference in the Registration Statement on Form S-8 dated June 3, 2026 of the Entity.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June 3, 2026</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1527810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lvl w:ilvl="1">
      <w:lvlJc w:val="left"/>
      <w:lvlText w:val="(%2)"/>
      <w:numFmt w:val="decimal"/>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decimal"/>
      <w:start w:val="2"/>
    </w:lvl>
  </w:abstractNum>
  <w:abstractNum w:abstractNumId="6">
    <w:nsid w:val="41B71EF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31"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jpeg"/><Relationship Id="rId54" Type="http://schemas.openxmlformats.org/officeDocument/2006/relationships/image" Target="media/image32.jpeg"/><Relationship Id="rId55" Type="http://schemas.openxmlformats.org/officeDocument/2006/relationships/image" Target="media/image33.png"/><Relationship Id="rId56" Type="http://schemas.openxmlformats.org/officeDocument/2006/relationships/image" Target="media/image34.jpeg"/><Relationship Id="rId57" Type="http://schemas.openxmlformats.org/officeDocument/2006/relationships/image" Target="media/image35.jpeg"/><Relationship Id="rId58" Type="http://schemas.openxmlformats.org/officeDocument/2006/relationships/image" Target="media/image36.jpeg"/><Relationship Id="rId59" Type="http://schemas.openxmlformats.org/officeDocument/2006/relationships/image" Target="media/image37.png"/><Relationship Id="rId60" Type="http://schemas.openxmlformats.org/officeDocument/2006/relationships/image" Target="media/image38.jpeg"/><Relationship Id="rId61" Type="http://schemas.openxmlformats.org/officeDocument/2006/relationships/image" Target="media/image39.png"/><Relationship Id="rId62" Type="http://schemas.openxmlformats.org/officeDocument/2006/relationships/image" Target="media/image40.png"/><Relationship Id="rId20" Type="http://schemas.openxmlformats.org/officeDocument/2006/relationships/hyperlink" Target="https://www.sec.gov/ix?doc=/Archives/edgar/data/0001582313/000119312526076650/xene-20251231.htm" TargetMode="External"/><Relationship Id="rId21" Type="http://schemas.openxmlformats.org/officeDocument/2006/relationships/hyperlink" Target="https://www.sec.gov/Archives/edgar/data/0001582313/000119312514369146/d803267d8a12b.htm" TargetMode="External"/><Relationship Id="rId24" Type="http://schemas.openxmlformats.org/officeDocument/2006/relationships/hyperlink" Target="https://www.sec.gov/Archives/edgar/data/1582313/000119312514363909/d582812dex41.htm" TargetMode="External"/><Relationship Id="rId25" Type="http://schemas.openxmlformats.org/officeDocument/2006/relationships/hyperlink" Target="https://www.sec.gov/Archives/edgar/data/1582313/000095017024069318/xene-ex10_1.htm" TargetMode="External"/><Relationship Id="rId26" Type="http://schemas.openxmlformats.org/officeDocument/2006/relationships/hyperlink" Target="https://www.sec.gov/ix?doc=/Archives/edgar/data/0001582313/000119312526255396/xene-20260602.htm" TargetMode="External"/><Relationship Id="rId27" Type="http://schemas.openxmlformats.org/officeDocument/2006/relationships/hyperlink" Target="https://www.sec.gov/Archives/edgar/data/1582313/000119312514397217/d806103dex51.htm" TargetMode="External"/><Relationship Id="rId28" Type="http://schemas.openxmlformats.org/officeDocument/2006/relationships/hyperlink" Target="https://www.sec.gov/Archives/edgar/data/1582313/000117184315001400/exh_51.htm" TargetMode="External"/><Relationship Id="rId29" Type="http://schemas.openxmlformats.org/officeDocument/2006/relationships/hyperlink" Target="https://www.sec.gov/Archives/edgar/data/1582313/000156459016014310/xene-ex51_9.htm" TargetMode="External"/><Relationship Id="rId30" Type="http://schemas.openxmlformats.org/officeDocument/2006/relationships/hyperlink" Target="https://www.sec.gov/Archives/edgar/data/1582313/000156459017003725/xene-ex51_42.htm" TargetMode="External"/><Relationship Id="rId32" Type="http://schemas.openxmlformats.org/officeDocument/2006/relationships/hyperlink" Target="https://www.sec.gov/Archives/edgar/data/1582313/000156459018004754/xene-ex51_7.htm" TargetMode="External"/><Relationship Id="rId33" Type="http://schemas.openxmlformats.org/officeDocument/2006/relationships/hyperlink" Target="https://www.sec.gov/Archives/edgar/data/1582313/000156459019006522/xene-ex51_7.htm" TargetMode="External"/><Relationship Id="rId34" Type="http://schemas.openxmlformats.org/officeDocument/2006/relationships/hyperlink" Target="https://www.sec.gov/Archives/edgar/data/1582313/000156459020009391/xene-ex51_6.htm" TargetMode="External"/><Relationship Id="rId35" Type="http://schemas.openxmlformats.org/officeDocument/2006/relationships/hyperlink" Target="https://www.sec.gov/Archives/edgar/data/1582313/000156459020028139/xene-ex51_6.htm" TargetMode="External"/><Relationship Id="rId36" Type="http://schemas.openxmlformats.org/officeDocument/2006/relationships/hyperlink" Target="https://www.sec.gov/Archives/edgar/data/1582313/000156459022022244/xene-ex51_6.htm" TargetMode="External"/><Relationship Id="rId37" Type="http://schemas.openxmlformats.org/officeDocument/2006/relationships/hyperlink" Target="https://www.sec.gov/Archives/edgar/data/1582313/000095017024069340/xene-ex5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2026-06-03T15:27:12Z</dcterms:created>
  <dcterms:modified xsi:type="dcterms:W3CDTF">2026-06-03T15:27:12Z</dcterms:modified>
</cp:coreProperties>
</file>