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Filed Pursuant to Rule 424(b)(4)</w:t>
      </w:r>
    </w:p>
    <w:p>
      <w:pPr>
        <w:jc w:val="right"/>
        <w:spacing w:after="0"/>
        <w:rPr>
          <w:sz w:val="20"/>
          <w:szCs w:val="20"/>
          <w:color w:val="auto"/>
        </w:rPr>
      </w:pPr>
      <w:r>
        <w:rPr>
          <w:rFonts w:ascii="Arial" w:cs="Arial" w:eastAsia="Arial" w:hAnsi="Arial"/>
          <w:sz w:val="17"/>
          <w:szCs w:val="17"/>
          <w:color w:val="auto"/>
        </w:rPr>
        <w:t>Registration No. 333-198666</w:t>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114935</wp:posOffset>
            </wp:positionV>
            <wp:extent cx="156527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527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Xenon Pharmaceuticals Inc.</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246380</wp:posOffset>
            </wp:positionV>
            <wp:extent cx="2253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right="600"/>
        <w:spacing w:after="0" w:line="245" w:lineRule="auto"/>
        <w:rPr>
          <w:sz w:val="20"/>
          <w:szCs w:val="20"/>
          <w:color w:val="auto"/>
        </w:rPr>
      </w:pPr>
      <w:r>
        <w:rPr>
          <w:rFonts w:ascii="Arial" w:cs="Arial" w:eastAsia="Arial" w:hAnsi="Arial"/>
          <w:sz w:val="17"/>
          <w:szCs w:val="17"/>
          <w:color w:val="auto"/>
        </w:rPr>
        <w:t>We are offering 4,000,000 of our common shares. This is our initial public offering and prior to this offering there has been no public market for our common shares. The initial public offering price is $9.00 per common share.</w:t>
      </w:r>
    </w:p>
    <w:p>
      <w:pPr>
        <w:spacing w:after="0" w:line="143" w:lineRule="exact"/>
        <w:rPr>
          <w:sz w:val="24"/>
          <w:szCs w:val="24"/>
          <w:color w:val="auto"/>
        </w:rPr>
      </w:pPr>
    </w:p>
    <w:p>
      <w:pPr>
        <w:ind w:right="20"/>
        <w:spacing w:after="0" w:line="241" w:lineRule="auto"/>
        <w:rPr>
          <w:sz w:val="20"/>
          <w:szCs w:val="20"/>
          <w:color w:val="auto"/>
        </w:rPr>
      </w:pPr>
      <w:r>
        <w:rPr>
          <w:rFonts w:ascii="Arial" w:cs="Arial" w:eastAsia="Arial" w:hAnsi="Arial"/>
          <w:sz w:val="17"/>
          <w:szCs w:val="17"/>
          <w:color w:val="auto"/>
        </w:rPr>
        <w:t>Our common shares have been approved for listing on The NASDAQ Global Market under the symbol “XENE”. We are an “emerging growth company” as defined by the Jumpstart Our Business Startups Act of 2012 and, as such, we have elected to comply with certain reduced public company reporting requirements for this prospectus and future filings.</w:t>
      </w:r>
    </w:p>
    <w:p>
      <w:pPr>
        <w:spacing w:after="0" w:line="127" w:lineRule="exact"/>
        <w:rPr>
          <w:sz w:val="24"/>
          <w:szCs w:val="24"/>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shares involves a high degree of risk. See “</w:t>
      </w:r>
      <w:hyperlink w:anchor="page16">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13 of this prospectus.</w:t>
      </w:r>
    </w:p>
    <w:p>
      <w:pPr>
        <w:spacing w:after="0" w:line="153" w:lineRule="exact"/>
        <w:rPr>
          <w:sz w:val="24"/>
          <w:szCs w:val="24"/>
          <w:color w:val="auto"/>
        </w:rPr>
      </w:pPr>
    </w:p>
    <w:p>
      <w:pPr>
        <w:ind w:right="380"/>
        <w:spacing w:after="0" w:line="27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61" w:lineRule="exact"/>
        <w:rPr>
          <w:sz w:val="24"/>
          <w:szCs w:val="24"/>
          <w:color w:val="auto"/>
        </w:rPr>
      </w:pPr>
    </w:p>
    <w:tbl>
      <w:tblPr>
        <w:tblLayout w:type="fixed"/>
        <w:tblInd w:w="92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r>
      <w:tr>
        <w:trPr>
          <w:trHeight w:val="83"/>
        </w:trPr>
        <w:tc>
          <w:tcPr>
            <w:tcW w:w="52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Initial Public Offering Price</w:t>
            </w:r>
          </w:p>
        </w:tc>
        <w:tc>
          <w:tcPr>
            <w:tcW w:w="2080" w:type="dxa"/>
            <w:vAlign w:val="bottom"/>
            <w:gridSpan w:val="2"/>
            <w:shd w:val="clear" w:color="auto" w:fill="CCEEFF"/>
          </w:tcPr>
          <w:p>
            <w:pPr>
              <w:ind w:left="1820"/>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9.00</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36,000,000</w:t>
            </w:r>
          </w:p>
        </w:tc>
        <w:tc>
          <w:tcPr>
            <w:tcW w:w="100" w:type="dxa"/>
            <w:vAlign w:val="bottom"/>
            <w:shd w:val="clear" w:color="auto" w:fill="CCEEFF"/>
          </w:tcPr>
          <w:p>
            <w:pPr>
              <w:spacing w:after="0"/>
              <w:rPr>
                <w:sz w:val="16"/>
                <w:szCs w:val="16"/>
                <w:color w:val="auto"/>
              </w:rPr>
            </w:pPr>
          </w:p>
        </w:tc>
      </w:tr>
      <w:tr>
        <w:trPr>
          <w:trHeight w:val="308"/>
        </w:trPr>
        <w:tc>
          <w:tcPr>
            <w:tcW w:w="520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10"/>
                <w:szCs w:val="10"/>
                <w:color w:val="auto"/>
              </w:rPr>
              <w:t>(1)(2)</w:t>
            </w:r>
          </w:p>
        </w:tc>
        <w:tc>
          <w:tcPr>
            <w:tcW w:w="2080" w:type="dxa"/>
            <w:vAlign w:val="bottom"/>
            <w:gridSpan w:val="2"/>
          </w:tcPr>
          <w:p>
            <w:pPr>
              <w:ind w:left="182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0.63</w:t>
            </w:r>
          </w:p>
        </w:tc>
        <w:tc>
          <w:tcPr>
            <w:tcW w:w="7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2,520,000</w:t>
            </w:r>
          </w:p>
        </w:tc>
        <w:tc>
          <w:tcPr>
            <w:tcW w:w="100" w:type="dxa"/>
            <w:vAlign w:val="bottom"/>
          </w:tcPr>
          <w:p>
            <w:pPr>
              <w:spacing w:after="0"/>
              <w:rPr>
                <w:sz w:val="24"/>
                <w:szCs w:val="24"/>
                <w:color w:val="auto"/>
              </w:rPr>
            </w:pPr>
          </w:p>
        </w:tc>
      </w:tr>
      <w:tr>
        <w:trPr>
          <w:trHeight w:val="92"/>
        </w:trPr>
        <w:tc>
          <w:tcPr>
            <w:tcW w:w="52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94"/>
        </w:trPr>
        <w:tc>
          <w:tcPr>
            <w:tcW w:w="5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Proceeds, before expenses, to us</w:t>
            </w:r>
          </w:p>
        </w:tc>
        <w:tc>
          <w:tcPr>
            <w:tcW w:w="2080" w:type="dxa"/>
            <w:vAlign w:val="bottom"/>
            <w:gridSpan w:val="2"/>
            <w:shd w:val="clear" w:color="auto" w:fill="CCEEFF"/>
          </w:tcPr>
          <w:p>
            <w:pPr>
              <w:ind w:left="1820"/>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8.37</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33,480,000</w:t>
            </w:r>
          </w:p>
        </w:tc>
        <w:tc>
          <w:tcPr>
            <w:tcW w:w="100" w:type="dxa"/>
            <w:vAlign w:val="bottom"/>
            <w:shd w:val="clear" w:color="auto" w:fill="CCEEFF"/>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252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01" w:lineRule="exact"/>
        <w:rPr>
          <w:sz w:val="24"/>
          <w:szCs w:val="24"/>
          <w:color w:val="auto"/>
        </w:rPr>
      </w:pPr>
    </w:p>
    <w:p>
      <w:pPr>
        <w:ind w:left="320" w:hanging="264"/>
        <w:spacing w:after="0"/>
        <w:tabs>
          <w:tab w:leader="none" w:pos="32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color w:val="auto"/>
        </w:rPr>
        <w:t>The underwriters will also be reimbursed for certain expenses incurred in this offering. See “Underwriting” for details.</w:t>
      </w:r>
    </w:p>
    <w:p>
      <w:pPr>
        <w:ind w:left="320" w:hanging="264"/>
        <w:spacing w:after="0" w:line="190" w:lineRule="auto"/>
        <w:tabs>
          <w:tab w:leader="none" w:pos="320" w:val="left"/>
        </w:tabs>
        <w:numPr>
          <w:ilvl w:val="0"/>
          <w:numId w:val="1"/>
        </w:numPr>
        <w:rPr>
          <w:rFonts w:ascii="Arial" w:cs="Arial" w:eastAsia="Arial" w:hAnsi="Arial"/>
          <w:sz w:val="17"/>
          <w:szCs w:val="17"/>
          <w:color w:val="auto"/>
          <w:vertAlign w:val="superscript"/>
        </w:rPr>
      </w:pPr>
      <w:r>
        <w:rPr>
          <w:rFonts w:ascii="Arial" w:cs="Arial" w:eastAsia="Arial" w:hAnsi="Arial"/>
          <w:sz w:val="11"/>
          <w:szCs w:val="11"/>
          <w:color w:val="auto"/>
        </w:rPr>
        <w:t>Exclusive of fees payable in connection with the concurrent private placement. See “Underwriting” for details.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2501265</wp:posOffset>
            </wp:positionH>
            <wp:positionV relativeFrom="paragraph">
              <wp:posOffset>164465</wp:posOffset>
            </wp:positionV>
            <wp:extent cx="2253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140"/>
        <w:spacing w:after="0" w:line="241" w:lineRule="auto"/>
        <w:rPr>
          <w:sz w:val="20"/>
          <w:szCs w:val="20"/>
          <w:color w:val="auto"/>
        </w:rPr>
      </w:pPr>
      <w:r>
        <w:rPr>
          <w:rFonts w:ascii="Arial" w:cs="Arial" w:eastAsia="Arial" w:hAnsi="Arial"/>
          <w:sz w:val="17"/>
          <w:szCs w:val="17"/>
          <w:color w:val="auto"/>
        </w:rPr>
        <w:t>Delivery of the common shares purchased in this offering is expected to be made on or about November 10, 2014. We have granted the underwriters an option for a period of 30 days to purchase up to 600,000 additional common shares. If the underwriters exercise the option in full, the total underwriting discounts and commissions will be $2,898,000 and the total proceeds to us, before expenses, will be $38,502,000.</w:t>
      </w:r>
    </w:p>
    <w:p>
      <w:pPr>
        <w:spacing w:after="0" w:line="147" w:lineRule="exact"/>
        <w:rPr>
          <w:sz w:val="24"/>
          <w:szCs w:val="24"/>
          <w:color w:val="auto"/>
        </w:rPr>
      </w:pPr>
    </w:p>
    <w:p>
      <w:pPr>
        <w:ind w:right="260"/>
        <w:spacing w:after="0"/>
        <w:rPr>
          <w:sz w:val="20"/>
          <w:szCs w:val="20"/>
          <w:color w:val="auto"/>
        </w:rPr>
      </w:pPr>
      <w:r>
        <w:rPr>
          <w:rFonts w:ascii="Arial" w:cs="Arial" w:eastAsia="Arial" w:hAnsi="Arial"/>
          <w:sz w:val="17"/>
          <w:szCs w:val="17"/>
          <w:color w:val="auto"/>
        </w:rPr>
        <w:t>Pursuant to the terms of our common share put agreement, an affiliate of Genentech, Inc., one of our pharmaceutical partners, will purchase approximately $4.5 million of our common shares in a separate private placement, concurrent with the completion of this offering, at a price per share equal to the initial public offering price. The sale of such shares will not be registered under the Securities Act of 1933, as amended. The closing of this offering is not conditioned upon the closing of the concurrent private placement.</w:t>
      </w:r>
    </w:p>
    <w:p>
      <w:pPr>
        <w:spacing w:after="0" w:line="147" w:lineRule="exact"/>
        <w:rPr>
          <w:sz w:val="24"/>
          <w:szCs w:val="24"/>
          <w:color w:val="auto"/>
        </w:rPr>
      </w:pPr>
    </w:p>
    <w:p>
      <w:pPr>
        <w:jc w:val="both"/>
        <w:ind w:right="160"/>
        <w:spacing w:after="0" w:line="241" w:lineRule="auto"/>
        <w:rPr>
          <w:sz w:val="20"/>
          <w:szCs w:val="20"/>
          <w:color w:val="auto"/>
        </w:rPr>
      </w:pPr>
      <w:r>
        <w:rPr>
          <w:rFonts w:ascii="Arial" w:cs="Arial" w:eastAsia="Arial" w:hAnsi="Arial"/>
          <w:sz w:val="17"/>
          <w:szCs w:val="17"/>
          <w:color w:val="auto"/>
        </w:rPr>
        <w:t>Under the terms of our collaboration agreement, Teva Pharmaceutical Industries Ltd., or Teva, one of our pharmaceutical partners, or an affiliate of Teva will purchase $10.0 million of our common shares in this offering at the initial public offering price. The underwriters will receive the same discount from any common shares purchased by Teva or its affiliate as they will from any other common shares sold to the public in this offering.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Joint Book-Running Managers</w:t>
      </w:r>
    </w:p>
    <w:p>
      <w:pPr>
        <w:sectPr>
          <w:pgSz w:w="11900" w:h="16838" w:orient="portrait"/>
          <w:cols w:equalWidth="0" w:num="1">
            <w:col w:w="11420"/>
          </w:cols>
          <w:pgMar w:left="240" w:top="225" w:right="2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Jefferies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Wells Fargo Securities</w:t>
      </w:r>
    </w:p>
    <w:p>
      <w:pPr>
        <w:spacing w:after="0" w:line="211" w:lineRule="exact"/>
        <w:rPr>
          <w:sz w:val="24"/>
          <w:szCs w:val="24"/>
          <w:color w:val="auto"/>
        </w:rPr>
      </w:pPr>
    </w:p>
    <w:p>
      <w:pPr>
        <w:sectPr>
          <w:pgSz w:w="11900" w:h="16838" w:orient="portrait"/>
          <w:cols w:equalWidth="0" w:num="2">
            <w:col w:w="7380" w:space="720"/>
            <w:col w:w="3320"/>
          </w:cols>
          <w:pgMar w:left="240" w:top="225"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Co-Manager</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Canaccord Genuity</w:t>
      </w: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Prospectus dated November 4, 2014</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20" w:type="dxa"/>
            <w:vAlign w:val="bottom"/>
            <w:gridSpan w:val="3"/>
          </w:tcPr>
          <w:p>
            <w:pPr>
              <w:ind w:left="580"/>
              <w:spacing w:after="0"/>
              <w:rPr>
                <w:sz w:val="20"/>
                <w:szCs w:val="20"/>
                <w:color w:val="auto"/>
              </w:rPr>
            </w:pPr>
            <w:r>
              <w:rPr>
                <w:rFonts w:ascii="Arial" w:cs="Arial" w:eastAsia="Arial" w:hAnsi="Arial"/>
                <w:sz w:val="17"/>
                <w:szCs w:val="17"/>
                <w:b w:val="1"/>
                <w:bCs w:val="1"/>
                <w:color w:val="auto"/>
              </w:rPr>
              <w:t>TABLE OF CONTENTS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960" w:type="dxa"/>
            <w:vAlign w:val="bottom"/>
            <w:gridSpan w:val="22"/>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PAGE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960" w:type="dxa"/>
            <w:vAlign w:val="bottom"/>
            <w:gridSpan w:val="22"/>
            <w:vMerge w:val="continue"/>
          </w:tcPr>
          <w:p>
            <w:pPr>
              <w:spacing w:after="0"/>
              <w:rPr>
                <w:sz w:val="12"/>
                <w:szCs w:val="12"/>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93"/>
        </w:trPr>
        <w:tc>
          <w:tcPr>
            <w:tcW w:w="9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5"/>
              </w:rPr>
            </w:pPr>
            <w:hyperlink w:anchor="page16">
              <w:r>
                <w:rPr>
                  <w:rFonts w:ascii="Arial" w:cs="Arial" w:eastAsia="Arial" w:hAnsi="Arial"/>
                  <w:sz w:val="17"/>
                  <w:szCs w:val="17"/>
                  <w:color w:val="0000EE"/>
                  <w:w w:val="95"/>
                </w:rPr>
                <w:t>Risk Factors</w:t>
              </w:r>
            </w:hyperlink>
          </w:p>
        </w:tc>
        <w:tc>
          <w:tcPr>
            <w:tcW w:w="660" w:type="dxa"/>
            <w:vAlign w:val="bottom"/>
            <w:tcBorders>
              <w:top w:val="single" w:sz="8" w:color="0000EE"/>
            </w:tcBorders>
            <w:gridSpan w:val="4"/>
          </w:tcPr>
          <w:p>
            <w:pPr>
              <w:spacing w:after="0"/>
              <w:rPr>
                <w:sz w:val="24"/>
                <w:szCs w:val="24"/>
                <w:color w:val="auto"/>
              </w:rPr>
            </w:pPr>
          </w:p>
        </w:tc>
        <w:tc>
          <w:tcPr>
            <w:tcW w:w="9360" w:type="dxa"/>
            <w:vAlign w:val="bottom"/>
            <w:gridSpan w:val="14"/>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80"/>
        </w:trPr>
        <w:tc>
          <w:tcPr>
            <w:tcW w:w="4240" w:type="dxa"/>
            <w:vAlign w:val="bottom"/>
            <w:tcBorders>
              <w:bottom w:val="single" w:sz="8" w:color="0000EE"/>
            </w:tcBorders>
            <w:gridSpan w:val="19"/>
          </w:tcPr>
          <w:p>
            <w:pPr>
              <w:spacing w:after="0"/>
              <w:rPr>
                <w:rFonts w:ascii="Arial" w:cs="Arial" w:eastAsia="Arial" w:hAnsi="Arial"/>
                <w:sz w:val="17"/>
                <w:szCs w:val="17"/>
                <w:color w:val="0000EE"/>
                <w:w w:val="98"/>
              </w:rPr>
            </w:pPr>
            <w:hyperlink w:anchor="page53">
              <w:r>
                <w:rPr>
                  <w:rFonts w:ascii="Arial" w:cs="Arial" w:eastAsia="Arial" w:hAnsi="Arial"/>
                  <w:sz w:val="17"/>
                  <w:szCs w:val="17"/>
                  <w:color w:val="0000EE"/>
                  <w:w w:val="98"/>
                </w:rPr>
                <w:t>Cautionary Note Regarding Forward-Looking Statements</w:t>
              </w:r>
            </w:hyperlink>
          </w:p>
        </w:tc>
        <w:tc>
          <w:tcPr>
            <w:tcW w:w="6720" w:type="dxa"/>
            <w:vAlign w:val="bottom"/>
            <w:gridSpan w:val="3"/>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80"/>
        </w:trPr>
        <w:tc>
          <w:tcPr>
            <w:tcW w:w="2400" w:type="dxa"/>
            <w:vAlign w:val="bottom"/>
            <w:tcBorders>
              <w:bottom w:val="single" w:sz="8" w:color="0000EE"/>
            </w:tcBorders>
            <w:gridSpan w:val="15"/>
          </w:tcPr>
          <w:p>
            <w:pPr>
              <w:spacing w:after="0"/>
              <w:rPr>
                <w:rFonts w:ascii="Arial" w:cs="Arial" w:eastAsia="Arial" w:hAnsi="Arial"/>
                <w:sz w:val="17"/>
                <w:szCs w:val="17"/>
                <w:color w:val="0000EE"/>
                <w:w w:val="97"/>
              </w:rPr>
            </w:pPr>
            <w:hyperlink w:anchor="page55">
              <w:r>
                <w:rPr>
                  <w:rFonts w:ascii="Arial" w:cs="Arial" w:eastAsia="Arial" w:hAnsi="Arial"/>
                  <w:sz w:val="17"/>
                  <w:szCs w:val="17"/>
                  <w:color w:val="0000EE"/>
                  <w:w w:val="97"/>
                </w:rPr>
                <w:t>Market, Industry and Other Data</w:t>
              </w:r>
            </w:hyperlink>
          </w:p>
        </w:tc>
        <w:tc>
          <w:tcPr>
            <w:tcW w:w="8560" w:type="dxa"/>
            <w:vAlign w:val="bottom"/>
            <w:gridSpan w:val="7"/>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Use of Proceeds</w:t>
              </w:r>
            </w:hyperlink>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380"/>
        </w:trPr>
        <w:tc>
          <w:tcPr>
            <w:tcW w:w="11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8"/>
              </w:rPr>
            </w:pPr>
            <w:hyperlink w:anchor="page57">
              <w:r>
                <w:rPr>
                  <w:rFonts w:ascii="Arial" w:cs="Arial" w:eastAsia="Arial" w:hAnsi="Arial"/>
                  <w:sz w:val="17"/>
                  <w:szCs w:val="17"/>
                  <w:color w:val="0000EE"/>
                  <w:w w:val="98"/>
                </w:rPr>
                <w:t>Dividend Policy</w:t>
              </w:r>
            </w:hyperlink>
          </w:p>
        </w:tc>
        <w:tc>
          <w:tcPr>
            <w:tcW w:w="80" w:type="dxa"/>
            <w:vAlign w:val="bottom"/>
            <w:tcBorders>
              <w:top w:val="single" w:sz="8" w:color="0000EE"/>
            </w:tcBorders>
          </w:tcPr>
          <w:p>
            <w:pPr>
              <w:spacing w:after="0"/>
              <w:rPr>
                <w:sz w:val="24"/>
                <w:szCs w:val="24"/>
                <w:color w:val="auto"/>
              </w:rPr>
            </w:pPr>
          </w:p>
        </w:tc>
        <w:tc>
          <w:tcPr>
            <w:tcW w:w="9720" w:type="dxa"/>
            <w:vAlign w:val="bottom"/>
            <w:gridSpan w:val="15"/>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380"/>
        </w:trPr>
        <w:tc>
          <w:tcPr>
            <w:tcW w:w="1020" w:type="dxa"/>
            <w:vAlign w:val="bottom"/>
            <w:tcBorders>
              <w:bottom w:val="single" w:sz="8" w:color="0000EE"/>
            </w:tcBorders>
            <w:gridSpan w:val="5"/>
          </w:tcPr>
          <w:p>
            <w:pPr>
              <w:spacing w:after="0"/>
              <w:rPr>
                <w:rFonts w:ascii="Arial" w:cs="Arial" w:eastAsia="Arial" w:hAnsi="Arial"/>
                <w:sz w:val="17"/>
                <w:szCs w:val="17"/>
                <w:color w:val="0000EE"/>
                <w:w w:val="97"/>
              </w:rPr>
            </w:pPr>
            <w:hyperlink w:anchor="page58">
              <w:r>
                <w:rPr>
                  <w:rFonts w:ascii="Arial" w:cs="Arial" w:eastAsia="Arial" w:hAnsi="Arial"/>
                  <w:sz w:val="17"/>
                  <w:szCs w:val="17"/>
                  <w:color w:val="0000EE"/>
                  <w:w w:val="97"/>
                </w:rPr>
                <w:t>Capitalization</w:t>
              </w:r>
            </w:hyperlink>
          </w:p>
        </w:tc>
        <w:tc>
          <w:tcPr>
            <w:tcW w:w="9940" w:type="dxa"/>
            <w:vAlign w:val="bottom"/>
            <w:gridSpan w:val="17"/>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Dilution</w:t>
              </w:r>
            </w:hyperlink>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780" w:type="dxa"/>
            <w:vAlign w:val="bottom"/>
            <w:tcBorders>
              <w:bottom w:val="single" w:sz="8" w:color="0000EE"/>
            </w:tcBorders>
            <w:gridSpan w:val="10"/>
          </w:tcPr>
          <w:p>
            <w:pPr>
              <w:spacing w:after="0"/>
              <w:rPr>
                <w:rFonts w:ascii="Arial" w:cs="Arial" w:eastAsia="Arial" w:hAnsi="Arial"/>
                <w:sz w:val="17"/>
                <w:szCs w:val="17"/>
                <w:color w:val="0000EE"/>
                <w:w w:val="98"/>
              </w:rPr>
            </w:pPr>
            <w:hyperlink w:anchor="page62">
              <w:r>
                <w:rPr>
                  <w:rFonts w:ascii="Arial" w:cs="Arial" w:eastAsia="Arial" w:hAnsi="Arial"/>
                  <w:sz w:val="17"/>
                  <w:szCs w:val="17"/>
                  <w:color w:val="0000EE"/>
                  <w:w w:val="98"/>
                </w:rPr>
                <w:t>Selected Financial Data</w:t>
              </w:r>
            </w:hyperlink>
          </w:p>
        </w:tc>
        <w:tc>
          <w:tcPr>
            <w:tcW w:w="9180" w:type="dxa"/>
            <w:vAlign w:val="bottom"/>
            <w:gridSpan w:val="12"/>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Management’s Discussion and Analysis of Financial Condition and Results of Operations</w:t>
              </w:r>
            </w:hyperlink>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380"/>
        </w:trPr>
        <w:tc>
          <w:tcPr>
            <w:tcW w:w="6600" w:type="dxa"/>
            <w:vAlign w:val="bottom"/>
            <w:tcBorders>
              <w:top w:val="single" w:sz="8" w:color="0000EE"/>
            </w:tcBorders>
            <w:gridSpan w:val="20"/>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Business</w:t>
              </w:r>
            </w:hyperlink>
          </w:p>
        </w:tc>
        <w:tc>
          <w:tcPr>
            <w:tcW w:w="4360" w:type="dxa"/>
            <w:vAlign w:val="bottom"/>
            <w:gridSpan w:val="2"/>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129">
              <w:r>
                <w:rPr>
                  <w:rFonts w:ascii="Arial" w:cs="Arial" w:eastAsia="Arial" w:hAnsi="Arial"/>
                  <w:sz w:val="17"/>
                  <w:szCs w:val="17"/>
                  <w:color w:val="0000EE"/>
                </w:rPr>
                <w:t>Management</w:t>
              </w:r>
            </w:hyperlink>
          </w:p>
        </w:tc>
        <w:tc>
          <w:tcPr>
            <w:tcW w:w="36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860" w:type="dxa"/>
            <w:vAlign w:val="bottom"/>
            <w:tcBorders>
              <w:bottom w:val="single" w:sz="8" w:color="0000EE"/>
            </w:tcBorders>
            <w:gridSpan w:val="11"/>
          </w:tcPr>
          <w:p>
            <w:pPr>
              <w:spacing w:after="0"/>
              <w:rPr>
                <w:rFonts w:ascii="Arial" w:cs="Arial" w:eastAsia="Arial" w:hAnsi="Arial"/>
                <w:sz w:val="17"/>
                <w:szCs w:val="17"/>
                <w:color w:val="0000EE"/>
                <w:w w:val="97"/>
              </w:rPr>
            </w:pPr>
            <w:hyperlink w:anchor="page140">
              <w:r>
                <w:rPr>
                  <w:rFonts w:ascii="Arial" w:cs="Arial" w:eastAsia="Arial" w:hAnsi="Arial"/>
                  <w:sz w:val="17"/>
                  <w:szCs w:val="17"/>
                  <w:color w:val="0000EE"/>
                  <w:w w:val="97"/>
                </w:rPr>
                <w:t>Executive Compensation</w:t>
              </w:r>
            </w:hyperlink>
          </w:p>
        </w:tc>
        <w:tc>
          <w:tcPr>
            <w:tcW w:w="910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149">
              <w:r>
                <w:rPr>
                  <w:rFonts w:ascii="Arial" w:cs="Arial" w:eastAsia="Arial" w:hAnsi="Arial"/>
                  <w:sz w:val="17"/>
                  <w:szCs w:val="17"/>
                  <w:color w:val="0000EE"/>
                </w:rPr>
                <w:t>Certain Relationships and Related Party Transactions</w:t>
              </w:r>
            </w:hyperlink>
          </w:p>
        </w:tc>
        <w:tc>
          <w:tcPr>
            <w:tcW w:w="3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8"/>
              </w:rPr>
            </w:pPr>
            <w:hyperlink w:anchor="page151">
              <w:r>
                <w:rPr>
                  <w:rFonts w:ascii="Arial" w:cs="Arial" w:eastAsia="Arial" w:hAnsi="Arial"/>
                  <w:sz w:val="17"/>
                  <w:szCs w:val="17"/>
                  <w:color w:val="0000EE"/>
                  <w:w w:val="98"/>
                </w:rPr>
                <w:t>Principal Shareholders</w:t>
              </w:r>
            </w:hyperlink>
          </w:p>
        </w:tc>
        <w:tc>
          <w:tcPr>
            <w:tcW w:w="2280" w:type="dxa"/>
            <w:vAlign w:val="bottom"/>
            <w:tcBorders>
              <w:top w:val="single" w:sz="8" w:color="0000EE"/>
            </w:tcBorders>
            <w:gridSpan w:val="8"/>
          </w:tcPr>
          <w:p>
            <w:pPr>
              <w:spacing w:after="0"/>
              <w:rPr>
                <w:sz w:val="24"/>
                <w:szCs w:val="24"/>
                <w:color w:val="auto"/>
              </w:rPr>
            </w:pPr>
          </w:p>
        </w:tc>
        <w:tc>
          <w:tcPr>
            <w:tcW w:w="69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100" w:type="dxa"/>
            <w:vAlign w:val="bottom"/>
            <w:tcBorders>
              <w:bottom w:val="single" w:sz="8" w:color="0000EE"/>
            </w:tcBorders>
            <w:gridSpan w:val="12"/>
          </w:tcPr>
          <w:p>
            <w:pPr>
              <w:spacing w:after="0"/>
              <w:rPr>
                <w:rFonts w:ascii="Arial" w:cs="Arial" w:eastAsia="Arial" w:hAnsi="Arial"/>
                <w:sz w:val="17"/>
                <w:szCs w:val="17"/>
                <w:color w:val="0000EE"/>
                <w:w w:val="98"/>
              </w:rPr>
            </w:pPr>
            <w:hyperlink w:anchor="page154">
              <w:r>
                <w:rPr>
                  <w:rFonts w:ascii="Arial" w:cs="Arial" w:eastAsia="Arial" w:hAnsi="Arial"/>
                  <w:sz w:val="17"/>
                  <w:szCs w:val="17"/>
                  <w:color w:val="0000EE"/>
                  <w:w w:val="98"/>
                </w:rPr>
                <w:t>Description of Share Capital</w:t>
              </w:r>
            </w:hyperlink>
          </w:p>
        </w:tc>
        <w:tc>
          <w:tcPr>
            <w:tcW w:w="886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420" w:type="dxa"/>
            <w:vAlign w:val="bottom"/>
            <w:tcBorders>
              <w:bottom w:val="single" w:sz="8" w:color="0000EE"/>
            </w:tcBorders>
            <w:gridSpan w:val="21"/>
          </w:tcPr>
          <w:p>
            <w:pPr>
              <w:spacing w:after="0"/>
              <w:rPr>
                <w:rFonts w:ascii="Arial" w:cs="Arial" w:eastAsia="Arial" w:hAnsi="Arial"/>
                <w:sz w:val="17"/>
                <w:szCs w:val="17"/>
                <w:color w:val="0000EE"/>
                <w:w w:val="98"/>
              </w:rPr>
            </w:pPr>
            <w:hyperlink w:anchor="page160">
              <w:r>
                <w:rPr>
                  <w:rFonts w:ascii="Arial" w:cs="Arial" w:eastAsia="Arial" w:hAnsi="Arial"/>
                  <w:sz w:val="17"/>
                  <w:szCs w:val="17"/>
                  <w:color w:val="0000EE"/>
                  <w:w w:val="98"/>
                </w:rPr>
                <w:t>Material Differences Between the Canada Business Corporations Act and the Delaware General Corporation Law</w:t>
              </w:r>
            </w:hyperlink>
          </w:p>
        </w:tc>
        <w:tc>
          <w:tcPr>
            <w:tcW w:w="25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280" w:type="dxa"/>
            <w:vAlign w:val="bottom"/>
            <w:tcBorders>
              <w:bottom w:val="single" w:sz="8" w:color="0000EE"/>
            </w:tcBorders>
            <w:gridSpan w:val="14"/>
          </w:tcPr>
          <w:p>
            <w:pPr>
              <w:spacing w:after="0"/>
              <w:rPr>
                <w:rFonts w:ascii="Arial" w:cs="Arial" w:eastAsia="Arial" w:hAnsi="Arial"/>
                <w:sz w:val="17"/>
                <w:szCs w:val="17"/>
                <w:color w:val="0000EE"/>
                <w:w w:val="98"/>
              </w:rPr>
            </w:pPr>
            <w:hyperlink w:anchor="page166">
              <w:r>
                <w:rPr>
                  <w:rFonts w:ascii="Arial" w:cs="Arial" w:eastAsia="Arial" w:hAnsi="Arial"/>
                  <w:sz w:val="17"/>
                  <w:szCs w:val="17"/>
                  <w:color w:val="0000EE"/>
                  <w:w w:val="98"/>
                </w:rPr>
                <w:t>Shares Eligible for Future Sale</w:t>
              </w:r>
            </w:hyperlink>
          </w:p>
        </w:tc>
        <w:tc>
          <w:tcPr>
            <w:tcW w:w="868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180" w:type="dxa"/>
            <w:vAlign w:val="bottom"/>
            <w:tcBorders>
              <w:bottom w:val="single" w:sz="8" w:color="0000EE"/>
            </w:tcBorders>
            <w:gridSpan w:val="18"/>
          </w:tcPr>
          <w:p>
            <w:pPr>
              <w:spacing w:after="0"/>
              <w:rPr>
                <w:rFonts w:ascii="Arial" w:cs="Arial" w:eastAsia="Arial" w:hAnsi="Arial"/>
                <w:sz w:val="17"/>
                <w:szCs w:val="17"/>
                <w:color w:val="0000EE"/>
                <w:w w:val="98"/>
              </w:rPr>
            </w:pPr>
            <w:hyperlink w:anchor="page169">
              <w:r>
                <w:rPr>
                  <w:rFonts w:ascii="Arial" w:cs="Arial" w:eastAsia="Arial" w:hAnsi="Arial"/>
                  <w:sz w:val="17"/>
                  <w:szCs w:val="17"/>
                  <w:color w:val="0000EE"/>
                  <w:w w:val="98"/>
                </w:rPr>
                <w:t>United States and Canadian Income Tax Considerations</w:t>
              </w:r>
            </w:hyperlink>
          </w:p>
        </w:tc>
        <w:tc>
          <w:tcPr>
            <w:tcW w:w="678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177">
              <w:r>
                <w:rPr>
                  <w:rFonts w:ascii="Arial" w:cs="Arial" w:eastAsia="Arial" w:hAnsi="Arial"/>
                  <w:sz w:val="17"/>
                  <w:szCs w:val="17"/>
                  <w:color w:val="0000EE"/>
                </w:rPr>
                <w:t>Underwriting</w:t>
              </w:r>
            </w:hyperlink>
          </w:p>
        </w:tc>
        <w:tc>
          <w:tcPr>
            <w:tcW w:w="36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1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20" w:type="dxa"/>
            <w:vAlign w:val="bottom"/>
            <w:tcBorders>
              <w:bottom w:val="single" w:sz="8" w:color="0000EE"/>
            </w:tcBorders>
            <w:gridSpan w:val="5"/>
          </w:tcPr>
          <w:p>
            <w:pPr>
              <w:spacing w:after="0"/>
              <w:rPr>
                <w:rFonts w:ascii="Arial" w:cs="Arial" w:eastAsia="Arial" w:hAnsi="Arial"/>
                <w:sz w:val="17"/>
                <w:szCs w:val="17"/>
                <w:color w:val="0000EE"/>
                <w:w w:val="97"/>
              </w:rPr>
            </w:pPr>
            <w:hyperlink w:anchor="page182">
              <w:r>
                <w:rPr>
                  <w:rFonts w:ascii="Arial" w:cs="Arial" w:eastAsia="Arial" w:hAnsi="Arial"/>
                  <w:sz w:val="17"/>
                  <w:szCs w:val="17"/>
                  <w:color w:val="0000EE"/>
                  <w:w w:val="97"/>
                </w:rPr>
                <w:t>Legal Matters</w:t>
              </w:r>
            </w:hyperlink>
          </w:p>
        </w:tc>
        <w:tc>
          <w:tcPr>
            <w:tcW w:w="9940" w:type="dxa"/>
            <w:vAlign w:val="bottom"/>
            <w:gridSpan w:val="1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Borders>
              <w:bottom w:val="single" w:sz="8" w:color="0000EE"/>
            </w:tcBorders>
            <w:gridSpan w:val="2"/>
          </w:tcPr>
          <w:p>
            <w:pPr>
              <w:spacing w:after="0"/>
              <w:rPr>
                <w:rFonts w:ascii="Arial" w:cs="Arial" w:eastAsia="Arial" w:hAnsi="Arial"/>
                <w:sz w:val="17"/>
                <w:szCs w:val="17"/>
                <w:color w:val="0000EE"/>
                <w:w w:val="97"/>
              </w:rPr>
            </w:pPr>
            <w:hyperlink w:anchor="page182">
              <w:r>
                <w:rPr>
                  <w:rFonts w:ascii="Arial" w:cs="Arial" w:eastAsia="Arial" w:hAnsi="Arial"/>
                  <w:sz w:val="17"/>
                  <w:szCs w:val="17"/>
                  <w:color w:val="0000EE"/>
                  <w:w w:val="97"/>
                </w:rPr>
                <w:t>Experts</w:t>
              </w:r>
            </w:hyperlink>
          </w:p>
        </w:tc>
        <w:tc>
          <w:tcPr>
            <w:tcW w:w="10380" w:type="dxa"/>
            <w:vAlign w:val="bottom"/>
            <w:gridSpan w:val="2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960" w:type="dxa"/>
            <w:vAlign w:val="bottom"/>
            <w:gridSpan w:val="22"/>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860" w:type="dxa"/>
            <w:vAlign w:val="bottom"/>
            <w:tcBorders>
              <w:top w:val="single" w:sz="8" w:color="0000EE"/>
            </w:tcBorders>
            <w:gridSpan w:val="16"/>
          </w:tcPr>
          <w:p>
            <w:pPr>
              <w:spacing w:after="0"/>
              <w:rPr>
                <w:rFonts w:ascii="Arial" w:cs="Arial" w:eastAsia="Arial" w:hAnsi="Arial"/>
                <w:sz w:val="17"/>
                <w:szCs w:val="17"/>
                <w:color w:val="0000EE"/>
              </w:rPr>
            </w:pPr>
            <w:hyperlink w:anchor="page183">
              <w:r>
                <w:rPr>
                  <w:rFonts w:ascii="Arial" w:cs="Arial" w:eastAsia="Arial" w:hAnsi="Arial"/>
                  <w:sz w:val="17"/>
                  <w:szCs w:val="17"/>
                  <w:color w:val="0000EE"/>
                </w:rPr>
                <w:t>Index to Financial Statements</w:t>
              </w:r>
            </w:hyperlink>
          </w:p>
        </w:tc>
        <w:tc>
          <w:tcPr>
            <w:tcW w:w="8100" w:type="dxa"/>
            <w:vAlign w:val="bottom"/>
            <w:gridSpan w:val="6"/>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135"/>
        </w:trPr>
        <w:tc>
          <w:tcPr>
            <w:tcW w:w="56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36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4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and the underwriters have not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20"/>
          </w:cols>
          <w:pgMar w:left="240" w:top="444"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Until November 29, 2014,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this prospectus, unless otherwise specified or the context otherwise requires, all dollar amounts are expressed in U.S. dollars.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2014, the exchange rate for the conversion of Canadian dollars into U.S. dollars was 0.9372, based on the Bank of Canada’s closing rate.</w:t>
      </w:r>
    </w:p>
    <w:p>
      <w:pPr>
        <w:spacing w:after="0" w:line="1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Except as otherwise noted, all amounts referred to in this prospectus as “$ , as converted” shall mean the U.S. dollar amount applying the conversion rate from Canadian dollars as of June 30, 2014.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80"/>
          </w:cols>
          <w:pgMar w:left="240" w:top="444" w:right="2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5257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1545" cy="52578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116" w:lineRule="exact"/>
        <w:rPr>
          <w:sz w:val="20"/>
          <w:szCs w:val="20"/>
          <w:color w:val="auto"/>
        </w:rPr>
      </w:pPr>
    </w:p>
    <w:p>
      <w:pPr>
        <w:ind w:left="200" w:right="20"/>
        <w:spacing w:after="0" w:line="24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matters set forth under “Risk Factors,” “Management’s Discussion and Analysis of Financial Condition and Results of Operations” and our financial statements and related notes.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Unless the context requires otherwise, in this prospectus the terms “Xenon,” “we,” “us,” “our” and “our company” refer to Xenon Pharmaceuticals Inc.</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Xenon Pharmaceuticals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w:t>
      </w:r>
    </w:p>
    <w:p>
      <w:pPr>
        <w:spacing w:after="0" w:line="70"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and preclinical and clinical development.</w:t>
      </w:r>
    </w:p>
    <w:p>
      <w:pPr>
        <w:spacing w:after="0" w:line="111" w:lineRule="exact"/>
        <w:rPr>
          <w:sz w:val="20"/>
          <w:szCs w:val="20"/>
          <w:color w:val="auto"/>
        </w:rPr>
      </w:pPr>
    </w:p>
    <w:p>
      <w:pPr>
        <w:ind w:left="200" w:right="220"/>
        <w:spacing w:after="0" w:line="239" w:lineRule="auto"/>
        <w:rPr>
          <w:sz w:val="20"/>
          <w:szCs w:val="20"/>
          <w:color w:val="auto"/>
        </w:rPr>
      </w:pPr>
      <w:r>
        <w:rPr>
          <w:rFonts w:ascii="Arial" w:cs="Arial" w:eastAsia="Arial" w:hAnsi="Arial"/>
          <w:sz w:val="17"/>
          <w:szCs w:val="17"/>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has yielded the first approved gene therapy product in the European Union, or the EU, a broad development pipeline and multiple pharmaceutical partnerships.</w:t>
      </w:r>
    </w:p>
    <w:p>
      <w:pPr>
        <w:spacing w:after="0" w:line="111"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Our pharmaceutical partners include Teva Pharmaceutical Industries Ltd., or Teva, Genentech, Inc., or Genentech, and Merck &amp; Co., Inc., or Merck, (through its affiliate, Essex Chemie AG). Our pharmaceutical collaborations have generated in aggregate over $140.0 million in non-equity funding to date with the potential to provide us with over $1.0 billion in future milestone payments, as well as royalties and co-promotion income on product sales.</w:t>
      </w:r>
    </w:p>
    <w:p>
      <w:pPr>
        <w:spacing w:after="0" w:line="109"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auto"/>
        </w:rPr>
        <w:t>Our most advanced product candidate is TV-45070 (formerly XEN402), which we have partnered with Teva (through its subsidiary, Ivax International GmbH). Teva is currently conducting a 300-patient, randomized Phase 2b clinical trial of TV-45070 in osteoarthritis, or OA, of the knee and is currently planning additional development of TV-45070 in neuropathic pain indications. A second product candidate, GDC-0276, is being developed in collaboration with Genentech, for the treatment of pain. In September 2014, Genentech initiated a Phase 1 clinical trial for GDC-0276.</w:t>
      </w:r>
    </w:p>
    <w:p>
      <w:pPr>
        <w:spacing w:after="0" w:line="93"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color w:val="auto"/>
        </w:rPr>
        <w:t>We have coupled our Extreme Genetics discovery platform with our integrated drug discovery capabilities, including significant ion channel expertise, to build our product pipeline. Our pipeline is balanced with both proprietary assets for orphan indications that we believe we can develop and commercialize independently and partnered assets in larger therapeutic markets that require significant commercial capabilities. We have implemented our strategic alliance model to establish well-structured partnerships that have front-loaded our product pipeline with near-to-mid-term market opportunities, and that have provided significant non-equity funding to date as well as substantial potential future milestone payments. Since inception, we believe that we have operated in a capital-efficient manner, and, as of June 30, 2014, we have cash, cash equivalents and marketable securities of $44.7 million, which figure excludes an $8.0 million milestone payment we received in August 2014 from Genentech. Since our last equity financing in 2006, we have funded our operations and expanded our platform, product pipeline and infrastructure through a combined strategy, including deploying our own resources and establishing our partnerships. We focus on execution of our corporate goals and partnering obligations, and, as a</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44" w:right="3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5798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57981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result, we believe we are well-positioned for potential value-creating inflection points in the near-term in both our partnered and proprietary programs, including the potential receipt of up to $32.5 million in milestone payments under our existing collaboration agreements, over the next 24 months.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chart summarizes our current product pipeline, including partnered and proprietary Xenon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Programs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Approved Product</w:t>
      </w:r>
    </w:p>
    <w:p>
      <w:pPr>
        <w:spacing w:after="0" w:line="26" w:lineRule="exact"/>
        <w:rPr>
          <w:sz w:val="20"/>
          <w:szCs w:val="20"/>
          <w:color w:val="auto"/>
        </w:rPr>
      </w:pPr>
    </w:p>
    <w:p>
      <w:pPr>
        <w:ind w:left="200" w:right="20"/>
        <w:spacing w:after="0" w:line="223" w:lineRule="auto"/>
        <w:rPr>
          <w:sz w:val="20"/>
          <w:szCs w:val="20"/>
          <w:color w:val="auto"/>
        </w:rPr>
      </w:pPr>
      <w:r>
        <w:rPr>
          <w:rFonts w:ascii="Arial" w:cs="Arial" w:eastAsia="Arial" w:hAnsi="Arial"/>
          <w:sz w:val="17"/>
          <w:szCs w:val="17"/>
          <w:i w:val="1"/>
          <w:iCs w:val="1"/>
          <w:color w:val="auto"/>
        </w:rPr>
        <w:t xml:space="preserve">Glybera: </w:t>
      </w:r>
      <w:r>
        <w:rPr>
          <w:rFonts w:ascii="Arial" w:cs="Arial" w:eastAsia="Arial" w:hAnsi="Arial"/>
          <w:sz w:val="17"/>
          <w:szCs w:val="17"/>
          <w:color w:val="auto"/>
        </w:rPr>
        <w:t>Glybera is the first and currently the only gene therapy product to receive commercial approval in the EU. Glybera, developed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licensee uniQure Biopharma B.V., or uniQure, is specifically indicated for the treatment of a subset of adult patients diagnosed with the orphan lipid disorder lipoprotein lipase deficiency, or LPLD, confirmed by genetic testing and suffering from severe or multiple pancreatitis attacks, despite dietary fat restrictions. LPLD is a severe metabolic disease of inadequate lipid metabolism, resulting in pancreatitis and, in some cases, death. Together with collaborators from the University of British Columbia, or UBC, we demonstrated that humans with a single gene variant of the lipoprotein lipase, or LPL, gene called LPL</w:t>
      </w:r>
      <w:r>
        <w:rPr>
          <w:rFonts w:ascii="Arial" w:cs="Arial" w:eastAsia="Arial" w:hAnsi="Arial"/>
          <w:sz w:val="21"/>
          <w:szCs w:val="21"/>
          <w:color w:val="auto"/>
          <w:vertAlign w:val="superscript"/>
        </w:rPr>
        <w:t>S447X</w:t>
      </w:r>
      <w:r>
        <w:rPr>
          <w:rFonts w:ascii="Arial" w:cs="Arial" w:eastAsia="Arial" w:hAnsi="Arial"/>
          <w:sz w:val="17"/>
          <w:szCs w:val="17"/>
          <w:color w:val="auto"/>
        </w:rPr>
        <w:t>, resulted in increased LPL enzyme activity leading to reduced triglyceride levels. Under our sublicense and research agreement with uniQure, we collaborated with uniQure and UBC on preclinical activities, and thereafter uniQure developed an LPL gene therapy product, Glybera, which contains the LPL</w:t>
      </w:r>
      <w:r>
        <w:rPr>
          <w:rFonts w:ascii="Arial" w:cs="Arial" w:eastAsia="Arial" w:hAnsi="Arial"/>
          <w:sz w:val="21"/>
          <w:szCs w:val="21"/>
          <w:color w:val="auto"/>
          <w:vertAlign w:val="superscript"/>
        </w:rPr>
        <w:t>S447X</w:t>
      </w:r>
      <w:r>
        <w:rPr>
          <w:rFonts w:ascii="Arial" w:cs="Arial" w:eastAsia="Arial" w:hAnsi="Arial"/>
          <w:sz w:val="17"/>
          <w:szCs w:val="17"/>
          <w:color w:val="auto"/>
        </w:rPr>
        <w:t xml:space="preserve"> variant. We believe that the introduction of the therapeutic LPL</w:t>
      </w:r>
      <w:r>
        <w:rPr>
          <w:rFonts w:ascii="Arial" w:cs="Arial" w:eastAsia="Arial" w:hAnsi="Arial"/>
          <w:sz w:val="21"/>
          <w:szCs w:val="21"/>
          <w:color w:val="auto"/>
          <w:vertAlign w:val="superscript"/>
        </w:rPr>
        <w:t>S447X</w:t>
      </w:r>
      <w:r>
        <w:rPr>
          <w:rFonts w:ascii="Arial" w:cs="Arial" w:eastAsia="Arial" w:hAnsi="Arial"/>
          <w:sz w:val="17"/>
          <w:szCs w:val="17"/>
          <w:color w:val="auto"/>
        </w:rPr>
        <w:t xml:space="preserve"> gene through administration of Glybera provides a clinical benefit for a subset of LPLD patients.</w:t>
      </w:r>
    </w:p>
    <w:p>
      <w:pPr>
        <w:spacing w:after="0" w:line="113" w:lineRule="exact"/>
        <w:rPr>
          <w:sz w:val="20"/>
          <w:szCs w:val="20"/>
          <w:color w:val="auto"/>
        </w:rPr>
      </w:pPr>
    </w:p>
    <w:p>
      <w:pPr>
        <w:ind w:left="200" w:right="120"/>
        <w:spacing w:after="0" w:line="241" w:lineRule="auto"/>
        <w:rPr>
          <w:sz w:val="20"/>
          <w:szCs w:val="20"/>
          <w:color w:val="auto"/>
        </w:rPr>
      </w:pPr>
      <w:r>
        <w:rPr>
          <w:rFonts w:ascii="Arial" w:cs="Arial" w:eastAsia="Arial" w:hAnsi="Arial"/>
          <w:sz w:val="17"/>
          <w:szCs w:val="17"/>
          <w:color w:val="auto"/>
        </w:rPr>
        <w:t>Glybera is the first product whose active ingredient was derived from our platform to receive commercial approval. The goal of Glybera therapy is to treat LPLD in order to achieve sustained improvement of clearance of triglyceride-rich lipid particles known as chylomicrons, and to significantly reduce the risk of pancreatitis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4"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4921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1545" cy="49212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right="120"/>
        <w:spacing w:after="0" w:line="239" w:lineRule="auto"/>
        <w:rPr>
          <w:sz w:val="20"/>
          <w:szCs w:val="20"/>
          <w:color w:val="auto"/>
        </w:rPr>
      </w:pPr>
      <w:r>
        <w:rPr>
          <w:rFonts w:ascii="Arial" w:cs="Arial" w:eastAsia="Arial" w:hAnsi="Arial"/>
          <w:sz w:val="17"/>
          <w:szCs w:val="17"/>
          <w:color w:val="auto"/>
        </w:rPr>
        <w:t>attacks in patients suffering from multiple recurrent pancreatitis and abdominal pain events. Glybera was developed by our licensee, uniQure. In 2012, Glybera was approved in the EU and, in July 2013, uniQure announced that it had entered into a partnership with Chiesi Farmaceutici S.p.A., or Chiesi, for the commercialization of Glybera in the EU and more than a dozen other countries, including Brazil, China, Mexico and Russia. We believe that Chiesi plans to launch Glybera in the fourth quarter of 2014 or the first quarter of 2015 in Europe, and that uniQure is pursuing a U.S. product approval strategy, with plans to file a Biologics License Application, or BLA, with the U.S. Food and Drug Administration, or FDA, following receipt of the results from a planned Phase 4 trial expected to begin in mid-2015. Glybera has received orphan drug designation for the treatment of LPLD in both the EU and the U.S.</w:t>
      </w:r>
    </w:p>
    <w:p>
      <w:pPr>
        <w:spacing w:after="0" w:line="109"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color w:val="auto"/>
        </w:rPr>
        <w:t>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product.</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Candidates in Development</w:t>
      </w:r>
    </w:p>
    <w:p>
      <w:pPr>
        <w:spacing w:after="0" w:line="26" w:lineRule="exact"/>
        <w:rPr>
          <w:sz w:val="20"/>
          <w:szCs w:val="20"/>
          <w:color w:val="auto"/>
        </w:rPr>
      </w:pPr>
    </w:p>
    <w:p>
      <w:pPr>
        <w:ind w:left="200" w:right="40"/>
        <w:spacing w:after="0" w:line="241" w:lineRule="auto"/>
        <w:rPr>
          <w:sz w:val="20"/>
          <w:szCs w:val="20"/>
          <w:color w:val="auto"/>
        </w:rPr>
      </w:pPr>
      <w:r>
        <w:rPr>
          <w:rFonts w:ascii="Arial" w:cs="Arial" w:eastAsia="Arial" w:hAnsi="Arial"/>
          <w:sz w:val="17"/>
          <w:szCs w:val="17"/>
          <w:i w:val="1"/>
          <w:iCs w:val="1"/>
          <w:color w:val="auto"/>
        </w:rPr>
        <w:t xml:space="preserve">TV-45070 for the Treatment of Pain: </w:t>
      </w:r>
      <w:r>
        <w:rPr>
          <w:rFonts w:ascii="Arial" w:cs="Arial" w:eastAsia="Arial" w:hAnsi="Arial"/>
          <w:sz w:val="17"/>
          <w:szCs w:val="17"/>
          <w:color w:val="auto"/>
        </w:rPr>
        <w:t>TV-45070 (formerly XEN402) is a small-molecule inhibitor of the sodium channel Nav1.7 and other sodium</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including those that are expressed in the pain-sensing peripheral nervous system. TV-45070 has potentially broad application in nociceptive pain, mediated by damage or injury to tissues, including the pain sensitivity caused by inflammation, and neuropathic pain mediated by damage, dysfunction or injury of nerves. TV-45070 is partnered with Teva. Pursuant to the terms of the agreement, Teva is obligated to complete three Phase 2 or later stage clinical trials. Using a topical ointment formulation of TV-45070, Teva has initiated a 300-patient, randomized Phase 2b clinical trial in OA of the knee with data expected in the third quarter of 2015. Teva is also developing topical TV-45070 in neuropathic pain indications, and is planning a Phase 2b clinical trial in patients with postherpetic neuralgia, or PHN, that is expected to start in the first half of 2015. In addition, we are working with Teva to evaluate the opportunity to develop TV-45070 for the orphan disease erythromelalgia, or EM. TV-45070 has received both fast track and orphan designations from the FDA for the treatment of EM.</w:t>
      </w:r>
    </w:p>
    <w:p>
      <w:pPr>
        <w:spacing w:after="0" w:line="109" w:lineRule="exact"/>
        <w:rPr>
          <w:sz w:val="20"/>
          <w:szCs w:val="20"/>
          <w:color w:val="auto"/>
        </w:rPr>
      </w:pPr>
    </w:p>
    <w:p>
      <w:pPr>
        <w:ind w:left="200" w:right="80"/>
        <w:spacing w:after="0" w:line="241" w:lineRule="auto"/>
        <w:rPr>
          <w:sz w:val="20"/>
          <w:szCs w:val="20"/>
          <w:color w:val="auto"/>
        </w:rPr>
      </w:pPr>
      <w:r>
        <w:rPr>
          <w:rFonts w:ascii="Arial" w:cs="Arial" w:eastAsia="Arial" w:hAnsi="Arial"/>
          <w:sz w:val="17"/>
          <w:szCs w:val="17"/>
          <w:color w:val="auto"/>
        </w:rPr>
        <w:t>We selected Nav1.7 as a drug target for pain after we discovered that the Nav1.7 protein is deficient in the rare genetic disorder congenital indifference to pain, or CIP, sufferers of which are unable to feel pain. We have observed promising evidence of activity for TV-45070 in four Phase 2 proof-of-concept clinical trials, including two trials in EM, one trial in PHN and one trial in dental pain, a form of nociceptive pain.</w:t>
      </w:r>
    </w:p>
    <w:p>
      <w:pPr>
        <w:spacing w:after="0" w:line="108"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color w:val="auto"/>
        </w:rPr>
        <w:t>In December 2012, we entered into a collaborative development and license agreement with Teva, pursuant to which we granted Teva an exclusive worldwide license to develop and commercialize TV-45070. Under the terms of the agreement, Teva made an upfront payment to us of $41.0 million.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that such products are covered by the licensed patents and in certain other instances. We have an option to obtain a 20% to 30% co-promotion interest for products incorporating TV-45070 in the U.S., which is exercisable upon the filing of the first new drug application, or NDA, for a TV-45070 product. If we exercise this option, upon paying an opt-in fee to Teva, we will be eligible to receive, in lieu of royalties with respect to such product sales in the U.S., a share of operating profits from any product sales in the U.S. that is equal to our percent interest of detailing activities and co-promotion expenses.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4"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4987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49872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right="120"/>
        <w:spacing w:after="0" w:line="242" w:lineRule="auto"/>
        <w:rPr>
          <w:sz w:val="20"/>
          <w:szCs w:val="20"/>
          <w:color w:val="auto"/>
        </w:rPr>
      </w:pPr>
      <w:r>
        <w:rPr>
          <w:rFonts w:ascii="Arial" w:cs="Arial" w:eastAsia="Arial" w:hAnsi="Arial"/>
          <w:sz w:val="17"/>
          <w:szCs w:val="17"/>
          <w:i w:val="1"/>
          <w:iCs w:val="1"/>
          <w:color w:val="auto"/>
        </w:rPr>
        <w:t xml:space="preserve">GDC-0276 and Other Selective Inhibitors of Nav1.7 for the Treatment of Pain: </w:t>
      </w:r>
      <w:r>
        <w:rPr>
          <w:rFonts w:ascii="Arial" w:cs="Arial" w:eastAsia="Arial" w:hAnsi="Arial"/>
          <w:sz w:val="17"/>
          <w:szCs w:val="17"/>
          <w:color w:val="auto"/>
        </w:rPr>
        <w:t>In December 2011, we entered into a collaborative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agreement with Genentech and its affiliate, F. Hoffmann-La Roche Ltd, or Roche, to discover and develop selective oral inhibitors of Nav1.7 for the treatment of pain. Based on our discovery of Nav1.7 deficiency underlying CIP, we believe that Nav1.7 is a highly-validated target for the treatment of pain. Our Genentech collaboration is focused on discovering and developing selective oral Nav1.7 inhibitors, which is in contrast to our Teva partnership that is focused on developing a topical drug that targets a number of different sodium channels, including Nav1.7. The first small-molecule, preclinical product candidate that was selected for development under our collaboration is GDC-0276. In September 2014, Genentech initiated a Phase 1 clinical trial for GDC-0276.</w:t>
      </w:r>
    </w:p>
    <w:p>
      <w:pPr>
        <w:spacing w:after="0" w:line="110"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Under the terms of the agreement, Genentech paid us an upfront fee of $10.0 million, a $5.0 million milestone payment for the selection of GDC-0276 for development and an $8.0 million milestone payment upon the approval by Health Canada of the Clinical Trial Application, or CTA, for GDC-0276. We are also eligible to receive pre-commercial and commercial milestone payments with respect to the licensed products totaling up to an additional $613.0 million, comprised of up to $45.5 million in preclinical and clinical milestone payments, up to $387.5 million in regulatory milestone payments, and up to $180.0 million in sales-based milestone payments for multiple products and indications. In addition, we are also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low single-digit percentage for large-molecule inhibitors of Nav1.7.</w:t>
      </w:r>
    </w:p>
    <w:p>
      <w:pPr>
        <w:spacing w:after="0" w:line="114" w:lineRule="exact"/>
        <w:rPr>
          <w:sz w:val="20"/>
          <w:szCs w:val="20"/>
          <w:color w:val="auto"/>
        </w:rPr>
      </w:pPr>
    </w:p>
    <w:p>
      <w:pPr>
        <w:jc w:val="both"/>
        <w:ind w:left="200" w:right="260"/>
        <w:spacing w:after="0"/>
        <w:rPr>
          <w:sz w:val="20"/>
          <w:szCs w:val="20"/>
          <w:color w:val="auto"/>
        </w:rPr>
      </w:pPr>
      <w:r>
        <w:rPr>
          <w:rFonts w:ascii="Arial" w:cs="Arial" w:eastAsia="Arial" w:hAnsi="Arial"/>
          <w:sz w:val="17"/>
          <w:szCs w:val="17"/>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dose-limiting side effects for many patients. An orally administered selective Nav1.7 inhibitor could present a novel mechanism for the treatment of moderate to severe pain as a single agent or in combination with existing analgesics that work through different mechanisms.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Xenon’s Proprietary Preclinical Product Candidates</w:t>
      </w:r>
    </w:p>
    <w:p>
      <w:pPr>
        <w:spacing w:after="0" w:line="44" w:lineRule="exact"/>
        <w:rPr>
          <w:sz w:val="20"/>
          <w:szCs w:val="20"/>
          <w:color w:val="auto"/>
        </w:rPr>
      </w:pPr>
    </w:p>
    <w:p>
      <w:pPr>
        <w:ind w:left="200" w:right="140"/>
        <w:spacing w:after="0"/>
        <w:rPr>
          <w:sz w:val="20"/>
          <w:szCs w:val="20"/>
          <w:color w:val="auto"/>
        </w:rPr>
      </w:pPr>
      <w:r>
        <w:rPr>
          <w:rFonts w:ascii="Arial" w:cs="Arial" w:eastAsia="Arial" w:hAnsi="Arial"/>
          <w:sz w:val="17"/>
          <w:szCs w:val="17"/>
          <w:color w:val="auto"/>
        </w:rPr>
        <w:t>We are leveraging our core expertise in the genetics of rare diseases and ion channel disorders to identify novel targets and discover differentiated, proprietary product candidates. We are focusing on orphan and niche disease product candidates which we believe we can develop and commercialize independently. We expect our independent development to expand the therapeutic and commercial value of our proprietary pipeline and advance our goals of building a self-sustaining, fully-integrated and profitable company.</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Selective Small-Molecule Sodium Channel Inhibitors for the Treatment of Dravet Syndrome</w:t>
      </w:r>
    </w:p>
    <w:p>
      <w:pPr>
        <w:spacing w:after="0" w:line="44" w:lineRule="exact"/>
        <w:rPr>
          <w:sz w:val="20"/>
          <w:szCs w:val="20"/>
          <w:color w:val="auto"/>
        </w:rPr>
      </w:pPr>
    </w:p>
    <w:p>
      <w:pPr>
        <w:ind w:left="200" w:right="160"/>
        <w:spacing w:after="0"/>
        <w:rPr>
          <w:sz w:val="20"/>
          <w:szCs w:val="20"/>
          <w:color w:val="auto"/>
        </w:rPr>
      </w:pPr>
      <w:r>
        <w:rPr>
          <w:rFonts w:ascii="Arial" w:cs="Arial" w:eastAsia="Arial" w:hAnsi="Arial"/>
          <w:sz w:val="17"/>
          <w:szCs w:val="17"/>
          <w:color w:val="auto"/>
        </w:rPr>
        <w:t>We are developing selective inhibitors of the voltage-gated sodium channel Nav1.6 as a treatment for the orphan disease Dravet Syndrome, or DS. We have developed considerable expertise in voltage-gated sodium channel biology and have accumulated significant experience in the development of selective channel inhibitors. We are leveraging this expertise and chemistry know-how for the development of selective inhibitors of Nav1.6 for the treatment of DS.</w:t>
      </w:r>
    </w:p>
    <w:p>
      <w:pPr>
        <w:spacing w:after="0" w:line="109" w:lineRule="exact"/>
        <w:rPr>
          <w:sz w:val="20"/>
          <w:szCs w:val="20"/>
          <w:color w:val="auto"/>
        </w:rPr>
      </w:pPr>
    </w:p>
    <w:p>
      <w:pPr>
        <w:ind w:left="200" w:right="200"/>
        <w:spacing w:after="0" w:line="241" w:lineRule="auto"/>
        <w:rPr>
          <w:sz w:val="20"/>
          <w:szCs w:val="20"/>
          <w:color w:val="auto"/>
        </w:rPr>
      </w:pPr>
      <w:r>
        <w:rPr>
          <w:rFonts w:ascii="Arial" w:cs="Arial" w:eastAsia="Arial" w:hAnsi="Arial"/>
          <w:sz w:val="17"/>
          <w:szCs w:val="17"/>
          <w:color w:val="auto"/>
        </w:rPr>
        <w:t>DS is a severe form of childhood epilepsy that typically causes mental retardation and, in approximately 10% of cases, premature death before the age of 12 years. The frequency of DS in the U.S. has been estimated to be one in 20,000 to 40,000 births, which, when applied to U.S. federal census data, correlates to approximately 7,500 to 15,000 patients with DS in the U.S.</w:t>
      </w:r>
    </w:p>
    <w:p>
      <w:pPr>
        <w:spacing w:after="0" w:line="108" w:lineRule="exact"/>
        <w:rPr>
          <w:sz w:val="20"/>
          <w:szCs w:val="20"/>
          <w:color w:val="auto"/>
        </w:rPr>
      </w:pPr>
    </w:p>
    <w:p>
      <w:pPr>
        <w:jc w:val="both"/>
        <w:ind w:left="200" w:right="360"/>
        <w:spacing w:after="0" w:line="264" w:lineRule="auto"/>
        <w:rPr>
          <w:sz w:val="20"/>
          <w:szCs w:val="20"/>
          <w:color w:val="auto"/>
        </w:rPr>
      </w:pPr>
      <w:r>
        <w:rPr>
          <w:rFonts w:ascii="Arial" w:cs="Arial" w:eastAsia="Arial" w:hAnsi="Arial"/>
          <w:sz w:val="16"/>
          <w:szCs w:val="16"/>
          <w:color w:val="auto"/>
        </w:rPr>
        <w:t>Based on our experience and know-how in developing selective ion channel inhibitors, we have identified potent, selective Nav1.6 inhibitors. We have demonstrated efficacy for seizures in an animal model with such an inhibitor. We anticipate filing an IND for a drug candidate to treat DS in 2016. Given the orphan nature of this disorder, we believe that DS may represent an attractive opportunity for us to advance independently.</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44" w:right="4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5249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1545" cy="5249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XEN801 for the Treatment of Acne</w:t>
      </w:r>
    </w:p>
    <w:p>
      <w:pPr>
        <w:spacing w:after="0" w:line="44" w:lineRule="exact"/>
        <w:rPr>
          <w:sz w:val="20"/>
          <w:szCs w:val="20"/>
          <w:color w:val="auto"/>
        </w:rPr>
      </w:pPr>
    </w:p>
    <w:p>
      <w:pPr>
        <w:ind w:left="200"/>
        <w:spacing w:after="0" w:line="257" w:lineRule="auto"/>
        <w:rPr>
          <w:sz w:val="20"/>
          <w:szCs w:val="20"/>
          <w:color w:val="auto"/>
        </w:rPr>
      </w:pPr>
      <w:r>
        <w:rPr>
          <w:rFonts w:ascii="Arial" w:cs="Arial" w:eastAsia="Arial" w:hAnsi="Arial"/>
          <w:sz w:val="16"/>
          <w:szCs w:val="16"/>
          <w:color w:val="auto"/>
        </w:rPr>
        <w:t>XEN801 is a selective, small molecule inhibitor of stearoyl Co-A desaturase, or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disorders of enlarged or overactive sebaceous glands, including acne. We have discovered and developed novel small-molecule SCD1 inhibitors to which we have sole rights. In multiple animal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96" w:lineRule="exact"/>
        <w:rPr>
          <w:sz w:val="20"/>
          <w:szCs w:val="20"/>
          <w:color w:val="auto"/>
        </w:rPr>
      </w:pPr>
    </w:p>
    <w:p>
      <w:pPr>
        <w:ind w:left="200"/>
        <w:spacing w:after="0" w:line="241" w:lineRule="auto"/>
        <w:rPr>
          <w:sz w:val="20"/>
          <w:szCs w:val="20"/>
          <w:color w:val="auto"/>
        </w:rPr>
      </w:pPr>
      <w:r>
        <w:rPr>
          <w:rFonts w:ascii="Arial" w:cs="Arial" w:eastAsia="Arial" w:hAnsi="Arial"/>
          <w:sz w:val="17"/>
          <w:szCs w:val="17"/>
          <w:color w:val="auto"/>
        </w:rPr>
        <w:t>We anticipate selecting a development candidate for IND-enabling studies in the second half of 2014, filing an IND to initiate a Phase 1 trial in the first half of 2015 and initiating a proof-of-concept Phase 2 trial in the second half of 2015. We believe a selective, small-molecule inhibitor of SCD1 has therapeutic potential for skin disorders such as moderate to severe acne, seborrhoea and sebaceous hyperplasia.</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Selective Small-Molecule Inhibitors of Targets for the Treatment of Cardiovascular Disease</w:t>
      </w:r>
    </w:p>
    <w:p>
      <w:pPr>
        <w:spacing w:after="0" w:line="44" w:lineRule="exact"/>
        <w:rPr>
          <w:sz w:val="20"/>
          <w:szCs w:val="20"/>
          <w:color w:val="auto"/>
        </w:rPr>
      </w:pPr>
    </w:p>
    <w:p>
      <w:pPr>
        <w:ind w:left="200" w:right="120"/>
        <w:spacing w:after="0"/>
        <w:rPr>
          <w:sz w:val="20"/>
          <w:szCs w:val="20"/>
          <w:color w:val="auto"/>
        </w:rPr>
      </w:pPr>
      <w:r>
        <w:rPr>
          <w:rFonts w:ascii="Arial" w:cs="Arial" w:eastAsia="Arial" w:hAnsi="Arial"/>
          <w:sz w:val="17"/>
          <w:szCs w:val="17"/>
          <w:color w:val="auto"/>
        </w:rPr>
        <w:t>We entered into a collaborative research and option agreement with Merck in June 2009 to discover novel targets and compounds for the treatment of cardiovascular disease using our Extreme Genetics discovery platform. In 2012, Merck exercised its option to obtain an exclusive license to a target for the treatment of cardiovascular disease and compound inhibitors that were discovered during the research collaboration. The target, when inhibited, is predicted to provide a beneficial lipid profile with the goal of protecting from cardiovascular disease.</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New Pipeline Opportunities</w:t>
      </w:r>
    </w:p>
    <w:p>
      <w:pPr>
        <w:spacing w:after="0" w:line="44" w:lineRule="exact"/>
        <w:rPr>
          <w:sz w:val="20"/>
          <w:szCs w:val="20"/>
          <w:color w:val="auto"/>
        </w:rPr>
      </w:pPr>
    </w:p>
    <w:p>
      <w:pPr>
        <w:ind w:left="200" w:right="200"/>
        <w:spacing w:after="0" w:line="239" w:lineRule="auto"/>
        <w:rPr>
          <w:sz w:val="20"/>
          <w:szCs w:val="20"/>
          <w:color w:val="auto"/>
        </w:rPr>
      </w:pPr>
      <w:r>
        <w:rPr>
          <w:rFonts w:ascii="Arial" w:cs="Arial" w:eastAsia="Arial" w:hAnsi="Arial"/>
          <w:sz w:val="17"/>
          <w:szCs w:val="17"/>
          <w:color w:val="auto"/>
        </w:rPr>
        <w:t>Given the commercial opportunity and the pharmaceutical industry’s interest in the pain market, we are using our Extreme Genetics discovery platform and specialized insights into the biology of pain to identify new drug targets for this common medical problem. We formed a second collaboration with Genentech in March 2014 for pain genetics, pursuant to which we intend to focus on rare phenotypes where individuals have an inability to perceive pain or where individuals have non-precipitated spontaneous severe pain. We believe these phenotypes may unlock new key molecular regulators of pain signaling in humans, which we will seek to validate as targets for new pain drugs. For example, we are analyzing CIP families that are not explained by Nav1.7 deficiency as well as families with severe pain phenotypes, such as paroxysmal extreme pain disorder, or PEPD, inherited EM and cluster headache.</w:t>
      </w:r>
    </w:p>
    <w:p>
      <w:pPr>
        <w:spacing w:after="0" w:line="109" w:lineRule="exact"/>
        <w:rPr>
          <w:sz w:val="20"/>
          <w:szCs w:val="20"/>
          <w:color w:val="auto"/>
        </w:rPr>
      </w:pPr>
    </w:p>
    <w:p>
      <w:pPr>
        <w:ind w:left="200" w:right="240"/>
        <w:spacing w:after="0" w:line="241" w:lineRule="auto"/>
        <w:rPr>
          <w:sz w:val="20"/>
          <w:szCs w:val="20"/>
          <w:color w:val="auto"/>
        </w:rPr>
      </w:pPr>
      <w:r>
        <w:rPr>
          <w:rFonts w:ascii="Arial" w:cs="Arial" w:eastAsia="Arial" w:hAnsi="Arial"/>
          <w:sz w:val="17"/>
          <w:szCs w:val="17"/>
          <w:color w:val="auto"/>
        </w:rPr>
        <w:t>In addition to our study of rare human disorders of extreme pain or the absence of pain, we are studying other rare disorders with extreme phenotypes that we believe could yield new drug targets in disorders where high medical need exists, such as neurological disorders like essential tremor.</w:t>
      </w:r>
    </w:p>
    <w:p>
      <w:pPr>
        <w:spacing w:after="0" w:line="108" w:lineRule="exact"/>
        <w:rPr>
          <w:sz w:val="20"/>
          <w:szCs w:val="20"/>
          <w:color w:val="auto"/>
        </w:rPr>
      </w:pPr>
    </w:p>
    <w:p>
      <w:pPr>
        <w:ind w:left="200" w:right="260"/>
        <w:spacing w:after="0" w:line="245" w:lineRule="auto"/>
        <w:rPr>
          <w:sz w:val="20"/>
          <w:szCs w:val="20"/>
          <w:color w:val="auto"/>
        </w:rPr>
      </w:pPr>
      <w:r>
        <w:rPr>
          <w:rFonts w:ascii="Arial" w:cs="Arial" w:eastAsia="Arial" w:hAnsi="Arial"/>
          <w:sz w:val="17"/>
          <w:szCs w:val="17"/>
          <w:color w:val="auto"/>
        </w:rPr>
        <w:t>In addition, given our expertise in ion channel drug discovery, we are also focusing our discovery efforts on the identification of ion channel targets where we believe novel selective inhibitors might represent significant therapeutic advances with a focus on orphan indications.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Strategic Alliances</w:t>
      </w:r>
    </w:p>
    <w:p>
      <w:pPr>
        <w:spacing w:after="0" w:line="44" w:lineRule="exact"/>
        <w:rPr>
          <w:sz w:val="20"/>
          <w:szCs w:val="20"/>
          <w:color w:val="auto"/>
        </w:rPr>
      </w:pPr>
    </w:p>
    <w:p>
      <w:pPr>
        <w:ind w:left="200"/>
        <w:spacing w:after="0" w:line="245" w:lineRule="auto"/>
        <w:rPr>
          <w:sz w:val="20"/>
          <w:szCs w:val="20"/>
          <w:color w:val="auto"/>
        </w:rPr>
      </w:pPr>
      <w:r>
        <w:rPr>
          <w:rFonts w:ascii="Arial" w:cs="Arial" w:eastAsia="Arial" w:hAnsi="Arial"/>
          <w:sz w:val="17"/>
          <w:szCs w:val="17"/>
          <w:color w:val="auto"/>
        </w:rPr>
        <w:t>We have strategically and selectively established multiple collaborations with leading pharmaceutical companies, including uniQure, Teva, Genentech and Merck.</w:t>
      </w:r>
    </w:p>
    <w:p>
      <w:pPr>
        <w:spacing w:after="0" w:line="104" w:lineRule="exact"/>
        <w:rPr>
          <w:sz w:val="20"/>
          <w:szCs w:val="20"/>
          <w:color w:val="auto"/>
        </w:rPr>
      </w:pPr>
    </w:p>
    <w:p>
      <w:pPr>
        <w:ind w:left="200" w:right="460"/>
        <w:spacing w:after="0" w:line="241" w:lineRule="auto"/>
        <w:rPr>
          <w:sz w:val="20"/>
          <w:szCs w:val="20"/>
          <w:color w:val="auto"/>
        </w:rPr>
      </w:pPr>
      <w:r>
        <w:rPr>
          <w:rFonts w:ascii="Arial" w:cs="Arial" w:eastAsia="Arial" w:hAnsi="Arial"/>
          <w:sz w:val="17"/>
          <w:szCs w:val="17"/>
          <w:color w:val="auto"/>
        </w:rPr>
        <w:t>These collaborations have validated our discovery platform and allowed us to expand and augment our internal discovery and development capabilities and know-how while providing us with significant, non-dilutive funding as well as the potential for future milestone payments, royalty income and commercial participation.</w:t>
      </w:r>
    </w:p>
    <w:p>
      <w:pPr>
        <w:spacing w:after="0" w:line="108" w:lineRule="exact"/>
        <w:rPr>
          <w:sz w:val="20"/>
          <w:szCs w:val="20"/>
          <w:color w:val="auto"/>
        </w:rPr>
      </w:pPr>
    </w:p>
    <w:p>
      <w:pPr>
        <w:ind w:left="200" w:right="200"/>
        <w:spacing w:after="0" w:line="245" w:lineRule="auto"/>
        <w:rPr>
          <w:sz w:val="20"/>
          <w:szCs w:val="20"/>
          <w:color w:val="auto"/>
        </w:rPr>
      </w:pPr>
      <w:r>
        <w:rPr>
          <w:rFonts w:ascii="Arial" w:cs="Arial" w:eastAsia="Arial" w:hAnsi="Arial"/>
          <w:sz w:val="17"/>
          <w:szCs w:val="17"/>
          <w:color w:val="auto"/>
        </w:rPr>
        <w:t>We believe that we have successfully implemented our partnering model by leveraging collaborations to front-load our product pipeline with clinical programs in large market opportunities that are of broad strategic value to our</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44" w:right="3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5134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1545" cy="51346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spacing w:after="0" w:line="239" w:lineRule="auto"/>
        <w:rPr>
          <w:sz w:val="20"/>
          <w:szCs w:val="20"/>
          <w:color w:val="auto"/>
        </w:rPr>
      </w:pPr>
      <w:r>
        <w:rPr>
          <w:rFonts w:ascii="Arial" w:cs="Arial" w:eastAsia="Arial" w:hAnsi="Arial"/>
          <w:sz w:val="17"/>
          <w:szCs w:val="17"/>
          <w:color w:val="auto"/>
        </w:rPr>
        <w:t>partners, that leverage their established therapeutic expertise and commercial focus, and that they are advancing into later stages of development. At the same time, these partnerships have provided us with the resources to independently advance our proprietary programs in orphan indications into development, and potentially commercialization. We believe that these partnerships enable us to build on our core competencies with greater focus, speed and capital efficiency than we could have achieved independently, and have positioned us to potentially reach a number of near-term value-creating milestones. For additional information regarding our collaborations, please see the section of this prospectus captioned “Business — Strategic Alliances.”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Strategy</w:t>
      </w:r>
    </w:p>
    <w:p>
      <w:pPr>
        <w:spacing w:after="0" w:line="44" w:lineRule="exact"/>
        <w:rPr>
          <w:sz w:val="20"/>
          <w:szCs w:val="20"/>
          <w:color w:val="auto"/>
        </w:rPr>
      </w:pPr>
    </w:p>
    <w:p>
      <w:pPr>
        <w:ind w:left="200" w:right="240"/>
        <w:spacing w:after="0" w:line="245" w:lineRule="auto"/>
        <w:rPr>
          <w:sz w:val="20"/>
          <w:szCs w:val="20"/>
          <w:color w:val="auto"/>
        </w:rPr>
      </w:pPr>
      <w:r>
        <w:rPr>
          <w:rFonts w:ascii="Arial" w:cs="Arial" w:eastAsia="Arial" w:hAnsi="Arial"/>
          <w:sz w:val="17"/>
          <w:szCs w:val="17"/>
          <w:color w:val="auto"/>
        </w:rPr>
        <w:t>Our goal is to build a self-sustaining, fully-integrated and profitable company that discovers, develops and commercializes innovative therapeutics, including novel selective ion channel inhibitors, by applying our expertise in the genetics of rare human diseases.</w:t>
      </w:r>
    </w:p>
    <w:p>
      <w:pPr>
        <w:spacing w:after="0" w:line="104" w:lineRule="exact"/>
        <w:rPr>
          <w:sz w:val="20"/>
          <w:szCs w:val="20"/>
          <w:color w:val="auto"/>
        </w:rPr>
      </w:pPr>
    </w:p>
    <w:p>
      <w:pPr>
        <w:ind w:left="200" w:right="40"/>
        <w:spacing w:after="0"/>
        <w:rPr>
          <w:sz w:val="20"/>
          <w:szCs w:val="20"/>
          <w:color w:val="auto"/>
        </w:rPr>
      </w:pPr>
      <w:r>
        <w:rPr>
          <w:rFonts w:ascii="Arial" w:cs="Arial" w:eastAsia="Arial" w:hAnsi="Arial"/>
          <w:sz w:val="17"/>
          <w:szCs w:val="17"/>
          <w:color w:val="auto"/>
        </w:rPr>
        <w:t>Since our inception, we believe we have operated in a capital-efficient manner to build our capabilities and assets through phased growth, expansion and value creation. Since our last equity financing in 2006, we have funded our operations and expanded our platform, product pipeline and infrastructure through a strategy that combines the deployment of our own resources and the establishment of broadly enabling and well-structured pharmaceutical partnerships with industry leaders.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strategy is to:</w:t>
      </w:r>
    </w:p>
    <w:p>
      <w:pPr>
        <w:spacing w:after="0" w:line="109" w:lineRule="exact"/>
        <w:rPr>
          <w:sz w:val="20"/>
          <w:szCs w:val="20"/>
          <w:color w:val="auto"/>
        </w:rPr>
      </w:pPr>
    </w:p>
    <w:p>
      <w:pPr>
        <w:ind w:left="940" w:right="880" w:hanging="426"/>
        <w:spacing w:after="0" w:line="200" w:lineRule="auto"/>
        <w:tabs>
          <w:tab w:leader="none" w:pos="940" w:val="left"/>
        </w:tabs>
        <w:numPr>
          <w:ilvl w:val="0"/>
          <w:numId w:val="2"/>
        </w:numPr>
        <w:rPr>
          <w:rFonts w:ascii="Arial" w:cs="Arial" w:eastAsia="Arial" w:hAnsi="Arial"/>
          <w:sz w:val="26"/>
          <w:szCs w:val="26"/>
          <w:color w:val="auto"/>
          <w:vertAlign w:val="superscript"/>
        </w:rPr>
      </w:pPr>
      <w:r>
        <w:rPr>
          <w:rFonts w:ascii="Arial" w:cs="Arial" w:eastAsia="Arial" w:hAnsi="Arial"/>
          <w:sz w:val="17"/>
          <w:szCs w:val="17"/>
          <w:i w:val="1"/>
          <w:iCs w:val="1"/>
          <w:color w:val="auto"/>
        </w:rPr>
        <w:t>Expand our pipeline and advance multiple discovery and development programs, focusing on orphan and niche disease market opportunities that we can independently develop and commercialize ourselves.</w:t>
      </w:r>
    </w:p>
    <w:p>
      <w:pPr>
        <w:spacing w:after="0" w:line="1" w:lineRule="exact"/>
        <w:rPr>
          <w:rFonts w:ascii="Arial" w:cs="Arial" w:eastAsia="Arial" w:hAnsi="Arial"/>
          <w:sz w:val="26"/>
          <w:szCs w:val="26"/>
          <w:color w:val="auto"/>
          <w:vertAlign w:val="superscript"/>
        </w:rPr>
      </w:pPr>
    </w:p>
    <w:p>
      <w:pPr>
        <w:ind w:left="940" w:right="440" w:hanging="426"/>
        <w:spacing w:after="0" w:line="200" w:lineRule="auto"/>
        <w:tabs>
          <w:tab w:leader="none" w:pos="940" w:val="left"/>
        </w:tabs>
        <w:numPr>
          <w:ilvl w:val="0"/>
          <w:numId w:val="2"/>
        </w:numPr>
        <w:rPr>
          <w:rFonts w:ascii="Arial" w:cs="Arial" w:eastAsia="Arial" w:hAnsi="Arial"/>
          <w:sz w:val="26"/>
          <w:szCs w:val="26"/>
          <w:color w:val="auto"/>
          <w:vertAlign w:val="superscript"/>
        </w:rPr>
      </w:pPr>
      <w:r>
        <w:rPr>
          <w:rFonts w:ascii="Arial" w:cs="Arial" w:eastAsia="Arial" w:hAnsi="Arial"/>
          <w:sz w:val="17"/>
          <w:szCs w:val="17"/>
          <w:i w:val="1"/>
          <w:iCs w:val="1"/>
          <w:color w:val="auto"/>
        </w:rPr>
        <w:t>Selectively establish additional partnerships enabling us to access large commercial indications while leveraging the benefits of those collaborations to expand our internal capabilities.</w:t>
      </w:r>
    </w:p>
    <w:p>
      <w:pPr>
        <w:ind w:left="940" w:hanging="426"/>
        <w:spacing w:after="0" w:line="183" w:lineRule="auto"/>
        <w:tabs>
          <w:tab w:leader="none" w:pos="94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i w:val="1"/>
          <w:iCs w:val="1"/>
          <w:color w:val="auto"/>
        </w:rPr>
        <w:t>Further leverage our discovery platform and insights into disease biology to identify novel targets and develop next-generation products.</w:t>
      </w:r>
    </w:p>
    <w:p>
      <w:pPr>
        <w:spacing w:after="0" w:line="108" w:lineRule="exact"/>
        <w:rPr>
          <w:sz w:val="20"/>
          <w:szCs w:val="20"/>
          <w:color w:val="auto"/>
        </w:rPr>
      </w:pPr>
    </w:p>
    <w:p>
      <w:pPr>
        <w:ind w:left="200" w:right="2920"/>
        <w:spacing w:after="0" w:line="348" w:lineRule="auto"/>
        <w:rPr>
          <w:sz w:val="20"/>
          <w:szCs w:val="20"/>
          <w:color w:val="auto"/>
        </w:rPr>
      </w:pPr>
      <w:r>
        <w:rPr>
          <w:rFonts w:ascii="Arial" w:cs="Arial" w:eastAsia="Arial" w:hAnsi="Arial"/>
          <w:sz w:val="17"/>
          <w:szCs w:val="17"/>
          <w:color w:val="auto"/>
        </w:rPr>
        <w:t xml:space="preserve">For additional information about our business, please see the section of this prospectus captioned “Business.” </w:t>
      </w:r>
      <w:r>
        <w:rPr>
          <w:rFonts w:ascii="Arial" w:cs="Arial" w:eastAsia="Arial" w:hAnsi="Arial"/>
          <w:sz w:val="17"/>
          <w:szCs w:val="17"/>
          <w:b w:val="1"/>
          <w:bCs w:val="1"/>
          <w:color w:val="auto"/>
        </w:rPr>
        <w:t>Risks Associated with Our Business</w:t>
      </w:r>
    </w:p>
    <w:p>
      <w:pPr>
        <w:spacing w:after="0" w:line="1" w:lineRule="exact"/>
        <w:rPr>
          <w:sz w:val="20"/>
          <w:szCs w:val="20"/>
          <w:color w:val="auto"/>
        </w:rPr>
      </w:pPr>
    </w:p>
    <w:p>
      <w:pPr>
        <w:ind w:left="200" w:right="440"/>
        <w:spacing w:after="0" w:line="245" w:lineRule="auto"/>
        <w:rPr>
          <w:sz w:val="20"/>
          <w:szCs w:val="20"/>
          <w:color w:val="auto"/>
        </w:rPr>
      </w:pPr>
      <w:r>
        <w:rPr>
          <w:rFonts w:ascii="Arial" w:cs="Arial" w:eastAsia="Arial" w:hAnsi="Arial"/>
          <w:sz w:val="17"/>
          <w:szCs w:val="17"/>
          <w:color w:val="auto"/>
        </w:rPr>
        <w:t>Our ability to implement our current business strategy is subject to numerous risks, as more fully described in the section entitled “Risk Factors” immediately following this prospectus summary. These risks include, among others:</w:t>
      </w:r>
    </w:p>
    <w:p>
      <w:pPr>
        <w:spacing w:after="0" w:line="117" w:lineRule="exact"/>
        <w:rPr>
          <w:sz w:val="20"/>
          <w:szCs w:val="20"/>
          <w:color w:val="auto"/>
        </w:rPr>
      </w:pPr>
    </w:p>
    <w:p>
      <w:pPr>
        <w:ind w:left="940" w:right="260" w:hanging="426"/>
        <w:spacing w:after="0" w:line="191" w:lineRule="auto"/>
        <w:tabs>
          <w:tab w:leader="none" w:pos="94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We have incurred significant losses since our inception and anticipate that we will continue to incur significant losses for the foreseeable future.</w:t>
      </w:r>
    </w:p>
    <w:p>
      <w:pPr>
        <w:spacing w:after="0" w:line="1" w:lineRule="exact"/>
        <w:rPr>
          <w:rFonts w:ascii="Arial" w:cs="Arial" w:eastAsia="Arial" w:hAnsi="Arial"/>
          <w:sz w:val="26"/>
          <w:szCs w:val="26"/>
          <w:color w:val="auto"/>
          <w:vertAlign w:val="superscript"/>
        </w:rPr>
      </w:pPr>
    </w:p>
    <w:p>
      <w:pPr>
        <w:ind w:left="940" w:hanging="426"/>
        <w:spacing w:after="0" w:line="183" w:lineRule="auto"/>
        <w:tabs>
          <w:tab w:leader="none" w:pos="94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We have not generated any royalty revenue from product sales and may never become profitable from royalty revenue.</w:t>
      </w:r>
    </w:p>
    <w:p>
      <w:pPr>
        <w:spacing w:after="0" w:line="17" w:lineRule="exact"/>
        <w:rPr>
          <w:rFonts w:ascii="Arial" w:cs="Arial" w:eastAsia="Arial" w:hAnsi="Arial"/>
          <w:sz w:val="25"/>
          <w:szCs w:val="25"/>
          <w:color w:val="auto"/>
          <w:vertAlign w:val="superscript"/>
        </w:rPr>
      </w:pPr>
    </w:p>
    <w:p>
      <w:pPr>
        <w:ind w:left="940" w:hanging="426"/>
        <w:spacing w:after="0" w:line="183" w:lineRule="auto"/>
        <w:tabs>
          <w:tab w:leader="none" w:pos="940" w:val="left"/>
        </w:tabs>
        <w:numPr>
          <w:ilvl w:val="0"/>
          <w:numId w:val="3"/>
        </w:numPr>
        <w:rPr>
          <w:rFonts w:ascii="Arial" w:cs="Arial" w:eastAsia="Arial" w:hAnsi="Arial"/>
          <w:sz w:val="23"/>
          <w:szCs w:val="23"/>
          <w:color w:val="auto"/>
          <w:vertAlign w:val="superscript"/>
        </w:rPr>
      </w:pPr>
      <w:r>
        <w:rPr>
          <w:rFonts w:ascii="Arial" w:cs="Arial" w:eastAsia="Arial" w:hAnsi="Arial"/>
          <w:sz w:val="15"/>
          <w:szCs w:val="15"/>
          <w:color w:val="auto"/>
        </w:rPr>
        <w:t>We will likely need to raise additional funding, which may not be available on acceptable terms, if at all.</w:t>
      </w:r>
    </w:p>
    <w:p>
      <w:pPr>
        <w:spacing w:after="0" w:line="17" w:lineRule="exact"/>
        <w:rPr>
          <w:rFonts w:ascii="Arial" w:cs="Arial" w:eastAsia="Arial" w:hAnsi="Arial"/>
          <w:sz w:val="23"/>
          <w:szCs w:val="23"/>
          <w:color w:val="auto"/>
          <w:vertAlign w:val="superscript"/>
        </w:rPr>
      </w:pPr>
    </w:p>
    <w:p>
      <w:pPr>
        <w:ind w:left="940" w:right="620" w:hanging="426"/>
        <w:spacing w:after="0" w:line="191" w:lineRule="auto"/>
        <w:tabs>
          <w:tab w:leader="none" w:pos="94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Our existing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9" w:lineRule="exact"/>
        <w:rPr>
          <w:rFonts w:ascii="Arial" w:cs="Arial" w:eastAsia="Arial" w:hAnsi="Arial"/>
          <w:sz w:val="26"/>
          <w:szCs w:val="26"/>
          <w:color w:val="auto"/>
          <w:vertAlign w:val="superscript"/>
        </w:rPr>
      </w:pPr>
    </w:p>
    <w:p>
      <w:pPr>
        <w:ind w:left="940" w:right="140" w:hanging="426"/>
        <w:spacing w:after="0" w:line="191" w:lineRule="auto"/>
        <w:tabs>
          <w:tab w:leader="none" w:pos="94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Clinical drug development involves a lengthy and expensive process with uncertain timelines and outcomes. If clinical trials are prolonged or delayed, we, or our collaborators, may be unable to commercialize our product candidates on a timely basis.</w:t>
      </w:r>
    </w:p>
    <w:p>
      <w:pPr>
        <w:spacing w:after="0" w:line="19" w:lineRule="exact"/>
        <w:rPr>
          <w:rFonts w:ascii="Arial" w:cs="Arial" w:eastAsia="Arial" w:hAnsi="Arial"/>
          <w:sz w:val="26"/>
          <w:szCs w:val="26"/>
          <w:color w:val="auto"/>
          <w:vertAlign w:val="superscript"/>
        </w:rPr>
      </w:pPr>
    </w:p>
    <w:p>
      <w:pPr>
        <w:ind w:left="940" w:right="140" w:hanging="426"/>
        <w:spacing w:after="0" w:line="204" w:lineRule="auto"/>
        <w:tabs>
          <w:tab w:leader="none" w:pos="94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The regulatory approval processes of the FDA, the European Medicines Agency, or EMA, and regulators in other jurisdictions are lengthy, time-consuming and inherently unpredictable. If we, or our collaborators, are unable to obtain timely regulatory approval for our product candidates, our business will be substantially harmed.</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240" w:top="444" w:right="3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4880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4880610"/>
                    </a:xfrm>
                    <a:prstGeom prst="rect">
                      <a:avLst/>
                    </a:prstGeom>
                    <a:noFill/>
                  </pic:spPr>
                </pic:pic>
              </a:graphicData>
            </a:graphic>
          </wp:anchor>
        </w:drawing>
      </w:r>
    </w:p>
    <w:p>
      <w:pPr>
        <w:spacing w:after="0" w:line="392" w:lineRule="exact"/>
        <w:rPr>
          <w:sz w:val="20"/>
          <w:szCs w:val="20"/>
          <w:color w:val="auto"/>
        </w:rPr>
      </w:pPr>
    </w:p>
    <w:p>
      <w:pPr>
        <w:ind w:left="940" w:hanging="426"/>
        <w:spacing w:after="0"/>
        <w:tabs>
          <w:tab w:leader="none" w:pos="94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We and our collaborators face substantial competition in the markets for our product candidates.</w:t>
      </w:r>
    </w:p>
    <w:p>
      <w:pPr>
        <w:spacing w:after="0" w:line="17" w:lineRule="exact"/>
        <w:rPr>
          <w:rFonts w:ascii="Arial" w:cs="Arial" w:eastAsia="Arial" w:hAnsi="Arial"/>
          <w:sz w:val="26"/>
          <w:szCs w:val="26"/>
          <w:color w:val="auto"/>
          <w:vertAlign w:val="superscript"/>
        </w:rPr>
      </w:pPr>
    </w:p>
    <w:p>
      <w:pPr>
        <w:ind w:left="940" w:hanging="426"/>
        <w:spacing w:after="0" w:line="183" w:lineRule="auto"/>
        <w:tabs>
          <w:tab w:leader="none" w:pos="94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The novelty of gene therapy products and their lack of a commercial track record may hinder market acceptance of Glybera.</w:t>
      </w:r>
    </w:p>
    <w:p>
      <w:pPr>
        <w:spacing w:after="0" w:line="17" w:lineRule="exact"/>
        <w:rPr>
          <w:rFonts w:ascii="Arial" w:cs="Arial" w:eastAsia="Arial" w:hAnsi="Arial"/>
          <w:sz w:val="23"/>
          <w:szCs w:val="23"/>
          <w:color w:val="auto"/>
          <w:vertAlign w:val="superscript"/>
        </w:rPr>
      </w:pPr>
    </w:p>
    <w:p>
      <w:pPr>
        <w:ind w:left="940" w:hanging="426"/>
        <w:spacing w:after="0" w:line="183" w:lineRule="auto"/>
        <w:tabs>
          <w:tab w:leader="none" w:pos="94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Our approach to drug discovery is unproven, and we do not know whether we will be able to develop any products of commercial value.</w:t>
      </w:r>
    </w:p>
    <w:p>
      <w:pPr>
        <w:spacing w:after="0" w:line="17" w:lineRule="exact"/>
        <w:rPr>
          <w:rFonts w:ascii="Arial" w:cs="Arial" w:eastAsia="Arial" w:hAnsi="Arial"/>
          <w:sz w:val="23"/>
          <w:szCs w:val="23"/>
          <w:color w:val="auto"/>
          <w:vertAlign w:val="superscript"/>
        </w:rPr>
      </w:pPr>
    </w:p>
    <w:p>
      <w:pPr>
        <w:ind w:left="940" w:hanging="426"/>
        <w:spacing w:after="0" w:line="183" w:lineRule="auto"/>
        <w:tabs>
          <w:tab w:leader="none" w:pos="94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We could be unsuccessful in obtaining or maintaining adequate patent protection for one or more of our products or product candidates.</w:t>
      </w:r>
    </w:p>
    <w:p>
      <w:pPr>
        <w:spacing w:after="0" w:line="17" w:lineRule="exact"/>
        <w:rPr>
          <w:rFonts w:ascii="Arial" w:cs="Arial" w:eastAsia="Arial" w:hAnsi="Arial"/>
          <w:sz w:val="23"/>
          <w:szCs w:val="23"/>
          <w:color w:val="auto"/>
          <w:vertAlign w:val="superscript"/>
        </w:rPr>
      </w:pPr>
    </w:p>
    <w:p>
      <w:pPr>
        <w:ind w:left="940" w:right="260" w:hanging="426"/>
        <w:spacing w:after="0" w:line="191" w:lineRule="auto"/>
        <w:tabs>
          <w:tab w:leader="none" w:pos="94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The limited patient population for orphan and niche indications may prevent us from accurately estimating the market opportunity for our product candidates or enrolling sufficient patients for our clinical trials.</w:t>
      </w:r>
    </w:p>
    <w:p>
      <w:pPr>
        <w:spacing w:after="0" w:line="110" w:lineRule="exact"/>
        <w:rPr>
          <w:sz w:val="20"/>
          <w:szCs w:val="20"/>
          <w:color w:val="auto"/>
        </w:rPr>
      </w:pPr>
    </w:p>
    <w:p>
      <w:pPr>
        <w:ind w:left="200" w:right="2380"/>
        <w:spacing w:after="0" w:line="348" w:lineRule="auto"/>
        <w:rPr>
          <w:sz w:val="20"/>
          <w:szCs w:val="20"/>
          <w:color w:val="auto"/>
        </w:rPr>
      </w:pPr>
      <w:r>
        <w:rPr>
          <w:rFonts w:ascii="Arial" w:cs="Arial" w:eastAsia="Arial" w:hAnsi="Arial"/>
          <w:sz w:val="17"/>
          <w:szCs w:val="17"/>
          <w:color w:val="auto"/>
        </w:rPr>
        <w:t xml:space="preserve">For additional information about the risks we face, please see the section of this prospectus captioned “Risk Factors.” </w:t>
      </w:r>
      <w:r>
        <w:rPr>
          <w:rFonts w:ascii="Arial" w:cs="Arial" w:eastAsia="Arial" w:hAnsi="Arial"/>
          <w:sz w:val="17"/>
          <w:szCs w:val="17"/>
          <w:b w:val="1"/>
          <w:bCs w:val="1"/>
          <w:color w:val="auto"/>
        </w:rPr>
        <w:t>Concurrent Private Placement</w:t>
      </w:r>
    </w:p>
    <w:p>
      <w:pPr>
        <w:spacing w:after="0" w:line="1"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Pursuant to the terms of our common share put agreement, an affiliate of Genentech, Inc., one of our pharmaceutical partners, will purchase approximately $4.5 million of our common shares in a separate private placement, concurrent with the completion of this offering, at a price per share equal to the initial public offering price. The sale of such shares will not be registered under the Securities Act of 1933, as amended. The closing of this offering is not conditioned upon the closing of the concurrent private placement.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44" w:lineRule="exact"/>
        <w:rPr>
          <w:sz w:val="20"/>
          <w:szCs w:val="20"/>
          <w:color w:val="auto"/>
        </w:rPr>
      </w:pPr>
    </w:p>
    <w:p>
      <w:pPr>
        <w:ind w:left="200" w:right="280"/>
        <w:spacing w:after="0" w:line="241"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provisions include:</w:t>
      </w:r>
    </w:p>
    <w:p>
      <w:pPr>
        <w:spacing w:after="0" w:line="35" w:lineRule="exact"/>
        <w:rPr>
          <w:sz w:val="20"/>
          <w:szCs w:val="20"/>
          <w:color w:val="auto"/>
        </w:rPr>
      </w:pPr>
    </w:p>
    <w:p>
      <w:pPr>
        <w:ind w:left="940" w:hanging="426"/>
        <w:spacing w:after="0"/>
        <w:tabs>
          <w:tab w:leader="none" w:pos="94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a requirement to have only two years of audited financial statements and only two years of related management’s discussion and analysis;</w:t>
      </w:r>
    </w:p>
    <w:p>
      <w:pPr>
        <w:spacing w:after="0" w:line="17" w:lineRule="exact"/>
        <w:rPr>
          <w:rFonts w:ascii="Arial" w:cs="Arial" w:eastAsia="Arial" w:hAnsi="Arial"/>
          <w:sz w:val="25"/>
          <w:szCs w:val="25"/>
          <w:color w:val="auto"/>
          <w:vertAlign w:val="superscript"/>
        </w:rPr>
      </w:pPr>
    </w:p>
    <w:p>
      <w:pPr>
        <w:ind w:left="940" w:hanging="426"/>
        <w:spacing w:after="0" w:line="183" w:lineRule="auto"/>
        <w:tabs>
          <w:tab w:leader="none" w:pos="94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an exemption from compliance with the auditor attestation requirement on the effectiveness of our internal controls over financial reporting;</w:t>
      </w:r>
    </w:p>
    <w:p>
      <w:pPr>
        <w:spacing w:after="0" w:line="17" w:lineRule="exact"/>
        <w:rPr>
          <w:rFonts w:ascii="Arial" w:cs="Arial" w:eastAsia="Arial" w:hAnsi="Arial"/>
          <w:sz w:val="23"/>
          <w:szCs w:val="23"/>
          <w:color w:val="auto"/>
          <w:vertAlign w:val="superscript"/>
        </w:rPr>
      </w:pPr>
    </w:p>
    <w:p>
      <w:pPr>
        <w:ind w:left="940" w:hanging="426"/>
        <w:spacing w:after="0" w:line="201" w:lineRule="auto"/>
        <w:tabs>
          <w:tab w:leader="none" w:pos="94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ind w:left="940" w:hanging="426"/>
        <w:spacing w:after="0" w:line="183" w:lineRule="auto"/>
        <w:tabs>
          <w:tab w:leader="none" w:pos="94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reduced disclosure about our executive compensation arrangements; and</w:t>
      </w:r>
    </w:p>
    <w:p>
      <w:pPr>
        <w:spacing w:after="0" w:line="17" w:lineRule="exact"/>
        <w:rPr>
          <w:rFonts w:ascii="Arial" w:cs="Arial" w:eastAsia="Arial" w:hAnsi="Arial"/>
          <w:sz w:val="25"/>
          <w:szCs w:val="25"/>
          <w:color w:val="auto"/>
          <w:vertAlign w:val="superscript"/>
        </w:rPr>
      </w:pPr>
    </w:p>
    <w:p>
      <w:pPr>
        <w:ind w:left="940" w:right="440" w:hanging="426"/>
        <w:spacing w:after="0" w:line="191" w:lineRule="auto"/>
        <w:tabs>
          <w:tab w:leader="none" w:pos="94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exemptions from the requirements to obtain a non-binding advisory vote on executive compensation or a shareholder approval of any golden parachute arrangements.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 the JOBS Act, we will remain an “emerging growth company” until the earliest of:</w:t>
      </w:r>
    </w:p>
    <w:p>
      <w:pPr>
        <w:spacing w:after="0" w:line="30" w:lineRule="exact"/>
        <w:rPr>
          <w:sz w:val="20"/>
          <w:szCs w:val="20"/>
          <w:color w:val="auto"/>
        </w:rPr>
      </w:pPr>
    </w:p>
    <w:p>
      <w:pPr>
        <w:ind w:left="940" w:hanging="426"/>
        <w:spacing w:after="0"/>
        <w:tabs>
          <w:tab w:leader="none" w:pos="94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the last day of the fiscal year during which we have total annual gross revenue of $1.0 billion or more;</w:t>
      </w:r>
    </w:p>
    <w:p>
      <w:pPr>
        <w:spacing w:after="0" w:line="17" w:lineRule="exact"/>
        <w:rPr>
          <w:rFonts w:ascii="Arial" w:cs="Arial" w:eastAsia="Arial" w:hAnsi="Arial"/>
          <w:sz w:val="26"/>
          <w:szCs w:val="26"/>
          <w:color w:val="auto"/>
          <w:vertAlign w:val="superscript"/>
        </w:rPr>
      </w:pPr>
    </w:p>
    <w:p>
      <w:pPr>
        <w:ind w:left="940" w:right="40" w:hanging="426"/>
        <w:spacing w:after="0" w:line="191" w:lineRule="auto"/>
        <w:tabs>
          <w:tab w:leader="none" w:pos="94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the last day of the fiscal year following the fifth anniversary of the effective date of the registration statement of which this prospectus forms a part;</w:t>
      </w:r>
    </w:p>
    <w:p>
      <w:pPr>
        <w:spacing w:after="0" w:line="1" w:lineRule="exact"/>
        <w:rPr>
          <w:rFonts w:ascii="Arial" w:cs="Arial" w:eastAsia="Arial" w:hAnsi="Arial"/>
          <w:sz w:val="26"/>
          <w:szCs w:val="26"/>
          <w:color w:val="auto"/>
          <w:vertAlign w:val="superscript"/>
        </w:rPr>
      </w:pPr>
    </w:p>
    <w:p>
      <w:pPr>
        <w:ind w:left="940" w:hanging="426"/>
        <w:spacing w:after="0" w:line="183" w:lineRule="auto"/>
        <w:tabs>
          <w:tab w:leader="none" w:pos="9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date on which we have, during the previous three-year period, issued more than $1.0 billion in non-convertible debt; or</w:t>
      </w:r>
    </w:p>
    <w:p>
      <w:pPr>
        <w:spacing w:after="0" w:line="17" w:lineRule="exact"/>
        <w:rPr>
          <w:rFonts w:ascii="Arial" w:cs="Arial" w:eastAsia="Arial" w:hAnsi="Arial"/>
          <w:sz w:val="25"/>
          <w:szCs w:val="25"/>
          <w:color w:val="auto"/>
          <w:vertAlign w:val="superscript"/>
        </w:rPr>
      </w:pPr>
    </w:p>
    <w:p>
      <w:pPr>
        <w:ind w:left="940" w:right="100" w:hanging="426"/>
        <w:spacing w:after="0" w:line="212" w:lineRule="auto"/>
        <w:tabs>
          <w:tab w:leader="none" w:pos="94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the date on which we are deemed to be a “large accelerated filer” under the Securities Exchange Act of 1934, as amended, or the Exchange Act (we will qualify as a large accelerated filer as of the first day of the first fiscal year after we have (i) more than $700.0 million in outstanding common equity held by our non-affiliates and (ii) been public for at least 12 months; the value of our outstanding common equity will be measured each year on the last day of our second fiscal quarter).</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444" w:right="3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3684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36842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200" w:right="440"/>
        <w:spacing w:after="0" w:line="241" w:lineRule="auto"/>
        <w:rPr>
          <w:sz w:val="20"/>
          <w:szCs w:val="20"/>
          <w:color w:val="auto"/>
        </w:rPr>
      </w:pPr>
      <w:r>
        <w:rPr>
          <w:rFonts w:ascii="Arial" w:cs="Arial" w:eastAsia="Arial" w:hAnsi="Arial"/>
          <w:sz w:val="17"/>
          <w:szCs w:val="17"/>
          <w:color w:val="auto"/>
        </w:rPr>
        <w:t>We may choose to take advantage of some of the available benefits under the JOBS Act, and have taken advantage of some reduced reporting requirements in this prospectus. Accordingly, the information contained herein may be different than the information you receive from other U.S. public companies in which you hold stock.</w:t>
      </w:r>
    </w:p>
    <w:p>
      <w:pPr>
        <w:spacing w:after="0" w:line="108" w:lineRule="exact"/>
        <w:rPr>
          <w:sz w:val="20"/>
          <w:szCs w:val="20"/>
          <w:color w:val="auto"/>
        </w:rPr>
      </w:pPr>
    </w:p>
    <w:p>
      <w:pPr>
        <w:ind w:left="200" w:right="40"/>
        <w:spacing w:after="0" w:line="239"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Corporate Information</w:t>
      </w:r>
    </w:p>
    <w:p>
      <w:pPr>
        <w:spacing w:after="0" w:line="44" w:lineRule="exact"/>
        <w:rPr>
          <w:sz w:val="20"/>
          <w:szCs w:val="20"/>
          <w:color w:val="auto"/>
        </w:rPr>
      </w:pPr>
    </w:p>
    <w:p>
      <w:pPr>
        <w:ind w:left="200" w:right="120"/>
        <w:spacing w:after="0" w:line="238" w:lineRule="auto"/>
        <w:rPr>
          <w:sz w:val="20"/>
          <w:szCs w:val="20"/>
          <w:color w:val="auto"/>
        </w:rPr>
      </w:pPr>
      <w:r>
        <w:rPr>
          <w:rFonts w:ascii="Arial" w:cs="Arial" w:eastAsia="Arial" w:hAnsi="Arial"/>
          <w:sz w:val="17"/>
          <w:szCs w:val="17"/>
          <w:color w:val="auto"/>
        </w:rPr>
        <w:t>We were incorporated in the Province of British Columbia on November 5, 1996 under the predecessor to the Business Corporations Act (British Columbia) under the name “Xenon Bioresearch Inc.” We continued from British Columbia to the federal jurisdiction pursuant to Section 187 of the Canada Business Corporations Act, or the CBCA, on May 17, 2000 and concurrently changed our name to “Xenon Genetics Inc.” We registered as an extra-provincial company in British Columbia on July 10, 2000 and changed our name to “Xenon Pharmaceuticals Inc.” on August 24, 2004. We have no subsidiaries. Our principal executive offices are located at 200 – 3650 Gilmore Way, Burnaby, British Columbia, Canada V5G 4W8, and our telephone number is (604) 484-3300. Our website address is http://www.xenon-pharma.com. We are currently not a reporting issuer, or the equivalent, in any province or territory of Canada and our shares are not listed on any recognized Canadian stock exchange but we expect to become a reporting issuer in British Columbia, Alberta and Ontario upon completion of this offering. The information contained in, or that can be accessed through, our website is not part of this prospectus.</w:t>
      </w:r>
    </w:p>
    <w:p>
      <w:pPr>
        <w:spacing w:after="0" w:line="114" w:lineRule="exact"/>
        <w:rPr>
          <w:sz w:val="20"/>
          <w:szCs w:val="20"/>
          <w:color w:val="auto"/>
        </w:rPr>
      </w:pPr>
    </w:p>
    <w:p>
      <w:pPr>
        <w:ind w:left="200"/>
        <w:spacing w:after="0" w:line="217" w:lineRule="auto"/>
        <w:rPr>
          <w:sz w:val="20"/>
          <w:szCs w:val="20"/>
          <w:color w:val="auto"/>
        </w:rPr>
      </w:pPr>
      <w:r>
        <w:rPr>
          <w:rFonts w:ascii="Arial" w:cs="Arial" w:eastAsia="Arial" w:hAnsi="Arial"/>
          <w:sz w:val="17"/>
          <w:szCs w:val="17"/>
          <w:color w:val="auto"/>
        </w:rPr>
        <w:t>The Xenon logo, “Extreme Genetics</w:t>
      </w:r>
      <w:r>
        <w:rPr>
          <w:rFonts w:ascii="Arial" w:cs="Arial" w:eastAsia="Arial" w:hAnsi="Arial"/>
          <w:sz w:val="21"/>
          <w:szCs w:val="21"/>
          <w:color w:val="auto"/>
          <w:vertAlign w:val="superscript"/>
        </w:rPr>
        <w:t>™</w:t>
      </w:r>
      <w:r>
        <w:rPr>
          <w:rFonts w:ascii="Arial" w:cs="Arial" w:eastAsia="Arial" w:hAnsi="Arial"/>
          <w:sz w:val="17"/>
          <w:szCs w:val="17"/>
          <w:color w:val="auto"/>
        </w:rPr>
        <w:t>” and other trademarks or service marks of Xenon appearing in this prospectus are trademarked and are the property of Xenon as is the Xenon corporate name. This prospectus contains references to our trademarks and service marks and to those belonging to other entities, including “Glybera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which is the property of uniQure. Solely for convenience, trademarks and trade names referred to in this prospectus, including logos, artwork and other visual displays, may appear without the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240" w:top="444" w:right="3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4356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43561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44" w:right="399" w:bottom="1440" w:gutter="0" w:footer="0" w:header="0"/>
        </w:sect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4,000,000 common shares</w:t>
      </w:r>
    </w:p>
    <w:p>
      <w:pPr>
        <w:spacing w:after="0" w:line="152" w:lineRule="exact"/>
        <w:rPr>
          <w:sz w:val="20"/>
          <w:szCs w:val="20"/>
          <w:color w:val="auto"/>
        </w:rPr>
      </w:pPr>
    </w:p>
    <w:p>
      <w:pPr>
        <w:sectPr>
          <w:pgSz w:w="11900" w:h="16838" w:orient="portrait"/>
          <w:cols w:equalWidth="0" w:num="2">
            <w:col w:w="3680" w:space="720"/>
            <w:col w:w="6860"/>
          </w:cols>
          <w:pgMar w:left="240" w:top="444" w:right="399" w:bottom="1440" w:gutter="0" w:footer="0" w:header="0"/>
          <w:type w:val="continuous"/>
        </w:sectPr>
      </w:pPr>
    </w:p>
    <w:p>
      <w:pPr>
        <w:ind w:left="280" w:hanging="81"/>
        <w:spacing w:after="0" w:line="241" w:lineRule="auto"/>
        <w:rPr>
          <w:sz w:val="20"/>
          <w:szCs w:val="20"/>
          <w:color w:val="auto"/>
        </w:rPr>
      </w:pPr>
      <w:r>
        <w:rPr>
          <w:rFonts w:ascii="Arial" w:cs="Arial" w:eastAsia="Arial" w:hAnsi="Arial"/>
          <w:sz w:val="17"/>
          <w:szCs w:val="17"/>
          <w:color w:val="auto"/>
        </w:rPr>
        <w:t>Common shares to be issued and sold by us to an affiliate of Genentech in the concurrent private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495,000 shares</w:t>
      </w:r>
    </w:p>
    <w:p>
      <w:pPr>
        <w:spacing w:after="0" w:line="538" w:lineRule="exact"/>
        <w:rPr>
          <w:sz w:val="20"/>
          <w:szCs w:val="20"/>
          <w:color w:val="auto"/>
        </w:rPr>
      </w:pPr>
    </w:p>
    <w:p>
      <w:pPr>
        <w:sectPr>
          <w:pgSz w:w="11900" w:h="16838" w:orient="portrait"/>
          <w:cols w:equalWidth="0" w:num="2">
            <w:col w:w="3920" w:space="480"/>
            <w:col w:w="6860"/>
          </w:cols>
          <w:pgMar w:left="240" w:top="444"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 and 13,579,687 common shares (or 14,179,687 if the underwriters exercise their option to</w:t>
      </w:r>
    </w:p>
    <w:p>
      <w:pPr>
        <w:spacing w:after="0" w:line="10"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7"/>
          <w:szCs w:val="17"/>
          <w:color w:val="auto"/>
        </w:rPr>
        <w:t>the concurrent private placement</w:t>
      </w:r>
      <w:r>
        <w:rPr>
          <w:sz w:val="20"/>
          <w:szCs w:val="20"/>
          <w:color w:val="auto"/>
        </w:rPr>
        <w:tab/>
      </w:r>
      <w:r>
        <w:rPr>
          <w:rFonts w:ascii="Arial" w:cs="Arial" w:eastAsia="Arial" w:hAnsi="Arial"/>
          <w:sz w:val="16"/>
          <w:szCs w:val="16"/>
          <w:color w:val="auto"/>
        </w:rPr>
        <w:t>purchase additional common shares in full)</w:t>
      </w:r>
    </w:p>
    <w:p>
      <w:pPr>
        <w:sectPr>
          <w:pgSz w:w="11900" w:h="16838" w:orient="portrait"/>
          <w:cols w:equalWidth="0" w:num="1">
            <w:col w:w="11260"/>
          </w:cols>
          <w:pgMar w:left="240" w:top="444" w:right="399" w:bottom="1440" w:gutter="0" w:footer="0" w:header="0"/>
          <w:type w:val="continuous"/>
        </w:sectPr>
      </w:pPr>
    </w:p>
    <w:p>
      <w:pPr>
        <w:spacing w:after="0" w:line="14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 to purchase additional common shares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We have granted the underwriters an option for 30 days from the date of this prospectus to purchase up to 600,000 additional common shares.</w:t>
      </w:r>
    </w:p>
    <w:p>
      <w:pPr>
        <w:spacing w:after="0" w:line="117" w:lineRule="exact"/>
        <w:rPr>
          <w:sz w:val="20"/>
          <w:szCs w:val="20"/>
          <w:color w:val="auto"/>
        </w:rPr>
      </w:pPr>
    </w:p>
    <w:p>
      <w:pPr>
        <w:sectPr>
          <w:pgSz w:w="11900" w:h="16838" w:orient="portrait"/>
          <w:cols w:equalWidth="0" w:num="2">
            <w:col w:w="3680" w:space="720"/>
            <w:col w:w="6860"/>
          </w:cols>
          <w:pgMar w:left="240" w:top="444"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7"/>
          <w:szCs w:val="17"/>
          <w:color w:val="auto"/>
        </w:rPr>
        <w:t>We estimate that the net proceeds from this offering and the concurrent private placement will be $33.3 million, or $38.3 million if the underwriters exercise in full their option to purchase additional common shares, based upon the initial public offering price of $9.00 per share, after deducting underwriting discounts and commissions, fees payable in connection with the concurrent private placement and estimated offering expenses payable by us. We currently expect to use the net proceeds from this offering and the concurrent private placement: (1) to fund preclinical and early clinical development of our DS and XEN801 programs; (2) to fund genetic research and drug discovery activities using our Extreme Genetics discovery platform; and (3) for working capital and general corporate purposes. We may also use a portion of the net proceeds in connection with any exercise of co-development or co-promotion rights under our strategic alliances; however, no such rights are currently exercisable. In addition, we may also use a portion of the net proceeds to acquire, license and invest in complementary products, technologies or businesses; however, we currently have no agreements or commitments to complete any such transaction. See “Use of Proceeds.”</w:t>
      </w:r>
    </w:p>
    <w:p>
      <w:pPr>
        <w:spacing w:after="0" w:line="125" w:lineRule="exact"/>
        <w:rPr>
          <w:sz w:val="20"/>
          <w:szCs w:val="20"/>
          <w:color w:val="auto"/>
        </w:rPr>
      </w:pPr>
    </w:p>
    <w:p>
      <w:pPr>
        <w:sectPr>
          <w:pgSz w:w="11900" w:h="16838" w:orient="portrait"/>
          <w:cols w:equalWidth="0" w:num="2">
            <w:col w:w="3680" w:space="720"/>
            <w:col w:w="6860"/>
          </w:cols>
          <w:pgMar w:left="240" w:top="444"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Ticker 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“XENE”</w:t>
      </w:r>
    </w:p>
    <w:p>
      <w:pPr>
        <w:spacing w:after="0" w:line="139" w:lineRule="exact"/>
        <w:rPr>
          <w:sz w:val="20"/>
          <w:szCs w:val="20"/>
          <w:color w:val="auto"/>
        </w:rPr>
      </w:pPr>
    </w:p>
    <w:p>
      <w:pPr>
        <w:sectPr>
          <w:pgSz w:w="11900" w:h="16838" w:orient="portrait"/>
          <w:cols w:equalWidth="0" w:num="2">
            <w:col w:w="3680" w:space="720"/>
            <w:col w:w="6860"/>
          </w:cols>
          <w:pgMar w:left="240" w:top="444" w:right="399" w:bottom="1440" w:gutter="0" w:footer="0" w:header="0"/>
          <w:type w:val="continuous"/>
        </w:sectPr>
      </w:pPr>
    </w:p>
    <w:p>
      <w:pPr>
        <w:ind w:left="200" w:right="220"/>
        <w:spacing w:after="0" w:line="264" w:lineRule="auto"/>
        <w:rPr>
          <w:sz w:val="20"/>
          <w:szCs w:val="20"/>
          <w:color w:val="auto"/>
        </w:rPr>
      </w:pPr>
      <w:r>
        <w:rPr>
          <w:rFonts w:ascii="Arial" w:cs="Arial" w:eastAsia="Arial" w:hAnsi="Arial"/>
          <w:sz w:val="16"/>
          <w:szCs w:val="16"/>
          <w:color w:val="auto"/>
        </w:rPr>
        <w:t>Under the terms of our collaboration agreement, Teva Pharmaceutical Industries Ltd., or Teva, one of our pharmaceutical partners, or an affiliate of Teva will purchase $10.0 million of our common shares in this offering at the initial public offering price. The underwriters will receive the same discount from any common shares purchased by Teva or its affiliate as they will from any other common shares sold to the public in this offering.</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444" w:right="39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3036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30365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0" w:right="360"/>
        <w:spacing w:after="0" w:line="245" w:lineRule="auto"/>
        <w:rPr>
          <w:sz w:val="20"/>
          <w:szCs w:val="20"/>
          <w:color w:val="auto"/>
        </w:rPr>
      </w:pPr>
      <w:r>
        <w:rPr>
          <w:rFonts w:ascii="Arial" w:cs="Arial" w:eastAsia="Arial" w:hAnsi="Arial"/>
          <w:sz w:val="17"/>
          <w:szCs w:val="17"/>
          <w:color w:val="auto"/>
        </w:rPr>
        <w:t>The number of common shares to be outstanding after this offering and the concurrent private placement is based on 9,084,687 common shares outstanding as of June 30, 2014 and excludes the following:</w:t>
      </w:r>
    </w:p>
    <w:p>
      <w:pPr>
        <w:spacing w:after="0" w:line="117" w:lineRule="exact"/>
        <w:rPr>
          <w:sz w:val="20"/>
          <w:szCs w:val="20"/>
          <w:color w:val="auto"/>
        </w:rPr>
      </w:pPr>
    </w:p>
    <w:p>
      <w:pPr>
        <w:ind w:left="940" w:right="200" w:hanging="426"/>
        <w:spacing w:after="0" w:line="191" w:lineRule="auto"/>
        <w:tabs>
          <w:tab w:leader="none" w:pos="940"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1,442,741 common shares issuable upon exercise of options outstanding as of June 30, 2014, with a weighted-average exercise price of CAD$4.66 per common share, or $4.37 per common share, as converted; and</w:t>
      </w:r>
    </w:p>
    <w:p>
      <w:pPr>
        <w:spacing w:after="0" w:line="19" w:lineRule="exact"/>
        <w:rPr>
          <w:rFonts w:ascii="Arial" w:cs="Arial" w:eastAsia="Arial" w:hAnsi="Arial"/>
          <w:sz w:val="26"/>
          <w:szCs w:val="26"/>
          <w:color w:val="auto"/>
          <w:vertAlign w:val="superscript"/>
        </w:rPr>
      </w:pPr>
    </w:p>
    <w:p>
      <w:pPr>
        <w:ind w:left="940" w:right="120" w:hanging="426"/>
        <w:spacing w:after="0" w:line="212" w:lineRule="auto"/>
        <w:tabs>
          <w:tab w:leader="none" w:pos="940"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411,522 common shares reserved for future issuance under our 2014 Equity Incentive Plan, as amended, which became effective on the business day immediately prior to the effective date of the registration statement of which this prospectus forms a part, of which options to purchase 36,008 common shares at an exercise price equal to the initial public offering price were granted on the date of this prospectus, and any future automatic increases in common shares reserved for issuance under such plan.</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as otherwise indicated, this prospectus:</w:t>
      </w:r>
    </w:p>
    <w:p>
      <w:pPr>
        <w:spacing w:after="0" w:line="127" w:lineRule="exact"/>
        <w:rPr>
          <w:sz w:val="20"/>
          <w:szCs w:val="20"/>
          <w:color w:val="auto"/>
        </w:rPr>
      </w:pPr>
    </w:p>
    <w:p>
      <w:pPr>
        <w:ind w:left="940" w:hanging="426"/>
        <w:spacing w:after="0" w:line="223" w:lineRule="auto"/>
        <w:tabs>
          <w:tab w:leader="none" w:pos="9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reflects the conversion of all outstanding preferred shares into an aggregate of 7,725,924 common shares upon the closing of this offering, including the conversion of all of our outstanding Series A preferred shares and Series B preferred shares into 2,146,353 common shares and the conversion of all of our outstanding Series E preferred shares into 5,579,571 common shares, based upon the initial public offering price of $9.00 per share and the adjustment provisions relating to our Series E preferred shares described in “Description of Share Capital;”</w:t>
      </w:r>
    </w:p>
    <w:p>
      <w:pPr>
        <w:spacing w:after="0" w:line="20" w:lineRule="exact"/>
        <w:rPr>
          <w:rFonts w:ascii="Arial" w:cs="Arial" w:eastAsia="Arial" w:hAnsi="Arial"/>
          <w:sz w:val="25"/>
          <w:szCs w:val="25"/>
          <w:color w:val="auto"/>
          <w:vertAlign w:val="superscript"/>
        </w:rPr>
      </w:pPr>
    </w:p>
    <w:p>
      <w:pPr>
        <w:ind w:left="940" w:right="80" w:hanging="426"/>
        <w:spacing w:after="0" w:line="191" w:lineRule="auto"/>
        <w:tabs>
          <w:tab w:leader="none" w:pos="940" w:val="left"/>
        </w:tabs>
        <w:numPr>
          <w:ilvl w:val="0"/>
          <w:numId w:val="8"/>
        </w:numPr>
        <w:rPr>
          <w:rFonts w:ascii="Arial" w:cs="Arial" w:eastAsia="Arial" w:hAnsi="Arial"/>
          <w:sz w:val="26"/>
          <w:szCs w:val="26"/>
          <w:color w:val="auto"/>
          <w:vertAlign w:val="superscript"/>
        </w:rPr>
      </w:pPr>
      <w:r>
        <w:rPr>
          <w:rFonts w:ascii="Arial" w:cs="Arial" w:eastAsia="Arial" w:hAnsi="Arial"/>
          <w:sz w:val="17"/>
          <w:szCs w:val="17"/>
          <w:color w:val="auto"/>
        </w:rPr>
        <w:t>reflects the automatic conversion of 10,660 subscription rights into the same number of common shares immediately prior to the closing of this offering;</w:t>
      </w:r>
    </w:p>
    <w:p>
      <w:pPr>
        <w:spacing w:after="0" w:line="1" w:lineRule="exact"/>
        <w:rPr>
          <w:rFonts w:ascii="Arial" w:cs="Arial" w:eastAsia="Arial" w:hAnsi="Arial"/>
          <w:sz w:val="26"/>
          <w:szCs w:val="26"/>
          <w:color w:val="auto"/>
          <w:vertAlign w:val="superscript"/>
        </w:rPr>
      </w:pPr>
    </w:p>
    <w:p>
      <w:pPr>
        <w:ind w:left="940" w:hanging="426"/>
        <w:spacing w:after="0" w:line="183" w:lineRule="auto"/>
        <w:tabs>
          <w:tab w:leader="none" w:pos="9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assumes the filing of certain amendments to our articles of continuance prior to the closing of this offering;</w:t>
      </w:r>
    </w:p>
    <w:p>
      <w:pPr>
        <w:spacing w:after="0" w:line="17" w:lineRule="exact"/>
        <w:rPr>
          <w:rFonts w:ascii="Arial" w:cs="Arial" w:eastAsia="Arial" w:hAnsi="Arial"/>
          <w:sz w:val="25"/>
          <w:szCs w:val="25"/>
          <w:color w:val="auto"/>
          <w:vertAlign w:val="superscript"/>
        </w:rPr>
      </w:pPr>
    </w:p>
    <w:p>
      <w:pPr>
        <w:ind w:left="940" w:hanging="426"/>
        <w:spacing w:after="0" w:line="183" w:lineRule="auto"/>
        <w:tabs>
          <w:tab w:leader="none" w:pos="94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assumes no exercise by the underwriters of their option to purchase additional common shares;</w:t>
      </w:r>
    </w:p>
    <w:p>
      <w:pPr>
        <w:spacing w:after="0" w:line="17" w:lineRule="exact"/>
        <w:rPr>
          <w:rFonts w:ascii="Arial" w:cs="Arial" w:eastAsia="Arial" w:hAnsi="Arial"/>
          <w:sz w:val="23"/>
          <w:szCs w:val="23"/>
          <w:color w:val="auto"/>
          <w:vertAlign w:val="superscript"/>
        </w:rPr>
      </w:pPr>
    </w:p>
    <w:p>
      <w:pPr>
        <w:ind w:left="940" w:hanging="426"/>
        <w:spacing w:after="0" w:line="183" w:lineRule="auto"/>
        <w:tabs>
          <w:tab w:leader="none" w:pos="94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reflects the issuance and sale by us of 495,000 common shares in the concurrent private placement to an affiliate of Genentech;</w:t>
      </w:r>
    </w:p>
    <w:p>
      <w:pPr>
        <w:spacing w:after="0" w:line="17" w:lineRule="exact"/>
        <w:rPr>
          <w:rFonts w:ascii="Arial" w:cs="Arial" w:eastAsia="Arial" w:hAnsi="Arial"/>
          <w:sz w:val="23"/>
          <w:szCs w:val="23"/>
          <w:color w:val="auto"/>
          <w:vertAlign w:val="superscript"/>
        </w:rPr>
      </w:pPr>
    </w:p>
    <w:p>
      <w:pPr>
        <w:ind w:left="940" w:hanging="426"/>
        <w:spacing w:after="0" w:line="183" w:lineRule="auto"/>
        <w:tabs>
          <w:tab w:leader="none" w:pos="94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reflects a 1 for 4.86 reverse share split of our common and preferred shares effected on October 1, 2014; and</w:t>
      </w:r>
    </w:p>
    <w:p>
      <w:pPr>
        <w:spacing w:after="0" w:line="17" w:lineRule="exact"/>
        <w:rPr>
          <w:rFonts w:ascii="Arial" w:cs="Arial" w:eastAsia="Arial" w:hAnsi="Arial"/>
          <w:sz w:val="23"/>
          <w:szCs w:val="23"/>
          <w:color w:val="auto"/>
          <w:vertAlign w:val="superscript"/>
        </w:rPr>
      </w:pPr>
    </w:p>
    <w:p>
      <w:pPr>
        <w:ind w:left="940" w:hanging="426"/>
        <w:spacing w:after="0" w:line="183" w:lineRule="auto"/>
        <w:tabs>
          <w:tab w:leader="none" w:pos="94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with respect to financial measures, is presented in accordance with U.S. generally accepted accounting principles, or U.S. GAAP.</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60"/>
          </w:cols>
          <w:pgMar w:left="240" w:top="444" w:right="3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5266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52660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Financial Data</w:t>
      </w:r>
    </w:p>
    <w:p>
      <w:pPr>
        <w:spacing w:after="0" w:line="250"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have derived the following summary of statements of operations data for the years ended December 31, 2011, 2012 and 2013 from audited financial statements appearing elsewhere in this prospectus. We derived the following statements of operations data for the six months ended June 30, 2013 and 2014 and the balance sheet data as of June 30, 2014 from unaudited interim financial statements included elsewhere in this prospectus. In the opinion of management, the unaudited interim financial statements reflect all adjustments, which include only normal recurring adjustments, necessary for a fair presentation of the financial statements. Historical results are not necessarily indicative of the results that may be expected in the future and the results for the six months ended June 30, 2014 are not necessarily indicative of the results that may be expected for the full year or any other period. The summary financial data set forth below should be read together with the financial statements and the related notes to those statements, as well as the sections of this prospectus captioned “Selected Financial Data” and “Management’s Discussion and Analysis of Financial Condition and Results of Operations.” Our audited annual financial statements and unaudited interim financial statements have been prepared in accordance with U.S. GAAP.</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5"/>
              <w:spacing w:after="0" w:line="135"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5"/>
              <w:spacing w:after="0" w:line="135"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5"/>
              <w:spacing w:after="0" w:line="135" w:lineRule="exact"/>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5"/>
              <w:spacing w:after="0" w:line="135" w:lineRule="exact"/>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5"/>
              <w:spacing w:after="0" w:line="135"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right"/>
              <w:ind w:right="80"/>
              <w:spacing w:after="0" w:line="118"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gridSpan w:val="10"/>
          </w:tcPr>
          <w:p>
            <w:pPr>
              <w:jc w:val="right"/>
              <w:ind w:right="580"/>
              <w:spacing w:after="0"/>
              <w:rPr>
                <w:sz w:val="20"/>
                <w:szCs w:val="20"/>
                <w:color w:val="auto"/>
              </w:rPr>
            </w:pPr>
            <w:r>
              <w:rPr>
                <w:rFonts w:ascii="Arial" w:cs="Arial" w:eastAsia="Arial" w:hAnsi="Arial"/>
                <w:sz w:val="13"/>
                <w:szCs w:val="13"/>
                <w:b w:val="1"/>
                <w:bCs w:val="1"/>
                <w:color w:val="auto"/>
              </w:rPr>
              <w:t>(in thousands, except per share data)</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Statement of Operations Data:</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line="142" w:lineRule="exact"/>
              <w:rPr>
                <w:sz w:val="20"/>
                <w:szCs w:val="20"/>
                <w:color w:val="auto"/>
              </w:rPr>
            </w:pPr>
            <w:r>
              <w:rPr>
                <w:rFonts w:ascii="Arial" w:cs="Arial" w:eastAsia="Arial" w:hAnsi="Arial"/>
                <w:sz w:val="13"/>
                <w:szCs w:val="13"/>
                <w:color w:val="auto"/>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ind w:left="300"/>
              <w:spacing w:after="0" w:line="142" w:lineRule="exact"/>
              <w:rPr>
                <w:sz w:val="20"/>
                <w:szCs w:val="20"/>
                <w:color w:val="auto"/>
              </w:rPr>
            </w:pPr>
            <w:r>
              <w:rPr>
                <w:rFonts w:ascii="Arial" w:cs="Arial" w:eastAsia="Arial" w:hAnsi="Arial"/>
                <w:sz w:val="13"/>
                <w:szCs w:val="13"/>
                <w:color w:val="auto"/>
              </w:rPr>
              <w:t>Collaboration revenue</w:t>
            </w:r>
          </w:p>
        </w:tc>
        <w:tc>
          <w:tcPr>
            <w:tcW w:w="3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6,915</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14,300</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27,352</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10,985</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10,297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ind w:left="300"/>
              <w:spacing w:after="0" w:line="142" w:lineRule="exact"/>
              <w:rPr>
                <w:sz w:val="20"/>
                <w:szCs w:val="20"/>
                <w:color w:val="auto"/>
              </w:rPr>
            </w:pPr>
            <w:r>
              <w:rPr>
                <w:rFonts w:ascii="Arial" w:cs="Arial" w:eastAsia="Arial" w:hAnsi="Arial"/>
                <w:sz w:val="13"/>
                <w:szCs w:val="13"/>
                <w:color w:val="auto"/>
              </w:rPr>
              <w:t>Royalties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6,918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14,308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27,356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10,985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line="142" w:lineRule="exact"/>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ind w:left="300"/>
              <w:spacing w:after="0" w:line="142" w:lineRule="exact"/>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12,302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10,455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12,303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6,983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ind w:left="300"/>
              <w:spacing w:after="0" w:line="142" w:lineRule="exact"/>
              <w:rPr>
                <w:sz w:val="20"/>
                <w:szCs w:val="20"/>
                <w:color w:val="auto"/>
              </w:rPr>
            </w:pPr>
            <w:r>
              <w:rPr>
                <w:rFonts w:ascii="Arial" w:cs="Arial" w:eastAsia="Arial" w:hAnsi="Arial"/>
                <w:sz w:val="13"/>
                <w:szCs w:val="13"/>
                <w:color w:val="auto"/>
              </w:rPr>
              <w:t>General and administrative</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6,730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5,341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ind w:left="640"/>
              <w:spacing w:after="0" w:line="142" w:lineRule="exact"/>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19,032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17,461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17,644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9,811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7,889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 operations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(12,114)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1,174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ind w:left="300"/>
              <w:spacing w:after="0" w:line="142" w:lineRule="exact"/>
              <w:rPr>
                <w:sz w:val="20"/>
                <w:szCs w:val="20"/>
                <w:color w:val="auto"/>
              </w:rPr>
            </w:pPr>
            <w:r>
              <w:rPr>
                <w:rFonts w:ascii="Arial" w:cs="Arial" w:eastAsia="Arial" w:hAnsi="Arial"/>
                <w:sz w:val="13"/>
                <w:szCs w:val="13"/>
                <w:color w:val="auto"/>
              </w:rPr>
              <w:t>Interest income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153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144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338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76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ind w:left="300"/>
              <w:spacing w:after="0" w:line="142" w:lineRule="exact"/>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(91)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(93)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(64)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(41)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ind w:left="300"/>
              <w:spacing w:after="0" w:line="142" w:lineRule="exact"/>
              <w:rPr>
                <w:sz w:val="20"/>
                <w:szCs w:val="20"/>
                <w:color w:val="auto"/>
              </w:rPr>
            </w:pPr>
            <w:r>
              <w:rPr>
                <w:rFonts w:ascii="Arial" w:cs="Arial" w:eastAsia="Arial" w:hAnsi="Arial"/>
                <w:sz w:val="13"/>
                <w:szCs w:val="13"/>
                <w:color w:val="auto"/>
              </w:rPr>
              <w:t>Foreign exchange gain (loss)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60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2,035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1,920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(loss) on write-off and disposal of assets</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(1,030)</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(11,992)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(4,301)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12,032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3,140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2,603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(loss) attributable to participating securities</w:t>
            </w: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8,199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3,140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8" w:lineRule="exact"/>
              <w:rPr>
                <w:sz w:val="20"/>
                <w:szCs w:val="20"/>
                <w:color w:val="auto"/>
              </w:rPr>
            </w:pPr>
            <w:r>
              <w:rPr>
                <w:rFonts w:ascii="Arial" w:cs="Arial" w:eastAsia="Arial" w:hAnsi="Arial"/>
                <w:sz w:val="13"/>
                <w:szCs w:val="13"/>
                <w:color w:val="auto"/>
              </w:rPr>
              <w:t>Net income (loss) attributable to common shareholders</w:t>
            </w:r>
          </w:p>
        </w:tc>
        <w:tc>
          <w:tcPr>
            <w:tcW w:w="3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(11,992)</w:t>
            </w:r>
          </w:p>
        </w:tc>
        <w:tc>
          <w:tcPr>
            <w:tcW w:w="3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(4,301)</w:t>
            </w:r>
          </w:p>
        </w:tc>
        <w:tc>
          <w:tcPr>
            <w:tcW w:w="3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3,833</w:t>
            </w:r>
          </w:p>
        </w:tc>
        <w:tc>
          <w:tcPr>
            <w:tcW w:w="260" w:type="dxa"/>
            <w:vAlign w:val="bottom"/>
          </w:tcPr>
          <w:p>
            <w:pPr>
              <w:spacing w:after="0"/>
              <w:rPr>
                <w:sz w:val="12"/>
                <w:szCs w:val="12"/>
                <w:color w:val="auto"/>
              </w:rPr>
            </w:pPr>
          </w:p>
        </w:tc>
        <w:tc>
          <w:tcPr>
            <w:tcW w:w="3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Net income (loss) per share—basic</w:t>
            </w:r>
          </w:p>
        </w:tc>
        <w:tc>
          <w:tcPr>
            <w:tcW w:w="3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(9.06)</w:t>
            </w:r>
          </w:p>
        </w:tc>
        <w:tc>
          <w:tcPr>
            <w:tcW w:w="3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(3.24)</w:t>
            </w:r>
          </w:p>
        </w:tc>
        <w:tc>
          <w:tcPr>
            <w:tcW w:w="3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2.87</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0.00</w:t>
            </w:r>
          </w:p>
        </w:tc>
        <w:tc>
          <w:tcPr>
            <w:tcW w:w="2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line="142" w:lineRule="exact"/>
              <w:rPr>
                <w:sz w:val="20"/>
                <w:szCs w:val="20"/>
                <w:color w:val="auto"/>
              </w:rPr>
            </w:pPr>
            <w:r>
              <w:rPr>
                <w:rFonts w:ascii="Arial" w:cs="Arial" w:eastAsia="Arial" w:hAnsi="Arial"/>
                <w:sz w:val="13"/>
                <w:szCs w:val="13"/>
                <w:color w:val="auto"/>
              </w:rPr>
              <w:t>Net income (loss) per share—diluted</w:t>
            </w:r>
          </w:p>
        </w:tc>
        <w:tc>
          <w:tcPr>
            <w:tcW w:w="3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(9.06)</w:t>
            </w:r>
          </w:p>
        </w:tc>
        <w:tc>
          <w:tcPr>
            <w:tcW w:w="3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(3.24)</w:t>
            </w: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1.91</w:t>
            </w:r>
          </w:p>
        </w:tc>
        <w:tc>
          <w:tcPr>
            <w:tcW w:w="26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0.00</w:t>
            </w:r>
          </w:p>
        </w:tc>
        <w:tc>
          <w:tcPr>
            <w:tcW w:w="28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Weighted-average common shares outstanding used in computing basic net income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shd w:val="clear" w:color="auto" w:fill="CCEEFF"/>
          </w:tcPr>
          <w:p>
            <w:pPr>
              <w:ind w:left="300"/>
              <w:spacing w:after="0" w:line="143" w:lineRule="exact"/>
              <w:rPr>
                <w:sz w:val="20"/>
                <w:szCs w:val="20"/>
                <w:color w:val="auto"/>
              </w:rPr>
            </w:pPr>
            <w:r>
              <w:rPr>
                <w:rFonts w:ascii="Arial" w:cs="Arial" w:eastAsia="Arial" w:hAnsi="Arial"/>
                <w:sz w:val="13"/>
                <w:szCs w:val="13"/>
                <w:color w:val="auto"/>
              </w:rPr>
              <w:t>(loss) per share</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1,338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1,333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3"/>
                <w:szCs w:val="13"/>
                <w:color w:val="auto"/>
              </w:rPr>
              <w:t>Weighted-average common shares outstanding used in computing diluted net income</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tcPr>
          <w:p>
            <w:pPr>
              <w:ind w:left="300"/>
              <w:spacing w:after="0" w:line="143" w:lineRule="exact"/>
              <w:rPr>
                <w:sz w:val="20"/>
                <w:szCs w:val="20"/>
                <w:color w:val="auto"/>
              </w:rPr>
            </w:pPr>
            <w:r>
              <w:rPr>
                <w:rFonts w:ascii="Arial" w:cs="Arial" w:eastAsia="Arial" w:hAnsi="Arial"/>
                <w:sz w:val="13"/>
                <w:szCs w:val="13"/>
                <w:color w:val="auto"/>
              </w:rPr>
              <w:t>(loss) per share</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1,327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1,333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060" w:type="dxa"/>
            <w:vAlign w:val="bottom"/>
            <w:shd w:val="clear" w:color="auto" w:fill="CCEEFF"/>
          </w:tcPr>
          <w:p>
            <w:pPr>
              <w:spacing w:after="0" w:line="133" w:lineRule="exact"/>
              <w:rPr>
                <w:sz w:val="20"/>
                <w:szCs w:val="20"/>
                <w:color w:val="auto"/>
              </w:rPr>
            </w:pPr>
            <w:r>
              <w:rPr>
                <w:rFonts w:ascii="Arial" w:cs="Arial" w:eastAsia="Arial" w:hAnsi="Arial"/>
                <w:sz w:val="10"/>
                <w:szCs w:val="10"/>
                <w:color w:val="auto"/>
              </w:rPr>
              <w:t>Pro forma net income per share—basic</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0.29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line="142" w:lineRule="exact"/>
              <w:rPr>
                <w:sz w:val="20"/>
                <w:szCs w:val="20"/>
                <w:color w:val="auto"/>
              </w:rPr>
            </w:pPr>
            <w:r>
              <w:rPr>
                <w:rFonts w:ascii="Arial" w:cs="Arial" w:eastAsia="Arial" w:hAnsi="Arial"/>
                <w:sz w:val="10"/>
                <w:szCs w:val="10"/>
                <w:color w:val="auto"/>
              </w:rPr>
              <w:t>Pro forma net income per share—diluted</w:t>
            </w:r>
            <w:r>
              <w:rPr>
                <w:rFonts w:ascii="Arial" w:cs="Arial" w:eastAsia="Arial" w:hAnsi="Arial"/>
                <w:sz w:val="16"/>
                <w:szCs w:val="16"/>
                <w:color w:val="auto"/>
                <w:vertAlign w:val="superscript"/>
              </w:rPr>
              <w:t>(1)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1.24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0.26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Weighted-average common shares outstanding used in computing the proforma net</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shd w:val="clear" w:color="auto" w:fill="CCEEFF"/>
          </w:tcPr>
          <w:p>
            <w:pPr>
              <w:ind w:left="300"/>
              <w:spacing w:after="0" w:line="168" w:lineRule="exact"/>
              <w:rPr>
                <w:sz w:val="20"/>
                <w:szCs w:val="20"/>
                <w:color w:val="auto"/>
              </w:rPr>
            </w:pPr>
            <w:r>
              <w:rPr>
                <w:rFonts w:ascii="Arial" w:cs="Arial" w:eastAsia="Arial" w:hAnsi="Arial"/>
                <w:sz w:val="12"/>
                <w:szCs w:val="12"/>
                <w:color w:val="auto"/>
              </w:rPr>
              <w:t xml:space="preserve">income per share—basic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9,076</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line="148" w:lineRule="exact"/>
              <w:rPr>
                <w:sz w:val="20"/>
                <w:szCs w:val="20"/>
                <w:color w:val="auto"/>
              </w:rPr>
            </w:pPr>
            <w:r>
              <w:rPr>
                <w:rFonts w:ascii="Arial" w:cs="Arial" w:eastAsia="Arial" w:hAnsi="Arial"/>
                <w:sz w:val="13"/>
                <w:szCs w:val="13"/>
                <w:color w:val="auto"/>
              </w:rPr>
              <w:t>Weighted-average common shares outstanding used in computing the proforma net</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ind w:left="300"/>
              <w:spacing w:after="0" w:line="168" w:lineRule="exact"/>
              <w:rPr>
                <w:sz w:val="20"/>
                <w:szCs w:val="20"/>
                <w:color w:val="auto"/>
              </w:rPr>
            </w:pPr>
            <w:r>
              <w:rPr>
                <w:rFonts w:ascii="Arial" w:cs="Arial" w:eastAsia="Arial" w:hAnsi="Arial"/>
                <w:sz w:val="12"/>
                <w:szCs w:val="12"/>
                <w:color w:val="auto"/>
              </w:rPr>
              <w:t xml:space="preserve">income per share—diluted </w:t>
            </w:r>
            <w:r>
              <w:rPr>
                <w:rFonts w:ascii="Arial" w:cs="Arial" w:eastAsia="Arial" w:hAnsi="Arial"/>
                <w:sz w:val="19"/>
                <w:szCs w:val="19"/>
                <w:color w:val="auto"/>
                <w:vertAlign w:val="superscript"/>
              </w:rPr>
              <w:t>(1)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240" w:top="444" w:right="3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281545" cy="2880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28809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60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40" w:type="dxa"/>
            <w:vAlign w:val="bottom"/>
            <w:tcBorders>
              <w:bottom w:val="single" w:sz="8" w:color="auto"/>
            </w:tcBorders>
            <w:gridSpan w:val="2"/>
          </w:tcPr>
          <w:p>
            <w:pPr>
              <w:jc w:val="center"/>
              <w:ind w:left="475"/>
              <w:spacing w:after="0"/>
              <w:rPr>
                <w:sz w:val="20"/>
                <w:szCs w:val="20"/>
                <w:color w:val="auto"/>
              </w:rPr>
            </w:pPr>
            <w:r>
              <w:rPr>
                <w:rFonts w:ascii="Arial" w:cs="Arial" w:eastAsia="Arial" w:hAnsi="Arial"/>
                <w:sz w:val="13"/>
                <w:szCs w:val="13"/>
                <w:b w:val="1"/>
                <w:bCs w:val="1"/>
                <w:color w:val="auto"/>
                <w:w w:val="99"/>
              </w:rPr>
              <w:t>AS OF JUNE 30, 2014</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9"/>
        </w:trPr>
        <w:tc>
          <w:tcPr>
            <w:tcW w:w="60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720" w:type="dxa"/>
            <w:vAlign w:val="bottom"/>
            <w:gridSpan w:val="2"/>
          </w:tcPr>
          <w:p>
            <w:pPr>
              <w:jc w:val="right"/>
              <w:ind w:right="56"/>
              <w:spacing w:after="0" w:line="109"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9"/>
                <w:szCs w:val="9"/>
                <w:color w:val="auto"/>
              </w:rPr>
            </w:pPr>
          </w:p>
        </w:tc>
      </w:tr>
      <w:tr>
        <w:trPr>
          <w:trHeight w:val="168"/>
        </w:trPr>
        <w:tc>
          <w:tcPr>
            <w:tcW w:w="6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jc w:val="right"/>
              <w:ind w:right="115"/>
              <w:spacing w:after="0"/>
              <w:rPr>
                <w:sz w:val="20"/>
                <w:szCs w:val="20"/>
                <w:color w:val="auto"/>
              </w:rPr>
            </w:pPr>
            <w:r>
              <w:rPr>
                <w:rFonts w:ascii="Arial" w:cs="Arial" w:eastAsia="Arial" w:hAnsi="Arial"/>
                <w:sz w:val="13"/>
                <w:szCs w:val="13"/>
                <w:b w:val="1"/>
                <w:bCs w:val="1"/>
                <w:color w:val="auto"/>
              </w:rPr>
              <w:t>ACTUAL</w:t>
            </w:r>
          </w:p>
        </w:tc>
        <w:tc>
          <w:tcPr>
            <w:tcW w:w="1820" w:type="dxa"/>
            <w:vAlign w:val="bottom"/>
            <w:gridSpan w:val="3"/>
          </w:tcPr>
          <w:p>
            <w:pPr>
              <w:ind w:left="640"/>
              <w:spacing w:after="0" w:line="168"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(2)</w:t>
            </w:r>
          </w:p>
        </w:tc>
      </w:tr>
      <w:tr>
        <w:trPr>
          <w:trHeight w:val="131"/>
        </w:trPr>
        <w:tc>
          <w:tcPr>
            <w:tcW w:w="60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54"/>
              <w:spacing w:after="0" w:line="131" w:lineRule="exact"/>
              <w:rPr>
                <w:sz w:val="20"/>
                <w:szCs w:val="20"/>
                <w:color w:val="auto"/>
              </w:rPr>
            </w:pPr>
            <w:r>
              <w:rPr>
                <w:rFonts w:ascii="Arial" w:cs="Arial" w:eastAsia="Arial" w:hAnsi="Arial"/>
                <w:sz w:val="13"/>
                <w:szCs w:val="13"/>
                <w:b w:val="1"/>
                <w:bCs w:val="1"/>
                <w:color w:val="auto"/>
                <w:w w:val="98"/>
              </w:rPr>
              <w:t>(unaudited)</w:t>
            </w: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0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jc w:val="center"/>
              <w:ind w:right="154"/>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4"/>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Sheet Data:</w:t>
            </w:r>
          </w:p>
        </w:tc>
        <w:tc>
          <w:tcPr>
            <w:tcW w:w="2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rPr>
              <w:t>Cash, cash equivalents and marketable securities</w:t>
            </w:r>
          </w:p>
        </w:tc>
        <w:tc>
          <w:tcPr>
            <w:tcW w:w="3180" w:type="dxa"/>
            <w:vAlign w:val="bottom"/>
            <w:gridSpan w:val="2"/>
          </w:tcPr>
          <w:p>
            <w:pPr>
              <w:jc w:val="right"/>
              <w:ind w:right="15"/>
              <w:spacing w:after="0" w:line="194" w:lineRule="exact"/>
              <w:rPr>
                <w:sz w:val="20"/>
                <w:szCs w:val="20"/>
                <w:color w:val="auto"/>
              </w:rPr>
            </w:pPr>
            <w:r>
              <w:rPr>
                <w:rFonts w:ascii="Arial" w:cs="Arial" w:eastAsia="Arial" w:hAnsi="Arial"/>
                <w:sz w:val="17"/>
                <w:szCs w:val="17"/>
                <w:color w:val="auto"/>
              </w:rPr>
              <w:t>$ 44,710</w:t>
            </w:r>
          </w:p>
        </w:tc>
        <w:tc>
          <w:tcPr>
            <w:tcW w:w="1160" w:type="dxa"/>
            <w:vAlign w:val="bottom"/>
          </w:tcPr>
          <w:p>
            <w:pPr>
              <w:ind w:left="640"/>
              <w:spacing w:after="0" w:line="194" w:lineRule="exact"/>
              <w:rPr>
                <w:sz w:val="20"/>
                <w:szCs w:val="20"/>
                <w:color w:val="auto"/>
              </w:rPr>
            </w:pPr>
            <w:r>
              <w:rPr>
                <w:rFonts w:ascii="Arial" w:cs="Arial" w:eastAsia="Arial" w:hAnsi="Arial"/>
                <w:sz w:val="17"/>
                <w:szCs w:val="17"/>
                <w:color w:val="auto"/>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78,033</w:t>
            </w:r>
          </w:p>
        </w:tc>
        <w:tc>
          <w:tcPr>
            <w:tcW w:w="100" w:type="dxa"/>
            <w:vAlign w:val="bottom"/>
          </w:tcPr>
          <w:p>
            <w:pPr>
              <w:spacing w:after="0"/>
              <w:rPr>
                <w:sz w:val="16"/>
                <w:szCs w:val="16"/>
                <w:color w:val="auto"/>
              </w:rPr>
            </w:pPr>
          </w:p>
        </w:tc>
      </w:tr>
      <w:tr>
        <w:trPr>
          <w:trHeight w:val="194"/>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Working capital</w:t>
            </w:r>
          </w:p>
        </w:tc>
        <w:tc>
          <w:tcPr>
            <w:tcW w:w="3180" w:type="dxa"/>
            <w:vAlign w:val="bottom"/>
            <w:gridSpan w:val="2"/>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rPr>
              <w:t>27,977</w:t>
            </w: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61,300</w:t>
            </w:r>
          </w:p>
        </w:tc>
        <w:tc>
          <w:tcPr>
            <w:tcW w:w="100" w:type="dxa"/>
            <w:vAlign w:val="bottom"/>
            <w:shd w:val="clear" w:color="auto" w:fill="CCEEFF"/>
          </w:tcPr>
          <w:p>
            <w:pPr>
              <w:spacing w:after="0"/>
              <w:rPr>
                <w:sz w:val="16"/>
                <w:szCs w:val="16"/>
                <w:color w:val="auto"/>
              </w:rPr>
            </w:pPr>
          </w:p>
        </w:tc>
      </w:tr>
      <w:tr>
        <w:trPr>
          <w:trHeight w:val="194"/>
        </w:trPr>
        <w:tc>
          <w:tcPr>
            <w:tcW w:w="6060" w:type="dxa"/>
            <w:vAlign w:val="bottom"/>
          </w:tcPr>
          <w:p>
            <w:pPr>
              <w:spacing w:after="0" w:line="194" w:lineRule="exact"/>
              <w:rPr>
                <w:sz w:val="20"/>
                <w:szCs w:val="20"/>
                <w:color w:val="auto"/>
              </w:rPr>
            </w:pPr>
            <w:r>
              <w:rPr>
                <w:rFonts w:ascii="Arial" w:cs="Arial" w:eastAsia="Arial" w:hAnsi="Arial"/>
                <w:sz w:val="17"/>
                <w:szCs w:val="17"/>
                <w:color w:val="auto"/>
              </w:rPr>
              <w:t>Total assets</w:t>
            </w:r>
          </w:p>
        </w:tc>
        <w:tc>
          <w:tcPr>
            <w:tcW w:w="3180" w:type="dxa"/>
            <w:vAlign w:val="bottom"/>
            <w:gridSpan w:val="2"/>
          </w:tcPr>
          <w:p>
            <w:pPr>
              <w:jc w:val="right"/>
              <w:ind w:right="15"/>
              <w:spacing w:after="0" w:line="194" w:lineRule="exact"/>
              <w:rPr>
                <w:sz w:val="20"/>
                <w:szCs w:val="20"/>
                <w:color w:val="auto"/>
              </w:rPr>
            </w:pPr>
            <w:r>
              <w:rPr>
                <w:rFonts w:ascii="Arial" w:cs="Arial" w:eastAsia="Arial" w:hAnsi="Arial"/>
                <w:sz w:val="17"/>
                <w:szCs w:val="17"/>
                <w:color w:val="auto"/>
              </w:rPr>
              <w:t>50,712</w:t>
            </w:r>
          </w:p>
        </w:tc>
        <w:tc>
          <w:tcPr>
            <w:tcW w:w="1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84,035</w:t>
            </w:r>
          </w:p>
        </w:tc>
        <w:tc>
          <w:tcPr>
            <w:tcW w:w="100" w:type="dxa"/>
            <w:vAlign w:val="bottom"/>
          </w:tcPr>
          <w:p>
            <w:pPr>
              <w:spacing w:after="0"/>
              <w:rPr>
                <w:sz w:val="16"/>
                <w:szCs w:val="16"/>
                <w:color w:val="auto"/>
              </w:rPr>
            </w:pPr>
          </w:p>
        </w:tc>
      </w:tr>
      <w:tr>
        <w:trPr>
          <w:trHeight w:val="194"/>
        </w:trPr>
        <w:tc>
          <w:tcPr>
            <w:tcW w:w="6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Redeemable convertible preferred shares</w:t>
            </w:r>
          </w:p>
        </w:tc>
        <w:tc>
          <w:tcPr>
            <w:tcW w:w="3180" w:type="dxa"/>
            <w:vAlign w:val="bottom"/>
            <w:gridSpan w:val="2"/>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rPr>
              <w:t>102,488</w:t>
            </w:r>
          </w:p>
        </w:tc>
        <w:tc>
          <w:tcPr>
            <w:tcW w:w="1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 shareholders’ deficit</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(75,382)</w:t>
            </w:r>
          </w:p>
        </w:tc>
        <w:tc>
          <w:tcPr>
            <w:tcW w:w="1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60,429</w:t>
            </w:r>
          </w:p>
        </w:tc>
        <w:tc>
          <w:tcPr>
            <w:tcW w:w="100" w:type="dxa"/>
            <w:vAlign w:val="bottom"/>
          </w:tcPr>
          <w:p>
            <w:pPr>
              <w:spacing w:after="0"/>
              <w:rPr>
                <w:sz w:val="17"/>
                <w:szCs w:val="17"/>
                <w:color w:val="auto"/>
              </w:rPr>
            </w:pPr>
          </w:p>
        </w:tc>
      </w:tr>
    </w:tbl>
    <w:p>
      <w:pPr>
        <w:spacing w:after="0" w:line="97" w:lineRule="exact"/>
        <w:rPr>
          <w:sz w:val="20"/>
          <w:szCs w:val="20"/>
          <w:color w:val="auto"/>
        </w:rPr>
      </w:pPr>
    </w:p>
    <w:p>
      <w:pPr>
        <w:ind w:left="520" w:hanging="328"/>
        <w:spacing w:after="0"/>
        <w:tabs>
          <w:tab w:leader="none" w:pos="52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Pro forma net income (loss) per share represents net income (loss) divided by the pro forma weighted-average shares outstanding, and reflects</w:t>
      </w:r>
    </w:p>
    <w:p>
      <w:pPr>
        <w:ind w:left="520" w:right="40"/>
        <w:spacing w:after="0" w:line="237" w:lineRule="auto"/>
        <w:rPr>
          <w:rFonts w:ascii="Arial" w:cs="Arial" w:eastAsia="Arial" w:hAnsi="Arial"/>
          <w:sz w:val="20"/>
          <w:szCs w:val="20"/>
          <w:color w:val="auto"/>
          <w:vertAlign w:val="superscript"/>
        </w:rPr>
      </w:pPr>
      <w:r>
        <w:rPr>
          <w:rFonts w:ascii="Arial" w:cs="Arial" w:eastAsia="Arial" w:hAnsi="Arial"/>
          <w:sz w:val="17"/>
          <w:szCs w:val="17"/>
          <w:color w:val="auto"/>
        </w:rPr>
        <w:t>(i) the conversion of all outstanding preferred shares into an aggregate of 7,725,924 common shares, including the conversion of all of our outstanding Series A preferred shares and Series B preferred shares into 2,146,353 common shares and the conversion of all of our outstanding Series E preferred shares into 5,579,571 common shares, based upon the initial public offering price of $9.00 per share and the adjustment provisions relating to our Series E preferred shares described in “Description of Share Capital,” upon the closing of this offering, and (ii) the conversion of the weighted-average number of outstanding subscription rights for the period into common shares.</w:t>
      </w:r>
    </w:p>
    <w:p>
      <w:pPr>
        <w:spacing w:after="0" w:line="2" w:lineRule="exact"/>
        <w:rPr>
          <w:rFonts w:ascii="Arial" w:cs="Arial" w:eastAsia="Arial" w:hAnsi="Arial"/>
          <w:sz w:val="20"/>
          <w:szCs w:val="20"/>
          <w:color w:val="auto"/>
          <w:vertAlign w:val="superscript"/>
        </w:rPr>
      </w:pPr>
    </w:p>
    <w:p>
      <w:pPr>
        <w:ind w:left="520" w:right="40" w:hanging="328"/>
        <w:spacing w:after="0" w:line="226" w:lineRule="auto"/>
        <w:tabs>
          <w:tab w:leader="none" w:pos="52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Reflects, on a pro forma basis, (i) the automatic conversion described in footnote (1) and, on an as adjusted basis, (ii) the issuance and sale by us of approximately $4.5 million of our common shares in the concurrent private placement to an affiliate of Genentech, after deducting fees payable in connection with the concurrent private placement, and (iii) the sale and issuance by us of 4,000,000 common shares hereunder at the initial public offering price of $9.00 per share, after deducting underwriting discounts and commissions and estimated offering expenses payable by us.</w:t>
      </w: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60"/>
          </w:cols>
          <w:pgMar w:left="240" w:top="444" w:right="3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23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Investing in our common shares involves a high degree of risk. You should carefully consider the risks and uncertainties described below together with all of the other information contained in this prospectus, including our financial statements and the related notes appearing at the end of this prospectus and “Management’s Discussion and Analysis of Financial Condition and Results of Operations,” before deciding whether to invest in our common shares. If any of the following risks actually occur, our business, growth prospects, operating results and financial condition could suffer materially, the trading price of our common shares could decline and you could lose all or part of your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Capital Requirements</w:t>
      </w:r>
    </w:p>
    <w:p>
      <w:pPr>
        <w:spacing w:after="0" w:line="50"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b w:val="1"/>
          <w:bCs w:val="1"/>
          <w:i w:val="1"/>
          <w:iCs w:val="1"/>
          <w:color w:val="auto"/>
        </w:rPr>
        <w:t>We have incurred significant losses since our inception and anticipate that we will continue to incur significant losses for the foreseeable future.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are a clinical-stage biotechnology company and, other than the year ended December 31, 2013 and the six months ended June 30, 2014, we have recorded net losses in each reporting period since inception in 1996, and we do not expect to have sustained profitability for the foreseeable future. We had net losses of $12.0 million and $4.3 million for the years ended December 31, 2011 and 2012, respectively, and had an accumulated deficit of $114.1 million as of June 30, 2014.</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through the sale of equity securities and funding received from our licensees and collaborators. We have not generated any royalty revenue from product sales and our product candidates will require substantial additional investment before they will provide us with any product royalty revenue.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We expect to incur significant expenses and increasing operating losses for the foreseeable future as we:</w:t>
      </w:r>
    </w:p>
    <w:p>
      <w:pPr>
        <w:ind w:left="780" w:hanging="441"/>
        <w:spacing w:after="0" w:line="216"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continue our research and preclinical and clinical development of our product candidates;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expand the scope of our clinical studies for our current and prospective product candidates;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initiate additional preclinical, clinical or other studies for our product candidates, including under our collaboration agreements;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change or add additional manufacturers or suppliers;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seek regulatory and marketing approvals for any of our product candidates that successfully complete clinical studies;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seek to identify and validate additional product candidates;</w:t>
      </w: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acquire or in-license other product candidates and technologies;</w:t>
      </w:r>
    </w:p>
    <w:p>
      <w:pPr>
        <w:ind w:left="780" w:right="160" w:hanging="441"/>
        <w:spacing w:after="0" w:line="187"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make milestone or other payments under our in-license agreements including, without limitation, our agreements with the University of British Columbia, or UBC, and the Memorial University of Newfoundland;</w:t>
      </w:r>
    </w:p>
    <w:p>
      <w:pPr>
        <w:spacing w:after="0" w:line="1" w:lineRule="exact"/>
        <w:rPr>
          <w:rFonts w:ascii="Arial" w:cs="Arial" w:eastAsia="Arial" w:hAnsi="Arial"/>
          <w:sz w:val="26"/>
          <w:szCs w:val="26"/>
          <w:color w:val="auto"/>
          <w:vertAlign w:val="superscript"/>
        </w:rPr>
      </w:pPr>
    </w:p>
    <w:p>
      <w:pPr>
        <w:ind w:left="780" w:hanging="441"/>
        <w:spacing w:after="0" w:line="192" w:lineRule="auto"/>
        <w:tabs>
          <w:tab w:leader="none" w:pos="7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maintain, protect and expand our intellectual property portfolio;</w:t>
      </w:r>
    </w:p>
    <w:p>
      <w:pPr>
        <w:ind w:left="780" w:right="160" w:hanging="441"/>
        <w:spacing w:after="0" w:line="187"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establish a sales, marketing and distribution infrastructure to commercialize any products for which we or one of our collaborators may obtain marketing approval, and for which we have maintained commercial rights;</w:t>
      </w:r>
    </w:p>
    <w:p>
      <w:pPr>
        <w:spacing w:after="0" w:line="1" w:lineRule="exact"/>
        <w:rPr>
          <w:rFonts w:ascii="Arial" w:cs="Arial" w:eastAsia="Arial" w:hAnsi="Arial"/>
          <w:sz w:val="26"/>
          <w:szCs w:val="26"/>
          <w:color w:val="auto"/>
          <w:vertAlign w:val="superscript"/>
        </w:rPr>
      </w:pPr>
    </w:p>
    <w:p>
      <w:pPr>
        <w:ind w:left="780" w:right="1180" w:hanging="441"/>
        <w:spacing w:after="0" w:line="187" w:lineRule="auto"/>
        <w:tabs>
          <w:tab w:leader="none" w:pos="780" w:val="left"/>
        </w:tabs>
        <w:numPr>
          <w:ilvl w:val="0"/>
          <w:numId w:val="10"/>
        </w:numPr>
        <w:rPr>
          <w:rFonts w:ascii="Arial" w:cs="Arial" w:eastAsia="Arial" w:hAnsi="Arial"/>
          <w:sz w:val="26"/>
          <w:szCs w:val="26"/>
          <w:color w:val="auto"/>
          <w:vertAlign w:val="superscript"/>
        </w:rPr>
      </w:pPr>
      <w:r>
        <w:rPr>
          <w:rFonts w:ascii="Arial" w:cs="Arial" w:eastAsia="Arial" w:hAnsi="Arial"/>
          <w:sz w:val="17"/>
          <w:szCs w:val="17"/>
          <w:color w:val="auto"/>
        </w:rPr>
        <w:t>create additional infrastructure to support our operations as a public company and our product development and planned future commercialization efforts;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experience any delays or encounter issues with any of the above.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generated any royalty revenue from product sales and may never become profitable on a U.S. GAAP basis.</w:t>
      </w:r>
    </w:p>
    <w:p>
      <w:pPr>
        <w:spacing w:after="0" w:line="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ability to generate meaningful revenue and achieve profitability on a U.S. GAAP basis depends on our ability, alone or with strategic collaborators, to successfully complete the development of, and obtain the regulatory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4" w:right="2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To date, we have not generated any royalty revenue from product sales, and do not otherwise anticipate generating revenue from product sales other than from sales of Glybera under our license to uniQure Biopharma B.V., or uniQure, for the foreseeable future, if ever. If any of our product candidates fail in clinical trials or do not gain regulatory approval, or if Glybera or any of our future products, if any, once approved, fails to achieve market acceptance or adequate market share, we may never become profitable. Although we were profitable for the year ended December 31, 2013 and the six months ended June 30, 2014, we may not be able to sustain profitability in subsequent periods. Our ability to generate future revenue from product sales depends heavily on our success, and the success of our collaborators, in:</w:t>
      </w:r>
    </w:p>
    <w:p>
      <w:pPr>
        <w:spacing w:after="0" w:line="30" w:lineRule="exact"/>
        <w:rPr>
          <w:sz w:val="20"/>
          <w:szCs w:val="20"/>
          <w:color w:val="auto"/>
        </w:rPr>
      </w:pPr>
    </w:p>
    <w:p>
      <w:pPr>
        <w:ind w:left="780" w:hanging="441"/>
        <w:spacing w:after="0"/>
        <w:tabs>
          <w:tab w:leader="none" w:pos="780"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completing research, preclinical and clinical development of our product candidates;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seeking and obtaining regulatory and marketing approvals for product candidates for which we complete clinical studies;</w:t>
      </w:r>
    </w:p>
    <w:p>
      <w:pPr>
        <w:spacing w:after="0" w:line="17" w:lineRule="exact"/>
        <w:rPr>
          <w:rFonts w:ascii="Arial" w:cs="Arial" w:eastAsia="Arial" w:hAnsi="Arial"/>
          <w:sz w:val="23"/>
          <w:szCs w:val="23"/>
          <w:color w:val="auto"/>
          <w:vertAlign w:val="superscript"/>
        </w:rPr>
      </w:pPr>
    </w:p>
    <w:p>
      <w:pPr>
        <w:ind w:left="780" w:right="240" w:hanging="441"/>
        <w:spacing w:after="0" w:line="191" w:lineRule="auto"/>
        <w:tabs>
          <w:tab w:leader="none" w:pos="780"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commercializing products for which we obtain regulatory and marketing approval, either with a collaborator or, if launched independently, by establishing sales, marketing and distribution infrastructure;</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negotiating favorable terms in any collaboration, licensing or other arrangements into which we may enter;</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obtaining market acceptance of products for which we obtain regulatory and marketing approval as therapies;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addressing any competing technological and market developments;</w:t>
      </w:r>
    </w:p>
    <w:p>
      <w:pPr>
        <w:spacing w:after="0" w:line="17" w:lineRule="exact"/>
        <w:rPr>
          <w:rFonts w:ascii="Arial" w:cs="Arial" w:eastAsia="Arial" w:hAnsi="Arial"/>
          <w:sz w:val="23"/>
          <w:szCs w:val="23"/>
          <w:color w:val="auto"/>
          <w:vertAlign w:val="superscript"/>
        </w:rPr>
      </w:pPr>
    </w:p>
    <w:p>
      <w:pPr>
        <w:ind w:left="780" w:right="480" w:hanging="441"/>
        <w:spacing w:after="0" w:line="191" w:lineRule="auto"/>
        <w:tabs>
          <w:tab w:leader="none" w:pos="780" w:val="left"/>
        </w:tabs>
        <w:numPr>
          <w:ilvl w:val="0"/>
          <w:numId w:val="11"/>
        </w:numPr>
        <w:rPr>
          <w:rFonts w:ascii="Arial" w:cs="Arial" w:eastAsia="Arial" w:hAnsi="Arial"/>
          <w:sz w:val="26"/>
          <w:szCs w:val="26"/>
          <w:color w:val="auto"/>
          <w:vertAlign w:val="superscript"/>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developing a sustainable, scalable, reproducible, and transferable manufacturing processes for any of our products approved in the future;</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maintaining, protecting, expanding and enforcing our portfolio of intellectual property rights, including patents, trade secrets and know-how;</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implementing additional internal systems and infrastructure, as needed;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attracting, hiring and retaining qualified personnel.</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trading price might be harmed.</w:t>
      </w:r>
    </w:p>
    <w:p>
      <w:pPr>
        <w:spacing w:after="0" w:line="24"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b w:val="1"/>
          <w:bCs w:val="1"/>
          <w:i w:val="1"/>
          <w:iCs w:val="1"/>
          <w:color w:val="auto"/>
        </w:rPr>
        <w:t>Even if this offering is successful, 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six months ended June 30, 2014, we incurred approximately $5.1 million of costs associated with research and development, exclusive of costs incurred by our collaborators in developing our current product and product candidates.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40"/>
          </w:cols>
          <w:pgMar w:left="240" w:top="444" w:right="3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anticipated net proceeds from this offering and the concurrent private placement are not expected to be sufficient to complete clinical development of any of our product candidates and prepare for commercializing any product candidate which receives regulatory approval. Accordingly, we will likely require substantial additional capital beyond the expected proceeds of this offering to continue our clinical development and potential commercialization activities. Our future capital requirements depend on many factors, including but not limited to:</w:t>
      </w:r>
    </w:p>
    <w:p>
      <w:pPr>
        <w:spacing w:after="0" w:line="24" w:lineRule="exact"/>
        <w:rPr>
          <w:sz w:val="20"/>
          <w:szCs w:val="20"/>
          <w:color w:val="auto"/>
        </w:rPr>
      </w:pPr>
    </w:p>
    <w:p>
      <w:pPr>
        <w:ind w:left="780" w:hanging="441"/>
        <w:spacing w:after="0"/>
        <w:tabs>
          <w:tab w:leader="none" w:pos="780"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the number and characteristics of the future product candidates we pursue;</w:t>
      </w:r>
    </w:p>
    <w:p>
      <w:pPr>
        <w:spacing w:after="0" w:line="17" w:lineRule="exact"/>
        <w:rPr>
          <w:rFonts w:ascii="Arial" w:cs="Arial" w:eastAsia="Arial" w:hAnsi="Arial"/>
          <w:sz w:val="26"/>
          <w:szCs w:val="26"/>
          <w:color w:val="auto"/>
          <w:vertAlign w:val="superscript"/>
        </w:rPr>
      </w:pPr>
    </w:p>
    <w:p>
      <w:pPr>
        <w:ind w:left="780" w:right="460" w:hanging="441"/>
        <w:spacing w:after="0" w:line="191" w:lineRule="auto"/>
        <w:tabs>
          <w:tab w:leader="none" w:pos="780"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the scope, progress, results and costs of independently researching and developing any of our future product candidates, and conducting preclinical research and clinical trials;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whether our existing collaborations continue to generate substantial milestone payments and, ultimately, royalties on future products for us;</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the timing of, and the costs involved in, obtaining regulatory approvals for any future product candidates we develop independently;</w:t>
      </w:r>
    </w:p>
    <w:p>
      <w:pPr>
        <w:spacing w:after="0" w:line="17" w:lineRule="exact"/>
        <w:rPr>
          <w:rFonts w:ascii="Arial" w:cs="Arial" w:eastAsia="Arial" w:hAnsi="Arial"/>
          <w:sz w:val="23"/>
          <w:szCs w:val="23"/>
          <w:color w:val="auto"/>
          <w:vertAlign w:val="superscript"/>
        </w:rPr>
      </w:pPr>
    </w:p>
    <w:p>
      <w:pPr>
        <w:ind w:left="780" w:right="240" w:hanging="441"/>
        <w:spacing w:after="0" w:line="191" w:lineRule="auto"/>
        <w:tabs>
          <w:tab w:leader="none" w:pos="780"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the cost of manufacturing our future products, if any;</w:t>
      </w:r>
    </w:p>
    <w:p>
      <w:pPr>
        <w:spacing w:after="0" w:line="17" w:lineRule="exact"/>
        <w:rPr>
          <w:rFonts w:ascii="Arial" w:cs="Arial" w:eastAsia="Arial" w:hAnsi="Arial"/>
          <w:sz w:val="25"/>
          <w:szCs w:val="25"/>
          <w:color w:val="auto"/>
          <w:vertAlign w:val="superscript"/>
        </w:rPr>
      </w:pPr>
    </w:p>
    <w:p>
      <w:pPr>
        <w:ind w:left="780" w:right="320" w:hanging="441"/>
        <w:spacing w:after="0" w:line="191" w:lineRule="auto"/>
        <w:tabs>
          <w:tab w:leader="none" w:pos="780"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our ability to maintain existing collaborations and to establish new collaborations, licensing or other arrangements and the financial terms of such agreements;</w:t>
      </w:r>
    </w:p>
    <w:p>
      <w:pPr>
        <w:spacing w:after="0" w:line="19" w:lineRule="exact"/>
        <w:rPr>
          <w:rFonts w:ascii="Arial" w:cs="Arial" w:eastAsia="Arial" w:hAnsi="Arial"/>
          <w:sz w:val="26"/>
          <w:szCs w:val="26"/>
          <w:color w:val="auto"/>
          <w:vertAlign w:val="superscript"/>
        </w:rPr>
      </w:pPr>
    </w:p>
    <w:p>
      <w:pPr>
        <w:ind w:left="780" w:right="200" w:hanging="441"/>
        <w:spacing w:after="0" w:line="191" w:lineRule="auto"/>
        <w:tabs>
          <w:tab w:leader="none" w:pos="780"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the costs involved in preparing, filing, prosecuting, maintaining, defending and enforcing patents, including litigation costs and the outcome of such litigation;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the timing, receipt and amount of sales of, or royalties on, Glybera, and our future products, if any.</w:t>
      </w:r>
    </w:p>
    <w:p>
      <w:pPr>
        <w:spacing w:after="0" w:line="108"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We are unable to estimate the funds we will actually require to complete research and development of our product candidates or the funds required to commercialize any resulting product in the future.</w:t>
      </w:r>
    </w:p>
    <w:p>
      <w:pPr>
        <w:spacing w:after="0" w:line="10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Upon the completion of this offering and the concurrent private placement, based upon our anticipated operating expenditures, we expect that the net proceeds from this offering and the concurrent private placement, research funding that we expect to receive under our existing collaborations and our existing cash, cash equivalents and marketable securities will be sufficient to fund our current operations for at least the next 12 to 24 months.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4"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 to our technologies or product candidates.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4"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and financial condition.</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9"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b w:val="1"/>
          <w:bCs w:val="1"/>
          <w:i w:val="1"/>
          <w:iCs w:val="1"/>
          <w:color w:val="auto"/>
        </w:rPr>
        <w:t>We are subject to risks associated with currency fluctuations, and changes in foreign currency exchange rates could impact our results of operations.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As of June 30, 2014, approximately 19% of our cash and cash equivalents was denominated in U.S. dollars. Historically, a portion of our operating expenses and a substantial portion of our revenue has been denominated in U.S. dollars. Because our functional currency is the Canadian dollar, changes in the exchange rate between the Canadian dollar and the U.S. dollar could materially impact our reported results of operations and distort period to period comparisons. In particular, because of the difference in the amount of our revenue and expenses that are in U.S. dollars relative to Canadian dollars, depreciation in the U.S. dollar relative to the Canadian dollar could result in a material increase in reported expenses relative to revenue, and therefore could cause our operating income (expense) to appear to decline materially, particularly relative to prior periods. The converse is true if the U.S. dollar were to appreciate relative to the Canadian dollar. Fluctuations in foreign currency exchange rates also impact the reporting of our receivables and payables in non-Canadian currencies. Translation gains or losses related to the translation of our net assets from our Canadian functional currency into the U.S. reporting currency are included as a component of accumulated comprehensive income on our balance sheet.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13" w:lineRule="exact"/>
        <w:rPr>
          <w:sz w:val="20"/>
          <w:szCs w:val="20"/>
          <w:color w:val="auto"/>
        </w:rPr>
      </w:pPr>
    </w:p>
    <w:p>
      <w:pPr>
        <w:jc w:val="both"/>
        <w:ind w:right="120"/>
        <w:spacing w:after="0" w:line="239"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trading price of our common shares.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or our collaborators, may fail to successfully develop our product candidates.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product candidates, including TV-45070 and GDC-0276 and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June 2013, we paid Isis Pharmaceuticals, Inc., or Isis, an option exercise fee of $2.0 million to obtain an exclusive license to develop, manufacture and commercialize antisense products under our collaboration and license agreement with Isis; however, in the fourth quarter of 2013, we discontinued development of product candidates under this program as the preclinical data did not support the continued advancement of any product candidates.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4"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620"/>
        <w:spacing w:after="0" w:line="265" w:lineRule="auto"/>
        <w:rPr>
          <w:sz w:val="20"/>
          <w:szCs w:val="20"/>
          <w:color w:val="auto"/>
        </w:rPr>
      </w:pPr>
      <w:r>
        <w:rPr>
          <w:rFonts w:ascii="Arial" w:cs="Arial" w:eastAsia="Arial" w:hAnsi="Arial"/>
          <w:sz w:val="17"/>
          <w:szCs w:val="17"/>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terms of our license agreement with uniQure, we rely on uniQure, or its sublicensees, to market Glybera and to obtain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Despite the efforts of uniQure and Chiesi, Glybera may not gain market acceptance among physicians, patients, healthcare payers and the medical community. The commercial success of Glybera will depend on a number of factors, including:</w:t>
      </w:r>
    </w:p>
    <w:p>
      <w:pPr>
        <w:spacing w:after="0" w:line="27" w:lineRule="exact"/>
        <w:rPr>
          <w:sz w:val="20"/>
          <w:szCs w:val="20"/>
          <w:color w:val="auto"/>
        </w:rPr>
      </w:pPr>
    </w:p>
    <w:p>
      <w:pPr>
        <w:ind w:left="780" w:hanging="441"/>
        <w:spacing w:after="0"/>
        <w:tabs>
          <w:tab w:leader="none" w:pos="780" w:val="left"/>
        </w:tabs>
        <w:numPr>
          <w:ilvl w:val="0"/>
          <w:numId w:val="13"/>
        </w:numPr>
        <w:rPr>
          <w:rFonts w:ascii="Arial" w:cs="Arial" w:eastAsia="Arial" w:hAnsi="Arial"/>
          <w:sz w:val="26"/>
          <w:szCs w:val="26"/>
          <w:color w:val="auto"/>
          <w:vertAlign w:val="superscript"/>
        </w:rPr>
      </w:pPr>
      <w:r>
        <w:rPr>
          <w:rFonts w:ascii="Arial" w:cs="Arial" w:eastAsia="Arial" w:hAnsi="Arial"/>
          <w:sz w:val="17"/>
          <w:szCs w:val="17"/>
          <w:color w:val="auto"/>
        </w:rPr>
        <w:t>establishment and demonstration of clinical efficacy and safety and acceptance of the same by the medical community;</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commercialization of competing products;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sufficient commercial supply of Glybera;</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cost-effectiveness of Glybera;</w:t>
      </w:r>
    </w:p>
    <w:p>
      <w:pPr>
        <w:spacing w:after="0" w:line="17" w:lineRule="exact"/>
        <w:rPr>
          <w:rFonts w:ascii="Arial" w:cs="Arial" w:eastAsia="Arial" w:hAnsi="Arial"/>
          <w:sz w:val="23"/>
          <w:szCs w:val="23"/>
          <w:color w:val="auto"/>
          <w:vertAlign w:val="superscript"/>
        </w:rPr>
      </w:pPr>
    </w:p>
    <w:p>
      <w:pPr>
        <w:ind w:left="780" w:right="180" w:hanging="441"/>
        <w:spacing w:after="0" w:line="191" w:lineRule="auto"/>
        <w:tabs>
          <w:tab w:leader="none" w:pos="780" w:val="left"/>
        </w:tabs>
        <w:numPr>
          <w:ilvl w:val="0"/>
          <w:numId w:val="13"/>
        </w:numPr>
        <w:rPr>
          <w:rFonts w:ascii="Arial" w:cs="Arial" w:eastAsia="Arial" w:hAnsi="Arial"/>
          <w:sz w:val="26"/>
          <w:szCs w:val="26"/>
          <w:color w:val="auto"/>
          <w:vertAlign w:val="superscript"/>
        </w:rPr>
      </w:pPr>
      <w:r>
        <w:rPr>
          <w:rFonts w:ascii="Arial" w:cs="Arial" w:eastAsia="Arial" w:hAnsi="Arial"/>
          <w:sz w:val="17"/>
          <w:szCs w:val="17"/>
          <w:color w:val="auto"/>
        </w:rPr>
        <w:t>the availability of coverage and adequate reimbursement from third parties, including governmental payers, managed care organizations, and private health insurers;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the relative cost, safety and efficacy of therapies that exist now or may be developed in the future;</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whether the product can be manufactured in commercial quantities at acceptable cost;</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marketing and distribution support for Glybera;</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the effect of current and future healthcare laws;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the acceptance of gene therapies as a class of treatment;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any market or regulatory exclusivities applicable to the product.</w:t>
      </w:r>
    </w:p>
    <w:p>
      <w:pPr>
        <w:spacing w:after="0" w:line="108" w:lineRule="exact"/>
        <w:rPr>
          <w:sz w:val="20"/>
          <w:szCs w:val="20"/>
          <w:color w:val="auto"/>
        </w:rPr>
      </w:pPr>
    </w:p>
    <w:p>
      <w:pPr>
        <w:jc w:val="both"/>
        <w:ind w:right="180"/>
        <w:spacing w:after="0" w:line="241" w:lineRule="auto"/>
        <w:rPr>
          <w:sz w:val="20"/>
          <w:szCs w:val="20"/>
          <w:color w:val="auto"/>
        </w:rPr>
      </w:pPr>
      <w:r>
        <w:rPr>
          <w:rFonts w:ascii="Arial" w:cs="Arial" w:eastAsia="Arial" w:hAnsi="Arial"/>
          <w:sz w:val="17"/>
          <w:szCs w:val="17"/>
          <w:color w:val="auto"/>
        </w:rPr>
        <w:t>To date, the FDA has never approved any gene therapy product as a treatment for any indication in the U.S. and the FDA may never approve Glybera. Any failure of uniQure or its sublicensee to successfully commercialize Glybera could have a material adverse effect on our business, growth prospects, operating results and financial condition and could result in a substantial decline in the price of our common shares.</w:t>
      </w:r>
    </w:p>
    <w:p>
      <w:pPr>
        <w:spacing w:after="0" w:line="24"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key competitive factors affecting the success of all of our product candidates, if approved, are likely to be</w:t>
      </w:r>
    </w:p>
    <w:p>
      <w:pPr>
        <w:ind w:right="20"/>
        <w:spacing w:after="0" w:line="245" w:lineRule="auto"/>
        <w:rPr>
          <w:sz w:val="20"/>
          <w:szCs w:val="20"/>
          <w:color w:val="auto"/>
        </w:rPr>
      </w:pPr>
      <w:r>
        <w:rPr>
          <w:rFonts w:ascii="Arial" w:cs="Arial" w:eastAsia="Arial" w:hAnsi="Arial"/>
          <w:sz w:val="17"/>
          <w:szCs w:val="17"/>
          <w:color w:val="auto"/>
        </w:rPr>
        <w:t>their efficacy, safety, convenience and price; the effectiveness of alternative products; the level of generic competition; and the availability of coverage and adequate reimbursement from government and other third-party payors.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With respect to target discovery activities, competitors and other third parties, including academic and clinical researchers, may access rare families and identify novel targets for drug development before we do.</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11"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or therapies that are safer, more effective, have fewer or less severe side effects, are more convenient or are less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4"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payors.</w:t>
      </w:r>
    </w:p>
    <w:p>
      <w:pPr>
        <w:spacing w:after="0" w:line="10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There are no approved gene therapies currently on the market for lipoprotein lipase deficiency, or LPLD, in the U.S.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lipoprotein lipase, or LPL, sequence containing the LPL</w:t>
      </w:r>
      <w:r>
        <w:rPr>
          <w:rFonts w:ascii="Arial" w:cs="Arial" w:eastAsia="Arial" w:hAnsi="Arial"/>
          <w:sz w:val="10"/>
          <w:szCs w:val="10"/>
          <w:color w:val="auto"/>
        </w:rPr>
        <w:t>S447X</w:t>
      </w:r>
      <w:r>
        <w:rPr>
          <w:rFonts w:ascii="Arial" w:cs="Arial" w:eastAsia="Arial" w:hAnsi="Arial"/>
          <w:sz w:val="17"/>
          <w:szCs w:val="17"/>
          <w:color w:val="auto"/>
        </w:rPr>
        <w:t xml:space="preserve"> genetic variant or otherwise.</w:t>
      </w:r>
    </w:p>
    <w:p>
      <w:pPr>
        <w:spacing w:after="0" w:line="10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targeting Nav1.7 inhibitors to develop products to treat various pain indications, including Bioline Rx Ltd., Convergence Pharmaceuticals Limited, Dainippon Sumitomo Co., Ltd. and Pfizer, Inc. Moreover, we are aware of various other product candidates in development that target other mechanisms of action to treat various pain indications. We are not aware of any drugs or therapies currently approved specifically for treating primary erythromelalgia, or EM.</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The novelty of gene therapy products and their lack of a commercial track record may hinder market acceptance of Glybera among physicians, patients, healthcare payers and the medical community.</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Glybera is the first gene therapy product approved in the EU and no gene therapy product has been approved in the U.S. Because Glybera is likely to be the first gene therapy to be marketed in the EU, gaining market acceptance and overcoming any safety or efficacy concerns may be more challenging than for a more traditional therapy. Glybera’s commercial success will depend, in part, on the success of efforts to educate the market regarding gene therapy products. In particular, the success of Glybera will depend upon physicians who treat patients with LPLD, prescribing Glybera. With respect to Glybera and any other gene therapy products we or a collaborator may develop, public perception may be influenced by claims that gene therapy is unsafe, and, if so, gene therapy may not gain the acceptance of the public or the medical community. More restrictive government regulations or negative public opinion could have a negative effect on our business or financial condition and may delay or impair the commercialization of Glybera. If Glybera is not successfully commercialized, our ability to generate near term revenue could be impaired.</w:t>
      </w:r>
    </w:p>
    <w:p>
      <w:pPr>
        <w:spacing w:after="0" w:line="30" w:lineRule="exact"/>
        <w:rPr>
          <w:sz w:val="20"/>
          <w:szCs w:val="20"/>
          <w:color w:val="auto"/>
        </w:rPr>
      </w:pPr>
    </w:p>
    <w:p>
      <w:pPr>
        <w:ind w:right="560"/>
        <w:spacing w:after="0" w:line="265" w:lineRule="auto"/>
        <w:rPr>
          <w:sz w:val="20"/>
          <w:szCs w:val="20"/>
          <w:color w:val="auto"/>
        </w:rPr>
      </w:pPr>
      <w:r>
        <w:rPr>
          <w:rFonts w:ascii="Arial" w:cs="Arial" w:eastAsia="Arial" w:hAnsi="Arial"/>
          <w:sz w:val="17"/>
          <w:szCs w:val="17"/>
          <w:b w:val="1"/>
          <w:bCs w:val="1"/>
          <w:i w:val="1"/>
          <w:iCs w:val="1"/>
          <w:color w:val="auto"/>
        </w:rPr>
        <w:t>We have no marketed products and have not yet advanced a product candidate beyond Phase 2 clinical trials, which makes it difficult to assess our ability to develop our future product candidates and commercialize any resulting products independently.</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have no experience in Phase 3 and later stage clinical development, and related regulatory requirements or the commercialization of products. uniQure controls and has been responsible for the development and commercialization of Glybera, Teva Pharmaceutical Industries Ltd., or Teva, is responsible for the on-going clinical development of TV-45070, and Genentech Inc., or Genentech, is responsible for the ongoing clinical development of GDC-0276.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24" w:lineRule="exact"/>
        <w:rPr>
          <w:sz w:val="20"/>
          <w:szCs w:val="20"/>
          <w:color w:val="auto"/>
        </w:rPr>
      </w:pPr>
    </w:p>
    <w:p>
      <w:pPr>
        <w:ind w:left="780" w:hanging="441"/>
        <w:spacing w:after="0"/>
        <w:tabs>
          <w:tab w:leader="none" w:pos="780" w:val="left"/>
        </w:tabs>
        <w:numPr>
          <w:ilvl w:val="0"/>
          <w:numId w:val="14"/>
        </w:numPr>
        <w:rPr>
          <w:rFonts w:ascii="Arial" w:cs="Arial" w:eastAsia="Arial" w:hAnsi="Arial"/>
          <w:sz w:val="26"/>
          <w:szCs w:val="26"/>
          <w:color w:val="auto"/>
          <w:vertAlign w:val="superscript"/>
        </w:rPr>
      </w:pPr>
      <w:r>
        <w:rPr>
          <w:rFonts w:ascii="Arial" w:cs="Arial" w:eastAsia="Arial" w:hAnsi="Arial"/>
          <w:sz w:val="17"/>
          <w:szCs w:val="17"/>
          <w:color w:val="auto"/>
        </w:rPr>
        <w:t>execute our clinical development plans for later-stage product candidates;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obtain required regulatory approvals in each jurisdiction in which we will seek to commercialize products;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build and maintain appropriate sales, distribution and marketing capabilities;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gain market acceptance for our future products, if any;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manage our spending as costs and expenses increase due to clinical trials, regulatory approvals and commercialization activities.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444"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0"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b w:val="1"/>
          <w:bCs w:val="1"/>
          <w:i w:val="1"/>
          <w:iCs w:val="1"/>
          <w:color w:val="auto"/>
        </w:rPr>
        <w:t>If we are not successful in leveraging our Extreme Genetics discovery platform to discover product candidates in addition to TV-45070 and GDC-0276, our ability to expand our business and achieve our strategic objectives may be impaired.</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rely on our Extreme Genetics discovery platform to identify validated drug targets and develop new product candidates. To date, our Extreme Genetics discovery platform has yielded one approved product, Glybera, and our announced development candidates TV-45070 and GDC-0276. Use of our discovery platform requires substantial technical, financial and human resources, regardless of whether we identify any novel drug targets. Our Extreme Genetics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1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our trading price.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44"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Our Extreme Genetics discovery platform may not reproducibly or cost-effectively result in the discovery of product candidates and development of commercially viable products that safely and effectively treat human disease.</w:t>
      </w:r>
    </w:p>
    <w:p>
      <w:pPr>
        <w:spacing w:after="0" w:line="104" w:lineRule="exact"/>
        <w:rPr>
          <w:sz w:val="20"/>
          <w:szCs w:val="20"/>
          <w:color w:val="auto"/>
        </w:rPr>
      </w:pPr>
    </w:p>
    <w:p>
      <w:pPr>
        <w:jc w:val="both"/>
        <w:ind w:right="260"/>
        <w:spacing w:after="0" w:line="241" w:lineRule="auto"/>
        <w:rPr>
          <w:sz w:val="20"/>
          <w:szCs w:val="20"/>
          <w:color w:val="auto"/>
        </w:rPr>
      </w:pPr>
      <w:r>
        <w:rPr>
          <w:rFonts w:ascii="Arial" w:cs="Arial" w:eastAsia="Arial" w:hAnsi="Arial"/>
          <w:sz w:val="17"/>
          <w:szCs w:val="17"/>
          <w:color w:val="auto"/>
        </w:rPr>
        <w:t>There are various challenges in utilizing our Extreme Genetics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To date, only Glybera has been both developed using our Extreme Genetics discovery platform and approved for commercial sale. If the use of our Extreme Genetics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encounter difficulties in managing our growth, including headcount, and expanding our operations successfully.</w:t>
      </w:r>
    </w:p>
    <w:p>
      <w:pPr>
        <w:spacing w:after="0" w:line="44"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Our business strategy involves continued development and, where development is successful, commercialization of select successfully developed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 We anticipate that we may need to hire additional accounting, legal and financial staff with appropriate public company experience and technical accounting and other knowledge to address the added burdens of operating as a public company. There are likely to be infrastructure costs associated with public company compliance as well.</w:t>
      </w:r>
    </w:p>
    <w:p>
      <w:pPr>
        <w:spacing w:after="0" w:line="109"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collaborators, suppliers and other third parties.</w:t>
      </w:r>
    </w:p>
    <w:p>
      <w:pPr>
        <w:spacing w:after="0" w:line="4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Dr. Gary Bridger, our Executive Vice President of Research and Development, works for us on a part-time, one-day-a-week basis, pursuant to a consulting agreement. Drs. Simon Pimstone and Y. Paul Goldberg each devote a small amount of their time to clinical work outside of their duties at our company, conducting, generally, two to three outpatient clinics per month. Future growth will impose significant added responsibilities on members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4"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management, and our management may need to divert a disproportionate amount of its attention away from our day-to-day activities and devote a substantial amount of time to managing these growth activities.</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If we are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4" w:lineRule="exact"/>
        <w:rPr>
          <w:sz w:val="20"/>
          <w:szCs w:val="20"/>
          <w:color w:val="auto"/>
        </w:rPr>
      </w:pPr>
    </w:p>
    <w:p>
      <w:pPr>
        <w:ind w:right="520"/>
        <w:spacing w:after="0" w:line="28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114"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Mr. Ian Mortimer, our Chief Financial Officer; and Dr. Goldberg, our Vice President, Clinical Development, as well as other employees. In the near future, the loss of services of any of these individuals or one or more of our other members of senior management could materially delay or even prevent the successful development of our product candidates.</w:t>
      </w:r>
    </w:p>
    <w:p>
      <w:pPr>
        <w:spacing w:after="0" w:line="11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4"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which became effective as of the date of this prospectus,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44" w:right="2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variety of risks associated with international operations could materially adversely affect our business.</w:t>
      </w:r>
    </w:p>
    <w:p>
      <w:pPr>
        <w:spacing w:after="0" w:line="44"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Glybera has been approved for commercial sale in the EU by the EMA. Our collaborator for TV-45070, Teva, is based in Israel and a significant portion of the research and development activities under our collaboration with Teva are performed outside of North America. If we continue to engage in significant cross-border activities, we will be subject to risks related to international operations, including:</w:t>
      </w:r>
    </w:p>
    <w:p>
      <w:pPr>
        <w:spacing w:after="0" w:line="24" w:lineRule="exact"/>
        <w:rPr>
          <w:sz w:val="20"/>
          <w:szCs w:val="20"/>
          <w:color w:val="auto"/>
        </w:rPr>
      </w:pPr>
    </w:p>
    <w:p>
      <w:pPr>
        <w:ind w:left="780" w:hanging="441"/>
        <w:spacing w:after="0"/>
        <w:tabs>
          <w:tab w:leader="none" w:pos="780" w:val="left"/>
        </w:tabs>
        <w:numPr>
          <w:ilvl w:val="0"/>
          <w:numId w:val="15"/>
        </w:numPr>
        <w:rPr>
          <w:rFonts w:ascii="Arial" w:cs="Arial" w:eastAsia="Arial" w:hAnsi="Arial"/>
          <w:sz w:val="26"/>
          <w:szCs w:val="26"/>
          <w:color w:val="auto"/>
          <w:vertAlign w:val="superscript"/>
        </w:rPr>
      </w:pPr>
      <w:r>
        <w:rPr>
          <w:rFonts w:ascii="Arial" w:cs="Arial" w:eastAsia="Arial" w:hAnsi="Arial"/>
          <w:sz w:val="17"/>
          <w:szCs w:val="17"/>
          <w:color w:val="auto"/>
        </w:rPr>
        <w:t>different regulatory requirements for maintaining approval of drugs and biologics in foreign countries;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reduced protection for intellectual property rights in certain countries;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unexpected changes in tariffs, trade barriers and regulatory requirements;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economic weakness, including inflation, political instability or open conflict in particular foreign economies and markets;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compliance with tax, employment, immigration and labor laws for employees living or traveling abroad;</w:t>
      </w:r>
    </w:p>
    <w:p>
      <w:pPr>
        <w:spacing w:after="0" w:line="17" w:lineRule="exact"/>
        <w:rPr>
          <w:rFonts w:ascii="Arial" w:cs="Arial" w:eastAsia="Arial" w:hAnsi="Arial"/>
          <w:sz w:val="23"/>
          <w:szCs w:val="23"/>
          <w:color w:val="auto"/>
          <w:vertAlign w:val="superscript"/>
        </w:rPr>
      </w:pPr>
    </w:p>
    <w:p>
      <w:pPr>
        <w:ind w:left="780" w:right="80" w:hanging="441"/>
        <w:spacing w:after="0" w:line="191" w:lineRule="auto"/>
        <w:tabs>
          <w:tab w:leader="none" w:pos="780" w:val="left"/>
        </w:tabs>
        <w:numPr>
          <w:ilvl w:val="0"/>
          <w:numId w:val="15"/>
        </w:numPr>
        <w:rPr>
          <w:rFonts w:ascii="Arial" w:cs="Arial" w:eastAsia="Arial" w:hAnsi="Arial"/>
          <w:sz w:val="26"/>
          <w:szCs w:val="26"/>
          <w:color w:val="auto"/>
          <w:vertAlign w:val="superscript"/>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workforce uncertainty in countries where labor unrest is more common than in North America;</w:t>
      </w:r>
    </w:p>
    <w:p>
      <w:pPr>
        <w:spacing w:after="0" w:line="17" w:lineRule="exact"/>
        <w:rPr>
          <w:rFonts w:ascii="Arial" w:cs="Arial" w:eastAsia="Arial" w:hAnsi="Arial"/>
          <w:sz w:val="25"/>
          <w:szCs w:val="25"/>
          <w:color w:val="auto"/>
          <w:vertAlign w:val="superscript"/>
        </w:rPr>
      </w:pPr>
    </w:p>
    <w:p>
      <w:pPr>
        <w:ind w:left="780" w:right="40" w:hanging="441"/>
        <w:spacing w:after="0" w:line="191" w:lineRule="auto"/>
        <w:tabs>
          <w:tab w:leader="none" w:pos="780" w:val="left"/>
        </w:tabs>
        <w:numPr>
          <w:ilvl w:val="0"/>
          <w:numId w:val="15"/>
        </w:numPr>
        <w:rPr>
          <w:rFonts w:ascii="Arial" w:cs="Arial" w:eastAsia="Arial" w:hAnsi="Arial"/>
          <w:sz w:val="26"/>
          <w:szCs w:val="26"/>
          <w:color w:val="auto"/>
          <w:vertAlign w:val="superscript"/>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19" w:lineRule="exact"/>
        <w:rPr>
          <w:rFonts w:ascii="Arial" w:cs="Arial" w:eastAsia="Arial" w:hAnsi="Arial"/>
          <w:sz w:val="26"/>
          <w:szCs w:val="26"/>
          <w:color w:val="auto"/>
          <w:vertAlign w:val="superscript"/>
        </w:rPr>
      </w:pPr>
    </w:p>
    <w:p>
      <w:pPr>
        <w:ind w:left="780" w:right="340" w:hanging="441"/>
        <w:spacing w:after="0" w:line="191" w:lineRule="auto"/>
        <w:tabs>
          <w:tab w:leader="none" w:pos="780" w:val="left"/>
        </w:tabs>
        <w:numPr>
          <w:ilvl w:val="0"/>
          <w:numId w:val="15"/>
        </w:numPr>
        <w:rPr>
          <w:rFonts w:ascii="Arial" w:cs="Arial" w:eastAsia="Arial" w:hAnsi="Arial"/>
          <w:sz w:val="26"/>
          <w:szCs w:val="26"/>
          <w:color w:val="auto"/>
          <w:vertAlign w:val="superscript"/>
        </w:rPr>
      </w:pPr>
      <w:r>
        <w:rPr>
          <w:rFonts w:ascii="Arial" w:cs="Arial" w:eastAsia="Arial" w:hAnsi="Arial"/>
          <w:sz w:val="17"/>
          <w:szCs w:val="17"/>
          <w:color w:val="auto"/>
        </w:rPr>
        <w:t>business interruptions resulting from geopolitical actions, including war and terrorism, or natural disasters including earthquakes, typhoons, floods and fires.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If any of these issues were to occur, our business could be materially harmed.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 of our shares may suffer adverse tax consequences if we are characterized as a passive foreign investment company.</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 ended December 31, 2013 and we do not expect to be a PFIC following this offering and for the taxable year ending December 31, 2014.</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If we are a PFIC for 2014 or any subsequent year, U.S. Holders (as defined in “United States &amp; Canadian Income Tax Considerations—U.S. Federal Income Tax Information for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4"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exchange is an annual determination based on facts that, in part, are beyond our control. Accordingly, a U.S. Holder might not be eligible to make a mark-to-market election to mitigate the adverse tax consequences if we are characterized as a PFIC. See “United States and Canadian Income Tax Considerations—U.S. Federal Income Tax Information for U.S. Holders—Passive Foreign Investment Company Consequences.”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or joint ventures could disrupt our business, cause dilution to our shareholders and otherwise harm our business.</w:t>
      </w:r>
    </w:p>
    <w:p>
      <w:pPr>
        <w:spacing w:after="0" w:line="4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24" w:lineRule="exact"/>
        <w:rPr>
          <w:sz w:val="20"/>
          <w:szCs w:val="20"/>
          <w:color w:val="auto"/>
        </w:rPr>
      </w:pPr>
    </w:p>
    <w:p>
      <w:pPr>
        <w:ind w:left="780" w:hanging="441"/>
        <w:spacing w:after="0"/>
        <w:tabs>
          <w:tab w:leader="none" w:pos="780" w:val="left"/>
        </w:tabs>
        <w:numPr>
          <w:ilvl w:val="0"/>
          <w:numId w:val="16"/>
        </w:numPr>
        <w:rPr>
          <w:rFonts w:ascii="Arial" w:cs="Arial" w:eastAsia="Arial" w:hAnsi="Arial"/>
          <w:sz w:val="26"/>
          <w:szCs w:val="26"/>
          <w:color w:val="auto"/>
          <w:vertAlign w:val="superscript"/>
        </w:rPr>
      </w:pPr>
      <w:r>
        <w:rPr>
          <w:rFonts w:ascii="Arial" w:cs="Arial" w:eastAsia="Arial" w:hAnsi="Arial"/>
          <w:sz w:val="17"/>
          <w:szCs w:val="17"/>
          <w:color w:val="auto"/>
        </w:rPr>
        <w:t>disruption in our relationships with collaborators or suppliers as a result of such a transaction;</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unanticipated liabilities related to acquired companies;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difficulties integrating acquired personnel, technologies and operations into our existing business;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retention of key employees;</w:t>
      </w:r>
    </w:p>
    <w:p>
      <w:pPr>
        <w:spacing w:after="0" w:line="17" w:lineRule="exact"/>
        <w:rPr>
          <w:rFonts w:ascii="Arial" w:cs="Arial" w:eastAsia="Arial" w:hAnsi="Arial"/>
          <w:sz w:val="23"/>
          <w:szCs w:val="23"/>
          <w:color w:val="auto"/>
          <w:vertAlign w:val="superscript"/>
        </w:rPr>
      </w:pPr>
    </w:p>
    <w:p>
      <w:pPr>
        <w:ind w:left="780" w:right="440" w:hanging="441"/>
        <w:spacing w:after="0" w:line="191" w:lineRule="auto"/>
        <w:tabs>
          <w:tab w:leader="none" w:pos="780" w:val="left"/>
        </w:tabs>
        <w:numPr>
          <w:ilvl w:val="0"/>
          <w:numId w:val="16"/>
        </w:numPr>
        <w:rPr>
          <w:rFonts w:ascii="Arial" w:cs="Arial" w:eastAsia="Arial" w:hAnsi="Arial"/>
          <w:sz w:val="26"/>
          <w:szCs w:val="26"/>
          <w:color w:val="auto"/>
          <w:vertAlign w:val="superscript"/>
        </w:rPr>
      </w:pPr>
      <w:r>
        <w:rPr>
          <w:rFonts w:ascii="Arial" w:cs="Arial" w:eastAsia="Arial" w:hAnsi="Arial"/>
          <w:sz w:val="17"/>
          <w:szCs w:val="17"/>
          <w:color w:val="auto"/>
        </w:rPr>
        <w:t>diversion of management time and focus from operating our business to management of strategic alliances or joint ventures or acquisition integration challenges;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increases in our expenses and reductions in our cash available for operations and other uses;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possible write-offs or impairment charges relating to acquired businesses.</w:t>
      </w:r>
    </w:p>
    <w:p>
      <w:pPr>
        <w:spacing w:after="0" w:line="10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Development, Clinical Testing and Regulatory Approval of Our Product Candidates</w:t>
      </w:r>
    </w:p>
    <w:p>
      <w:pPr>
        <w:spacing w:after="0" w:line="50" w:lineRule="exact"/>
        <w:rPr>
          <w:sz w:val="20"/>
          <w:szCs w:val="20"/>
          <w:color w:val="auto"/>
        </w:rPr>
      </w:pPr>
    </w:p>
    <w:p>
      <w:pPr>
        <w:ind w:right="460"/>
        <w:spacing w:after="0" w:line="253" w:lineRule="auto"/>
        <w:rPr>
          <w:sz w:val="20"/>
          <w:szCs w:val="20"/>
          <w:color w:val="auto"/>
        </w:rPr>
      </w:pPr>
      <w:r>
        <w:rPr>
          <w:rFonts w:ascii="Arial" w:cs="Arial" w:eastAsia="Arial" w:hAnsi="Arial"/>
          <w:sz w:val="17"/>
          <w:szCs w:val="17"/>
          <w:b w:val="1"/>
          <w:bCs w:val="1"/>
          <w:i w:val="1"/>
          <w:iCs w:val="1"/>
          <w:color w:val="auto"/>
        </w:rPr>
        <w:t>The regulatory approval processes of the FDA, EMA and regulators in other jurisdictions are lengthy, time-consuming and inherently unpredictable. If we, or our collaborators, are unable to obtain timely regulatory approval for our product candidates, our business will be substantially harmed.</w:t>
      </w:r>
    </w:p>
    <w:p>
      <w:pPr>
        <w:spacing w:after="0" w:line="8"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30" w:lineRule="exact"/>
        <w:rPr>
          <w:sz w:val="20"/>
          <w:szCs w:val="20"/>
          <w:color w:val="auto"/>
        </w:rPr>
      </w:pPr>
    </w:p>
    <w:p>
      <w:pPr>
        <w:ind w:left="780" w:hanging="441"/>
        <w:spacing w:after="0"/>
        <w:tabs>
          <w:tab w:leader="none" w:pos="780" w:val="left"/>
        </w:tabs>
        <w:numPr>
          <w:ilvl w:val="0"/>
          <w:numId w:val="17"/>
        </w:numPr>
        <w:rPr>
          <w:rFonts w:ascii="Arial" w:cs="Arial" w:eastAsia="Arial" w:hAnsi="Arial"/>
          <w:sz w:val="26"/>
          <w:szCs w:val="26"/>
          <w:color w:val="auto"/>
          <w:vertAlign w:val="superscript"/>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7" w:lineRule="exact"/>
        <w:rPr>
          <w:rFonts w:ascii="Arial" w:cs="Arial" w:eastAsia="Arial" w:hAnsi="Arial"/>
          <w:sz w:val="26"/>
          <w:szCs w:val="26"/>
          <w:color w:val="auto"/>
          <w:vertAlign w:val="superscript"/>
        </w:rPr>
      </w:pPr>
    </w:p>
    <w:p>
      <w:pPr>
        <w:ind w:left="780" w:right="660" w:hanging="441"/>
        <w:spacing w:after="0" w:line="191" w:lineRule="auto"/>
        <w:tabs>
          <w:tab w:leader="none" w:pos="780" w:val="left"/>
        </w:tabs>
        <w:numPr>
          <w:ilvl w:val="0"/>
          <w:numId w:val="17"/>
        </w:numPr>
        <w:rPr>
          <w:rFonts w:ascii="Arial" w:cs="Arial" w:eastAsia="Arial" w:hAnsi="Arial"/>
          <w:sz w:val="26"/>
          <w:szCs w:val="26"/>
          <w:color w:val="auto"/>
          <w:vertAlign w:val="superscript"/>
        </w:rPr>
      </w:pPr>
      <w:r>
        <w:rPr>
          <w:rFonts w:ascii="Arial" w:cs="Arial" w:eastAsia="Arial" w:hAnsi="Arial"/>
          <w:sz w:val="17"/>
          <w:szCs w:val="17"/>
          <w:color w:val="auto"/>
        </w:rPr>
        <w:t>we or our collaborators may be unable to demonstrate to the satisfaction of the FDA, EMA or other regulatory authorities that a product candidate is safe and effective for its proposed indication;</w:t>
      </w:r>
    </w:p>
    <w:p>
      <w:pPr>
        <w:spacing w:after="0" w:line="19" w:lineRule="exact"/>
        <w:rPr>
          <w:rFonts w:ascii="Arial" w:cs="Arial" w:eastAsia="Arial" w:hAnsi="Arial"/>
          <w:sz w:val="26"/>
          <w:szCs w:val="26"/>
          <w:color w:val="auto"/>
          <w:vertAlign w:val="superscript"/>
        </w:rPr>
      </w:pPr>
    </w:p>
    <w:p>
      <w:pPr>
        <w:ind w:left="780" w:right="660" w:hanging="441"/>
        <w:spacing w:after="0" w:line="191" w:lineRule="auto"/>
        <w:tabs>
          <w:tab w:leader="none" w:pos="780" w:val="left"/>
        </w:tabs>
        <w:numPr>
          <w:ilvl w:val="0"/>
          <w:numId w:val="17"/>
        </w:numPr>
        <w:rPr>
          <w:rFonts w:ascii="Arial" w:cs="Arial" w:eastAsia="Arial" w:hAnsi="Arial"/>
          <w:sz w:val="26"/>
          <w:szCs w:val="26"/>
          <w:color w:val="auto"/>
          <w:vertAlign w:val="superscript"/>
        </w:rPr>
      </w:pPr>
      <w:r>
        <w:rPr>
          <w:rFonts w:ascii="Arial" w:cs="Arial" w:eastAsia="Arial" w:hAnsi="Arial"/>
          <w:sz w:val="17"/>
          <w:szCs w:val="17"/>
          <w:color w:val="auto"/>
        </w:rPr>
        <w:t>the results of clinical trials may not meet the level of statistical significance required by the FDA, EMA or other regulatory authorities for approval;</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we, or our collaborators, may be unable to demonstrate that a product candidate’s clinical and other benefits outweigh its safety risks;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4"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80" w:right="20" w:hanging="441"/>
        <w:spacing w:after="0" w:line="191" w:lineRule="auto"/>
        <w:tabs>
          <w:tab w:leader="none" w:pos="78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the FDA, EMA or other regulatory authorities may disagree with our or our collaborators’ interpretation of data from preclinical studies or clinical trials;</w:t>
      </w:r>
    </w:p>
    <w:p>
      <w:pPr>
        <w:spacing w:after="0" w:line="19" w:lineRule="exact"/>
        <w:rPr>
          <w:rFonts w:ascii="Arial" w:cs="Arial" w:eastAsia="Arial" w:hAnsi="Arial"/>
          <w:sz w:val="26"/>
          <w:szCs w:val="26"/>
          <w:color w:val="auto"/>
          <w:vertAlign w:val="superscript"/>
        </w:rPr>
      </w:pPr>
    </w:p>
    <w:p>
      <w:pPr>
        <w:ind w:left="780" w:right="260" w:hanging="441"/>
        <w:spacing w:after="0" w:line="191" w:lineRule="auto"/>
        <w:tabs>
          <w:tab w:leader="none" w:pos="78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19" w:lineRule="exact"/>
        <w:rPr>
          <w:rFonts w:ascii="Arial" w:cs="Arial" w:eastAsia="Arial" w:hAnsi="Arial"/>
          <w:sz w:val="26"/>
          <w:szCs w:val="26"/>
          <w:color w:val="auto"/>
          <w:vertAlign w:val="superscript"/>
        </w:rPr>
      </w:pPr>
    </w:p>
    <w:p>
      <w:pPr>
        <w:ind w:left="780" w:right="360" w:hanging="441"/>
        <w:spacing w:after="0" w:line="191" w:lineRule="auto"/>
        <w:tabs>
          <w:tab w:leader="none" w:pos="78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19" w:lineRule="exact"/>
        <w:rPr>
          <w:rFonts w:ascii="Arial" w:cs="Arial" w:eastAsia="Arial" w:hAnsi="Arial"/>
          <w:sz w:val="26"/>
          <w:szCs w:val="26"/>
          <w:color w:val="auto"/>
          <w:vertAlign w:val="superscript"/>
        </w:rPr>
      </w:pPr>
    </w:p>
    <w:p>
      <w:pPr>
        <w:ind w:left="780" w:right="260" w:hanging="441"/>
        <w:spacing w:after="0" w:line="191" w:lineRule="auto"/>
        <w:tabs>
          <w:tab w:leader="none" w:pos="78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the approval policies or regulations of the FDA, EMA or other regulatory authorities outside of the U.S. may significantly change in a manner rendering our or our collaborators’ clinical data insufficient for approval.</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4"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Clinical testing of product candidates is expensive and, depending on the stage of development, can take a substantial period of time to complete. Clinical trial outcomes are inherently uncertain, and failure can occur at any time during the clinical development process.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can be halted or delayed for a variety of reasons, including those related to:</w:t>
      </w:r>
    </w:p>
    <w:p>
      <w:pPr>
        <w:spacing w:after="0" w:line="30" w:lineRule="exact"/>
        <w:rPr>
          <w:sz w:val="20"/>
          <w:szCs w:val="20"/>
          <w:color w:val="auto"/>
        </w:rPr>
      </w:pPr>
    </w:p>
    <w:p>
      <w:pPr>
        <w:ind w:left="780" w:hanging="441"/>
        <w:spacing w:after="0"/>
        <w:tabs>
          <w:tab w:leader="none" w:pos="78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side effects or adverse events in study participants presenting an unacceptable safety risk;</w:t>
      </w:r>
    </w:p>
    <w:p>
      <w:pPr>
        <w:spacing w:after="0" w:line="17" w:lineRule="exact"/>
        <w:rPr>
          <w:rFonts w:ascii="Arial" w:cs="Arial" w:eastAsia="Arial" w:hAnsi="Arial"/>
          <w:sz w:val="26"/>
          <w:szCs w:val="26"/>
          <w:color w:val="auto"/>
          <w:vertAlign w:val="superscript"/>
        </w:rPr>
      </w:pPr>
    </w:p>
    <w:p>
      <w:pPr>
        <w:ind w:left="780" w:right="880" w:hanging="441"/>
        <w:spacing w:after="0" w:line="191" w:lineRule="auto"/>
        <w:tabs>
          <w:tab w:leader="none" w:pos="78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inability to reach agreement with prospective contract research organizations, or CROs, and clinical trial sites, or the breach of such agreements;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failure of third-party contractors, such as CROs, or investigators to comply with regulatory requirements;</w:t>
      </w:r>
    </w:p>
    <w:p>
      <w:pPr>
        <w:spacing w:after="0" w:line="17" w:lineRule="exact"/>
        <w:rPr>
          <w:rFonts w:ascii="Arial" w:cs="Arial" w:eastAsia="Arial" w:hAnsi="Arial"/>
          <w:sz w:val="25"/>
          <w:szCs w:val="25"/>
          <w:color w:val="auto"/>
          <w:vertAlign w:val="superscript"/>
        </w:rPr>
      </w:pPr>
    </w:p>
    <w:p>
      <w:pPr>
        <w:ind w:left="780" w:right="40" w:hanging="441"/>
        <w:spacing w:after="0" w:line="191" w:lineRule="auto"/>
        <w:tabs>
          <w:tab w:leader="none" w:pos="78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a requirement to undertake and complete additional preclinical studies to generate data required to support the submission of an NDA;</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inability to enroll sufficient patients to complete a protocol, particularly in orphan diseases;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difficulty in having patients complete a trial or return for post-treatment follow-up;</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clinical sites deviating from trial protocol or dropping out of a trial;</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problems with drug product or drug substance storage and distribution;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adding new clinical trial sites;</w:t>
      </w:r>
    </w:p>
    <w:p>
      <w:pPr>
        <w:spacing w:after="0" w:line="17" w:lineRule="exact"/>
        <w:rPr>
          <w:rFonts w:ascii="Arial" w:cs="Arial" w:eastAsia="Arial" w:hAnsi="Arial"/>
          <w:sz w:val="23"/>
          <w:szCs w:val="23"/>
          <w:color w:val="auto"/>
          <w:vertAlign w:val="superscript"/>
        </w:rPr>
      </w:pPr>
    </w:p>
    <w:p>
      <w:pPr>
        <w:ind w:left="780" w:right="760" w:hanging="441"/>
        <w:spacing w:after="0" w:line="191" w:lineRule="auto"/>
        <w:tabs>
          <w:tab w:leader="none" w:pos="780" w:val="left"/>
        </w:tabs>
        <w:numPr>
          <w:ilvl w:val="0"/>
          <w:numId w:val="19"/>
        </w:numPr>
        <w:rPr>
          <w:rFonts w:ascii="Arial" w:cs="Arial" w:eastAsia="Arial" w:hAnsi="Arial"/>
          <w:sz w:val="26"/>
          <w:szCs w:val="26"/>
          <w:color w:val="auto"/>
          <w:vertAlign w:val="superscript"/>
        </w:rPr>
      </w:pPr>
      <w:r>
        <w:rPr>
          <w:rFonts w:ascii="Arial" w:cs="Arial" w:eastAsia="Arial" w:hAnsi="Arial"/>
          <w:sz w:val="17"/>
          <w:szCs w:val="17"/>
          <w:color w:val="auto"/>
        </w:rPr>
        <w:t>our inability to manufacture, or obtain from third parties, adequate supply of drug substance or drug product sufficient to complete our preclinical studies and clinical trials;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governmental or regulatory delays and changes in regulatory requirements, policy and guidelines.</w:t>
      </w:r>
    </w:p>
    <w:p>
      <w:pPr>
        <w:spacing w:after="0" w:line="108"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4"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0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0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TV-45070 and GDC-0276 product candidates for treatment of pain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4" w:lineRule="exact"/>
        <w:rPr>
          <w:sz w:val="20"/>
          <w:szCs w:val="20"/>
          <w:color w:val="auto"/>
        </w:rPr>
      </w:pPr>
    </w:p>
    <w:p>
      <w:pPr>
        <w:ind w:right="840"/>
        <w:spacing w:after="0" w:line="265" w:lineRule="auto"/>
        <w:rPr>
          <w:sz w:val="20"/>
          <w:szCs w:val="20"/>
          <w:color w:val="auto"/>
        </w:rPr>
      </w:pPr>
      <w:r>
        <w:rPr>
          <w:rFonts w:ascii="Arial" w:cs="Arial" w:eastAsia="Arial" w:hAnsi="Arial"/>
          <w:sz w:val="17"/>
          <w:szCs w:val="17"/>
          <w:b w:val="1"/>
          <w:bCs w:val="1"/>
          <w:i w:val="1"/>
          <w:iCs w:val="1"/>
          <w:color w:val="auto"/>
        </w:rPr>
        <w:t>Our clinical trials may fail to demonstrate adequately the safety and efficacy of our product candidates, which could prevent or delay regulatory approval and commercialization.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the case of our product candidates, we are seeking to develop treatments for diseases for which there is relatively limited clinical experience, and, in some cases our clinical trials use novel end points and measurement methodologies,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is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96"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conducting associated preclinical testing and clinical trials, as well as the potential need for additional financing, would have a material adverse effect on our business, growth prospects, operating results, financial condition and results of operations.</w:t>
      </w:r>
    </w:p>
    <w:p>
      <w:pPr>
        <w:spacing w:after="0" w:line="2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24" w:lineRule="exact"/>
        <w:rPr>
          <w:sz w:val="20"/>
          <w:szCs w:val="20"/>
          <w:color w:val="auto"/>
        </w:rPr>
      </w:pPr>
    </w:p>
    <w:p>
      <w:pPr>
        <w:ind w:left="780" w:hanging="441"/>
        <w:spacing w:after="0"/>
        <w:tabs>
          <w:tab w:leader="none" w:pos="780" w:val="left"/>
        </w:tabs>
        <w:numPr>
          <w:ilvl w:val="0"/>
          <w:numId w:val="20"/>
        </w:numPr>
        <w:rPr>
          <w:rFonts w:ascii="Arial" w:cs="Arial" w:eastAsia="Arial" w:hAnsi="Arial"/>
          <w:sz w:val="26"/>
          <w:szCs w:val="26"/>
          <w:color w:val="auto"/>
          <w:vertAlign w:val="superscript"/>
        </w:rPr>
      </w:pPr>
      <w:r>
        <w:rPr>
          <w:rFonts w:ascii="Arial" w:cs="Arial" w:eastAsia="Arial" w:hAnsi="Arial"/>
          <w:sz w:val="17"/>
          <w:szCs w:val="17"/>
          <w:color w:val="auto"/>
        </w:rPr>
        <w:t>severity of the disease under investigation;</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design of the study protocol;</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size of the patient population;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eligibility criteria for the study in question;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perceived risks and benefits of the product candidate under study;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proximity and availability of clinical study sites for prospective patients;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availability of competing therapies and clinical studies;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efforts to facilitate timely enrollment in clinical studies;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4"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19" w:lineRule="exact"/>
        <w:rPr>
          <w:sz w:val="20"/>
          <w:szCs w:val="20"/>
          <w:color w:val="auto"/>
        </w:rPr>
      </w:pPr>
    </w:p>
    <w:p>
      <w:pPr>
        <w:ind w:left="780" w:hanging="441"/>
        <w:spacing w:after="0"/>
        <w:tabs>
          <w:tab w:leader="none" w:pos="780" w:val="left"/>
        </w:tabs>
        <w:numPr>
          <w:ilvl w:val="0"/>
          <w:numId w:val="21"/>
        </w:numPr>
        <w:rPr>
          <w:rFonts w:ascii="Arial" w:cs="Arial" w:eastAsia="Arial" w:hAnsi="Arial"/>
          <w:sz w:val="26"/>
          <w:szCs w:val="26"/>
          <w:color w:val="auto"/>
          <w:vertAlign w:val="superscript"/>
        </w:rPr>
      </w:pPr>
      <w:r>
        <w:rPr>
          <w:rFonts w:ascii="Arial" w:cs="Arial" w:eastAsia="Arial" w:hAnsi="Arial"/>
          <w:sz w:val="17"/>
          <w:szCs w:val="17"/>
          <w:color w:val="auto"/>
        </w:rPr>
        <w:t>patient referral practices of physicians.</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limited patient populations in orphan and niche indications present significant recruitment challenges for clinical trials. For example, studies estimate the prevalence of LPLD to be approximately 1:1,000,000 and the prevalence of primary EM, to be approximately 43,000 patients in the U.S. Primary EM is a condition of EM that is not caused by another disease or disorder.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5"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b w:val="1"/>
          <w:bCs w:val="1"/>
          <w:i w:val="1"/>
          <w:iCs w:val="1"/>
          <w:color w:val="auto"/>
        </w:rPr>
        <w:t>If we fail to obtain or maintain orphan drug designation or other regulatory exclusivity for some of our product candidates, our competitive position would be harmed.</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EM by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clinical trials may not be predictive of the results of later-stage clinical trials.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44"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4"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right="580"/>
        <w:spacing w:after="0" w:line="265" w:lineRule="auto"/>
        <w:rPr>
          <w:sz w:val="20"/>
          <w:szCs w:val="20"/>
          <w:color w:val="auto"/>
        </w:rPr>
      </w:pPr>
      <w:r>
        <w:rPr>
          <w:rFonts w:ascii="Arial" w:cs="Arial" w:eastAsia="Arial" w:hAnsi="Arial"/>
          <w:sz w:val="17"/>
          <w:szCs w:val="17"/>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such as the EMA for Glybera, does not ensure approval by regulatory authorities in other countries, including by the FDA.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0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8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i w:val="1"/>
          <w:iCs w:val="1"/>
          <w:color w:val="auto"/>
        </w:rPr>
        <w:t>We work with outside scientists and their institutions in executing our business strategy of developing product candidates using our Extreme Genetics discovery platform. These scientists may have other commitments or conflicts of interest, which could limit our access to their expertise and harm our ability to leverage our discovery platform.</w:t>
      </w:r>
    </w:p>
    <w:p>
      <w:pPr>
        <w:spacing w:after="0" w:line="8"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We work with scientific advisors and collaborators at academic research institutions in connection with our Extreme Genetics discovery platform. These scientific advisors serve as our link to the various families with extreme phenotypes in that these advisors may:</w:t>
      </w:r>
    </w:p>
    <w:p>
      <w:pPr>
        <w:spacing w:after="0" w:line="20" w:lineRule="exact"/>
        <w:rPr>
          <w:sz w:val="20"/>
          <w:szCs w:val="20"/>
          <w:color w:val="auto"/>
        </w:rPr>
      </w:pPr>
    </w:p>
    <w:p>
      <w:pPr>
        <w:ind w:left="780" w:hanging="441"/>
        <w:spacing w:after="0"/>
        <w:tabs>
          <w:tab w:leader="none" w:pos="780" w:val="left"/>
        </w:tabs>
        <w:numPr>
          <w:ilvl w:val="0"/>
          <w:numId w:val="22"/>
        </w:numPr>
        <w:rPr>
          <w:rFonts w:ascii="Arial" w:cs="Arial" w:eastAsia="Arial" w:hAnsi="Arial"/>
          <w:sz w:val="26"/>
          <w:szCs w:val="26"/>
          <w:color w:val="auto"/>
          <w:vertAlign w:val="superscript"/>
        </w:rPr>
      </w:pPr>
      <w:r>
        <w:rPr>
          <w:rFonts w:ascii="Arial" w:cs="Arial" w:eastAsia="Arial" w:hAnsi="Arial"/>
          <w:sz w:val="17"/>
          <w:szCs w:val="17"/>
          <w:color w:val="auto"/>
        </w:rPr>
        <w:t>identify families as potential candidates for study;</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obtain their consent to participate in our research;</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perform medical examinations and gather medical histories;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conduct the initial analysis of suitability of the families to participate in our research based on the foregoing;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collect data and biological samples from the family members periodically in accordance with our study protocols.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4"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w:t>
      </w:r>
    </w:p>
    <w:p>
      <w:pPr>
        <w:spacing w:after="0" w:line="50" w:lineRule="exact"/>
        <w:rPr>
          <w:sz w:val="20"/>
          <w:szCs w:val="20"/>
          <w:color w:val="auto"/>
        </w:rPr>
      </w:pPr>
    </w:p>
    <w:p>
      <w:pPr>
        <w:ind w:right="600"/>
        <w:spacing w:after="0" w:line="265" w:lineRule="auto"/>
        <w:rPr>
          <w:sz w:val="20"/>
          <w:szCs w:val="20"/>
          <w:color w:val="auto"/>
        </w:rPr>
      </w:pPr>
      <w:r>
        <w:rPr>
          <w:rFonts w:ascii="Arial" w:cs="Arial" w:eastAsia="Arial" w:hAnsi="Arial"/>
          <w:sz w:val="17"/>
          <w:szCs w:val="17"/>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0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24" w:lineRule="exact"/>
        <w:rPr>
          <w:sz w:val="20"/>
          <w:szCs w:val="20"/>
          <w:color w:val="auto"/>
        </w:rPr>
      </w:pPr>
    </w:p>
    <w:p>
      <w:pPr>
        <w:ind w:left="780" w:hanging="441"/>
        <w:spacing w:after="0"/>
        <w:tabs>
          <w:tab w:leader="none" w:pos="78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our inability to recruit and retain adequate numbers of effective sales and marketing personnel to or develop alternative sales channels;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3"/>
        </w:numPr>
        <w:rPr>
          <w:rFonts w:ascii="Arial" w:cs="Arial" w:eastAsia="Arial" w:hAnsi="Arial"/>
          <w:sz w:val="23"/>
          <w:szCs w:val="23"/>
          <w:color w:val="auto"/>
          <w:vertAlign w:val="superscript"/>
        </w:rPr>
      </w:pPr>
      <w:r>
        <w:rPr>
          <w:rFonts w:ascii="Arial" w:cs="Arial" w:eastAsia="Arial" w:hAnsi="Arial"/>
          <w:sz w:val="15"/>
          <w:szCs w:val="15"/>
          <w:color w:val="auto"/>
        </w:rPr>
        <w:t>the inability of sales personnel to obtain access to physicians or persuade adequate numbers of physicians to prescribe any future products;</w:t>
      </w:r>
    </w:p>
    <w:p>
      <w:pPr>
        <w:spacing w:after="0" w:line="17" w:lineRule="exact"/>
        <w:rPr>
          <w:rFonts w:ascii="Arial" w:cs="Arial" w:eastAsia="Arial" w:hAnsi="Arial"/>
          <w:sz w:val="23"/>
          <w:szCs w:val="23"/>
          <w:color w:val="auto"/>
          <w:vertAlign w:val="superscript"/>
        </w:rPr>
      </w:pPr>
    </w:p>
    <w:p>
      <w:pPr>
        <w:ind w:left="780" w:right="260" w:hanging="441"/>
        <w:spacing w:after="0" w:line="191" w:lineRule="auto"/>
        <w:tabs>
          <w:tab w:leader="none" w:pos="780" w:val="left"/>
        </w:tabs>
        <w:numPr>
          <w:ilvl w:val="0"/>
          <w:numId w:val="23"/>
        </w:numPr>
        <w:rPr>
          <w:rFonts w:ascii="Arial" w:cs="Arial" w:eastAsia="Arial" w:hAnsi="Arial"/>
          <w:sz w:val="26"/>
          <w:szCs w:val="26"/>
          <w:color w:val="auto"/>
          <w:vertAlign w:val="superscript"/>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unforeseen costs and expenses associated with creating and maintaining an independent sales and marketing organization.</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5"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08"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123" w:lineRule="exact"/>
        <w:rPr>
          <w:sz w:val="20"/>
          <w:szCs w:val="20"/>
          <w:color w:val="auto"/>
        </w:rPr>
      </w:pPr>
    </w:p>
    <w:p>
      <w:pPr>
        <w:ind w:left="780" w:right="400" w:hanging="441"/>
        <w:spacing w:after="0" w:line="191" w:lineRule="auto"/>
        <w:tabs>
          <w:tab w:leader="none" w:pos="780" w:val="left"/>
        </w:tabs>
        <w:numPr>
          <w:ilvl w:val="0"/>
          <w:numId w:val="24"/>
        </w:numPr>
        <w:rPr>
          <w:rFonts w:ascii="Arial" w:cs="Arial" w:eastAsia="Arial" w:hAnsi="Arial"/>
          <w:sz w:val="26"/>
          <w:szCs w:val="26"/>
          <w:color w:val="auto"/>
          <w:vertAlign w:val="superscript"/>
        </w:rPr>
      </w:pPr>
      <w:r>
        <w:rPr>
          <w:rFonts w:ascii="Arial" w:cs="Arial" w:eastAsia="Arial" w:hAnsi="Arial"/>
          <w:sz w:val="17"/>
          <w:szCs w:val="17"/>
          <w:color w:val="auto"/>
        </w:rPr>
        <w:t>restrictions on the marketing or manufacturing of the product, withdrawal of the product from the market or voluntary or mandatory product recalls;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fines, warning letters or holds on any post-approval clinical trials;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44"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80" w:right="140" w:hanging="441"/>
        <w:spacing w:after="0" w:line="191" w:lineRule="auto"/>
        <w:tabs>
          <w:tab w:leader="none" w:pos="780" w:val="left"/>
        </w:tabs>
        <w:numPr>
          <w:ilvl w:val="0"/>
          <w:numId w:val="25"/>
        </w:numPr>
        <w:rPr>
          <w:rFonts w:ascii="Arial" w:cs="Arial" w:eastAsia="Arial" w:hAnsi="Arial"/>
          <w:sz w:val="26"/>
          <w:szCs w:val="26"/>
          <w:color w:val="auto"/>
          <w:vertAlign w:val="superscript"/>
        </w:rPr>
      </w:pPr>
      <w:r>
        <w:rPr>
          <w:rFonts w:ascii="Arial" w:cs="Arial" w:eastAsia="Arial" w:hAnsi="Arial"/>
          <w:sz w:val="17"/>
          <w:szCs w:val="17"/>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product seizure or detention, or refusal to permit the import or export of products;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auto"/>
        </w:rPr>
        <w:t>injunctions or the imposition of civil or criminal penalties.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Occurrence of any of the foregoing could have a material and adverse effect on our business and results of operations.</w:t>
      </w:r>
    </w:p>
    <w:p>
      <w:pPr>
        <w:spacing w:after="0" w:line="30"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For example, studies estimate the prevalence of LPLD to be approximately 1:1,000,000, the prevalence of primary EM to be approximately 43,000 patients, and the prevalence of Dravet Syndrome, or DS, to be 7,500-15,000 patients in the U.S. These estimates may prove to be incorrect. If the prevalence of such diseases is smaller than we have projected, then, even if our products are approved, we may not be able to successfully commercialize them.</w:t>
      </w:r>
    </w:p>
    <w:p>
      <w:pPr>
        <w:spacing w:after="0" w:line="2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444" w:right="31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11"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collectively, PPACA, was enacted, which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103" w:lineRule="exact"/>
        <w:rPr>
          <w:sz w:val="20"/>
          <w:szCs w:val="20"/>
          <w:color w:val="auto"/>
        </w:rPr>
      </w:pPr>
    </w:p>
    <w:p>
      <w:pPr>
        <w:ind w:left="780" w:right="240" w:hanging="441"/>
        <w:spacing w:after="0" w:line="191"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19" w:lineRule="exact"/>
        <w:rPr>
          <w:rFonts w:ascii="Arial" w:cs="Arial" w:eastAsia="Arial" w:hAnsi="Arial"/>
          <w:sz w:val="26"/>
          <w:szCs w:val="26"/>
          <w:color w:val="auto"/>
          <w:vertAlign w:val="superscript"/>
        </w:rPr>
      </w:pPr>
    </w:p>
    <w:p>
      <w:pPr>
        <w:ind w:left="780" w:right="80" w:hanging="441"/>
        <w:spacing w:after="0" w:line="191"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an increase in the rebates a manufacturer must pay under the Medicaid Drug Rebate Program to 23.1% and 13% of the average manufacturer price for branded and generic drugs, respectively;</w:t>
      </w:r>
    </w:p>
    <w:p>
      <w:pPr>
        <w:spacing w:after="0" w:line="19" w:lineRule="exact"/>
        <w:rPr>
          <w:rFonts w:ascii="Arial" w:cs="Arial" w:eastAsia="Arial" w:hAnsi="Arial"/>
          <w:sz w:val="26"/>
          <w:szCs w:val="26"/>
          <w:color w:val="auto"/>
          <w:vertAlign w:val="superscript"/>
        </w:rPr>
      </w:pPr>
    </w:p>
    <w:p>
      <w:pPr>
        <w:ind w:left="780" w:hanging="441"/>
        <w:spacing w:after="0" w:line="204"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20" w:lineRule="exact"/>
        <w:rPr>
          <w:rFonts w:ascii="Arial" w:cs="Arial" w:eastAsia="Arial" w:hAnsi="Arial"/>
          <w:sz w:val="26"/>
          <w:szCs w:val="26"/>
          <w:color w:val="auto"/>
          <w:vertAlign w:val="superscript"/>
        </w:rPr>
      </w:pPr>
    </w:p>
    <w:p>
      <w:pPr>
        <w:ind w:left="780" w:right="360" w:hanging="441"/>
        <w:spacing w:after="0" w:line="191"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9" w:lineRule="exact"/>
        <w:rPr>
          <w:rFonts w:ascii="Arial" w:cs="Arial" w:eastAsia="Arial" w:hAnsi="Arial"/>
          <w:sz w:val="26"/>
          <w:szCs w:val="26"/>
          <w:color w:val="auto"/>
          <w:vertAlign w:val="superscript"/>
        </w:rPr>
      </w:pPr>
    </w:p>
    <w:p>
      <w:pPr>
        <w:ind w:left="780" w:hanging="441"/>
        <w:spacing w:after="0" w:line="204"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2"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expansion of the entities eligible for discounts under the Public Health Service pharmaceutical pricing program;</w:t>
      </w:r>
    </w:p>
    <w:p>
      <w:pPr>
        <w:spacing w:after="0" w:line="17" w:lineRule="exact"/>
        <w:rPr>
          <w:rFonts w:ascii="Arial" w:cs="Arial" w:eastAsia="Arial" w:hAnsi="Arial"/>
          <w:sz w:val="25"/>
          <w:szCs w:val="25"/>
          <w:color w:val="auto"/>
          <w:vertAlign w:val="superscript"/>
        </w:rPr>
      </w:pPr>
    </w:p>
    <w:p>
      <w:pPr>
        <w:ind w:left="780" w:right="20" w:hanging="441"/>
        <w:spacing w:after="0" w:line="225"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March 31, 2014 and by the 90th day of each subsequent calendar year, and disclosure of such information to be made on a publicly available website by September 2014;</w:t>
      </w:r>
    </w:p>
    <w:p>
      <w:pPr>
        <w:spacing w:after="0" w:line="4"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 requirement to annually report drug samples that manufacturers and distributors provide to physicians, effective April 1, 2012;</w:t>
      </w:r>
    </w:p>
    <w:p>
      <w:pPr>
        <w:spacing w:after="0" w:line="17" w:lineRule="exact"/>
        <w:rPr>
          <w:rFonts w:ascii="Arial" w:cs="Arial" w:eastAsia="Arial" w:hAnsi="Arial"/>
          <w:sz w:val="25"/>
          <w:szCs w:val="25"/>
          <w:color w:val="auto"/>
          <w:vertAlign w:val="superscript"/>
        </w:rPr>
      </w:pPr>
    </w:p>
    <w:p>
      <w:pPr>
        <w:ind w:left="780" w:right="320" w:hanging="441"/>
        <w:spacing w:after="0" w:line="191" w:lineRule="auto"/>
        <w:tabs>
          <w:tab w:leader="none" w:pos="780"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 licensure framework for follow-on biologic products;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4"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80" w:right="80" w:hanging="441"/>
        <w:spacing w:after="0" w:line="191" w:lineRule="auto"/>
        <w:tabs>
          <w:tab w:leader="none" w:pos="780" w:val="left"/>
        </w:tabs>
        <w:numPr>
          <w:ilvl w:val="0"/>
          <w:numId w:val="27"/>
        </w:numPr>
        <w:rPr>
          <w:rFonts w:ascii="Arial" w:cs="Arial" w:eastAsia="Arial" w:hAnsi="Arial"/>
          <w:sz w:val="26"/>
          <w:szCs w:val="26"/>
          <w:color w:val="auto"/>
          <w:vertAlign w:val="superscript"/>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9" w:lineRule="exact"/>
        <w:rPr>
          <w:rFonts w:ascii="Arial" w:cs="Arial" w:eastAsia="Arial" w:hAnsi="Arial"/>
          <w:sz w:val="26"/>
          <w:szCs w:val="26"/>
          <w:color w:val="auto"/>
          <w:vertAlign w:val="superscript"/>
        </w:rPr>
      </w:pPr>
    </w:p>
    <w:p>
      <w:pPr>
        <w:ind w:left="780" w:right="40" w:hanging="441"/>
        <w:spacing w:after="0" w:line="204" w:lineRule="auto"/>
        <w:tabs>
          <w:tab w:leader="none" w:pos="780" w:val="left"/>
        </w:tabs>
        <w:numPr>
          <w:ilvl w:val="0"/>
          <w:numId w:val="27"/>
        </w:numPr>
        <w:rPr>
          <w:rFonts w:ascii="Arial" w:cs="Arial" w:eastAsia="Arial" w:hAnsi="Arial"/>
          <w:sz w:val="26"/>
          <w:szCs w:val="26"/>
          <w:color w:val="auto"/>
          <w:vertAlign w:val="superscript"/>
        </w:rPr>
      </w:pPr>
      <w:r>
        <w:rPr>
          <w:rFonts w:ascii="Arial" w:cs="Arial" w:eastAsia="Arial" w:hAnsi="Arial"/>
          <w:sz w:val="17"/>
          <w:szCs w:val="17"/>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20" w:lineRule="exact"/>
        <w:rPr>
          <w:rFonts w:ascii="Arial" w:cs="Arial" w:eastAsia="Arial" w:hAnsi="Arial"/>
          <w:sz w:val="26"/>
          <w:szCs w:val="26"/>
          <w:color w:val="auto"/>
          <w:vertAlign w:val="superscript"/>
        </w:rPr>
      </w:pPr>
    </w:p>
    <w:p>
      <w:pPr>
        <w:ind w:left="780" w:right="520" w:hanging="441"/>
        <w:spacing w:after="0" w:line="191" w:lineRule="auto"/>
        <w:tabs>
          <w:tab w:leader="none" w:pos="780" w:val="left"/>
        </w:tabs>
        <w:numPr>
          <w:ilvl w:val="0"/>
          <w:numId w:val="27"/>
        </w:numPr>
        <w:rPr>
          <w:rFonts w:ascii="Arial" w:cs="Arial" w:eastAsia="Arial" w:hAnsi="Arial"/>
          <w:sz w:val="26"/>
          <w:szCs w:val="26"/>
          <w:color w:val="auto"/>
          <w:vertAlign w:val="superscript"/>
        </w:rPr>
      </w:pPr>
      <w:r>
        <w:rPr>
          <w:rFonts w:ascii="Arial" w:cs="Arial" w:eastAsia="Arial" w:hAnsi="Arial"/>
          <w:sz w:val="17"/>
          <w:szCs w:val="17"/>
          <w:color w:val="auto"/>
        </w:rPr>
        <w:t>establishment of a Center for Medicare Innovation at CMS to test innovative payment and service delivery models to lower Medicare and Medicaid spending, potentially including prescription drug spending that began on January 1, 2011.</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payors, coverage, an adequate level of reimbursement might not be available for such products and third-party payors’ reimbursement policies might adversely affect our or our collaborators’ ability to sell Glybera and any future products profitably.</w:t>
      </w:r>
    </w:p>
    <w:p>
      <w:pPr>
        <w:spacing w:after="0" w:line="109"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governments tend to impose strict price controls, which may adversely affect our future profitability.</w:t>
      </w:r>
    </w:p>
    <w:p>
      <w:pPr>
        <w:spacing w:after="0" w:line="4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most foreign countries, particularly in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0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depend on Teva to collaborate with us to develop and globally commercialize TV-45070. Under the agreement, Teva controls all decision-making with respect to the clinical development and commercialization for TV-45070.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4"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9" w:lineRule="exact"/>
        <w:rPr>
          <w:sz w:val="20"/>
          <w:szCs w:val="20"/>
          <w:color w:val="auto"/>
        </w:rPr>
      </w:pPr>
    </w:p>
    <w:p>
      <w:pPr>
        <w:ind w:left="780" w:hanging="441"/>
        <w:spacing w:after="0"/>
        <w:tabs>
          <w:tab w:leader="none" w:pos="780" w:val="left"/>
        </w:tabs>
        <w:numPr>
          <w:ilvl w:val="0"/>
          <w:numId w:val="28"/>
        </w:numPr>
        <w:rPr>
          <w:rFonts w:ascii="Arial" w:cs="Arial" w:eastAsia="Arial" w:hAnsi="Arial"/>
          <w:sz w:val="26"/>
          <w:szCs w:val="26"/>
          <w:color w:val="auto"/>
          <w:vertAlign w:val="superscript"/>
        </w:rPr>
      </w:pPr>
      <w:r>
        <w:rPr>
          <w:rFonts w:ascii="Arial" w:cs="Arial" w:eastAsia="Arial" w:hAnsi="Arial"/>
          <w:sz w:val="17"/>
          <w:szCs w:val="17"/>
          <w:color w:val="auto"/>
        </w:rPr>
        <w:t>adverse decisions by Teva or the Joint Development Committee regarding the development and commercialization of TV-45070;</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8"/>
        </w:numPr>
        <w:rPr>
          <w:rFonts w:ascii="Arial" w:cs="Arial" w:eastAsia="Arial" w:hAnsi="Arial"/>
          <w:sz w:val="23"/>
          <w:szCs w:val="23"/>
          <w:color w:val="auto"/>
          <w:vertAlign w:val="superscript"/>
        </w:rPr>
      </w:pPr>
      <w:r>
        <w:rPr>
          <w:rFonts w:ascii="Arial" w:cs="Arial" w:eastAsia="Arial" w:hAnsi="Arial"/>
          <w:sz w:val="15"/>
          <w:szCs w:val="15"/>
          <w:color w:val="auto"/>
        </w:rPr>
        <w:t>possible disagreements as to the timing, nature and extent of our development plans, including clinical trials or regulatory approval strategy;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8"/>
        </w:numPr>
        <w:rPr>
          <w:rFonts w:ascii="Arial" w:cs="Arial" w:eastAsia="Arial" w:hAnsi="Arial"/>
          <w:sz w:val="23"/>
          <w:szCs w:val="23"/>
          <w:color w:val="auto"/>
          <w:vertAlign w:val="superscript"/>
        </w:rPr>
      </w:pPr>
      <w:r>
        <w:rPr>
          <w:rFonts w:ascii="Arial" w:cs="Arial" w:eastAsia="Arial" w:hAnsi="Arial"/>
          <w:sz w:val="15"/>
          <w:szCs w:val="15"/>
          <w:color w:val="auto"/>
        </w:rPr>
        <w:t>loss of significant rights if we fail to meet our obligations under the agreement;</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8"/>
        </w:numPr>
        <w:rPr>
          <w:rFonts w:ascii="Arial" w:cs="Arial" w:eastAsia="Arial" w:hAnsi="Arial"/>
          <w:sz w:val="23"/>
          <w:szCs w:val="23"/>
          <w:color w:val="auto"/>
          <w:vertAlign w:val="superscript"/>
        </w:rPr>
      </w:pPr>
      <w:r>
        <w:rPr>
          <w:rFonts w:ascii="Arial" w:cs="Arial" w:eastAsia="Arial" w:hAnsi="Arial"/>
          <w:sz w:val="15"/>
          <w:szCs w:val="15"/>
          <w:color w:val="auto"/>
        </w:rPr>
        <w:t>our limited control over clinical trials of TV-45070;</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8"/>
        </w:numPr>
        <w:rPr>
          <w:rFonts w:ascii="Arial" w:cs="Arial" w:eastAsia="Arial" w:hAnsi="Arial"/>
          <w:sz w:val="23"/>
          <w:szCs w:val="23"/>
          <w:color w:val="auto"/>
          <w:vertAlign w:val="superscript"/>
        </w:rPr>
      </w:pPr>
      <w:r>
        <w:rPr>
          <w:rFonts w:ascii="Arial" w:cs="Arial" w:eastAsia="Arial" w:hAnsi="Arial"/>
          <w:sz w:val="15"/>
          <w:szCs w:val="15"/>
          <w:color w:val="auto"/>
        </w:rPr>
        <w:t>changes in key management personnel at Teva, including in members of the Joint Development Committee;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28"/>
        </w:numPr>
        <w:rPr>
          <w:rFonts w:ascii="Arial" w:cs="Arial" w:eastAsia="Arial" w:hAnsi="Arial"/>
          <w:sz w:val="23"/>
          <w:szCs w:val="23"/>
          <w:color w:val="auto"/>
          <w:vertAlign w:val="superscript"/>
        </w:rPr>
      </w:pPr>
      <w:r>
        <w:rPr>
          <w:rFonts w:ascii="Arial" w:cs="Arial" w:eastAsia="Arial" w:hAnsi="Arial"/>
          <w:sz w:val="15"/>
          <w:szCs w:val="15"/>
          <w:color w:val="auto"/>
        </w:rPr>
        <w:t>possible disagreements with Teva regarding the agreement, for example, with regard to ownership of intellectual property rights.</w:t>
      </w:r>
    </w:p>
    <w:p>
      <w:pPr>
        <w:spacing w:after="0" w:line="10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0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09"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0"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no control over the resources, time and effort that our collaborators may devote to our programs and limited access to information regarding or resulting from such programs. We are dependent on uniQure, and its licensee Chiesi to successfully commercialize Glybera and on Teva, Genentech, and Merck &amp; Co., Inc., or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recognize revenue from successful collaborations may be impaired by multiple factors including:</w:t>
      </w:r>
    </w:p>
    <w:p>
      <w:pPr>
        <w:spacing w:after="0" w:line="127" w:lineRule="exact"/>
        <w:rPr>
          <w:sz w:val="20"/>
          <w:szCs w:val="20"/>
          <w:color w:val="auto"/>
        </w:rPr>
      </w:pPr>
    </w:p>
    <w:p>
      <w:pPr>
        <w:ind w:left="780" w:right="240" w:hanging="441"/>
        <w:spacing w:after="0" w:line="191" w:lineRule="auto"/>
        <w:tabs>
          <w:tab w:leader="none" w:pos="780" w:val="left"/>
        </w:tabs>
        <w:numPr>
          <w:ilvl w:val="0"/>
          <w:numId w:val="29"/>
        </w:numPr>
        <w:rPr>
          <w:rFonts w:ascii="Arial" w:cs="Arial" w:eastAsia="Arial" w:hAnsi="Arial"/>
          <w:sz w:val="26"/>
          <w:szCs w:val="26"/>
          <w:color w:val="auto"/>
          <w:vertAlign w:val="superscript"/>
        </w:rPr>
      </w:pPr>
      <w:r>
        <w:rPr>
          <w:rFonts w:ascii="Arial" w:cs="Arial" w:eastAsia="Arial" w:hAnsi="Arial"/>
          <w:sz w:val="17"/>
          <w:szCs w:val="17"/>
          <w:color w:val="auto"/>
        </w:rPr>
        <w:t>a collaborator may shift its priorities and resources away from our programs due to a change in business strategies, or a merger, acquisition, sale or downsizing of its company or business unit;</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a collaborator may cease development in therapeutic areas which are the subject of our strategic alliances;</w:t>
      </w:r>
    </w:p>
    <w:p>
      <w:pPr>
        <w:spacing w:after="0" w:line="17" w:lineRule="exact"/>
        <w:rPr>
          <w:rFonts w:ascii="Arial" w:cs="Arial" w:eastAsia="Arial" w:hAnsi="Arial"/>
          <w:sz w:val="25"/>
          <w:szCs w:val="25"/>
          <w:color w:val="auto"/>
          <w:vertAlign w:val="superscript"/>
        </w:rPr>
      </w:pPr>
    </w:p>
    <w:p>
      <w:pPr>
        <w:ind w:left="780" w:right="120" w:hanging="441"/>
        <w:spacing w:after="0" w:line="191" w:lineRule="auto"/>
        <w:tabs>
          <w:tab w:leader="none" w:pos="780" w:val="left"/>
        </w:tabs>
        <w:numPr>
          <w:ilvl w:val="0"/>
          <w:numId w:val="29"/>
        </w:numPr>
        <w:rPr>
          <w:rFonts w:ascii="Arial" w:cs="Arial" w:eastAsia="Arial" w:hAnsi="Arial"/>
          <w:sz w:val="26"/>
          <w:szCs w:val="26"/>
          <w:color w:val="auto"/>
          <w:vertAlign w:val="superscript"/>
        </w:rPr>
      </w:pPr>
      <w:r>
        <w:rPr>
          <w:rFonts w:ascii="Arial" w:cs="Arial" w:eastAsia="Arial" w:hAnsi="Arial"/>
          <w:sz w:val="17"/>
          <w:szCs w:val="17"/>
          <w:color w:val="auto"/>
        </w:rPr>
        <w:t>a collaborator may change the success criteria for a particular program or product candidate thereby delaying or ceasing development of such program or candidate;</w:t>
      </w:r>
    </w:p>
    <w:p>
      <w:pPr>
        <w:spacing w:after="0" w:line="19" w:lineRule="exact"/>
        <w:rPr>
          <w:rFonts w:ascii="Arial" w:cs="Arial" w:eastAsia="Arial" w:hAnsi="Arial"/>
          <w:sz w:val="26"/>
          <w:szCs w:val="26"/>
          <w:color w:val="auto"/>
          <w:vertAlign w:val="superscript"/>
        </w:rPr>
      </w:pPr>
    </w:p>
    <w:p>
      <w:pPr>
        <w:ind w:left="780" w:right="300" w:hanging="441"/>
        <w:spacing w:after="0" w:line="191" w:lineRule="auto"/>
        <w:tabs>
          <w:tab w:leader="none" w:pos="780" w:val="left"/>
        </w:tabs>
        <w:numPr>
          <w:ilvl w:val="0"/>
          <w:numId w:val="29"/>
        </w:numPr>
        <w:rPr>
          <w:rFonts w:ascii="Arial" w:cs="Arial" w:eastAsia="Arial" w:hAnsi="Arial"/>
          <w:sz w:val="26"/>
          <w:szCs w:val="26"/>
          <w:color w:val="auto"/>
          <w:vertAlign w:val="superscript"/>
        </w:rPr>
      </w:pPr>
      <w:r>
        <w:rPr>
          <w:rFonts w:ascii="Arial" w:cs="Arial" w:eastAsia="Arial" w:hAnsi="Arial"/>
          <w:sz w:val="17"/>
          <w:szCs w:val="17"/>
          <w:color w:val="auto"/>
        </w:rPr>
        <w:t>a significant delay in initiation of certain development activities by a collaborator will also delay payment of milestones tied to such activities, thereby impacting our ability to fund our own activities;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a collaborator could develop a product that competes, either directly or indirectly, with our current or future products, if 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4"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80" w:right="20" w:hanging="441"/>
        <w:spacing w:after="0" w:line="191" w:lineRule="auto"/>
        <w:tabs>
          <w:tab w:leader="none" w:pos="780" w:val="left"/>
        </w:tabs>
        <w:numPr>
          <w:ilvl w:val="0"/>
          <w:numId w:val="30"/>
        </w:numPr>
        <w:rPr>
          <w:rFonts w:ascii="Arial" w:cs="Arial" w:eastAsia="Arial" w:hAnsi="Arial"/>
          <w:sz w:val="26"/>
          <w:szCs w:val="26"/>
          <w:color w:val="auto"/>
          <w:vertAlign w:val="superscript"/>
        </w:rPr>
      </w:pPr>
      <w:r>
        <w:rPr>
          <w:rFonts w:ascii="Arial" w:cs="Arial" w:eastAsia="Arial" w:hAnsi="Arial"/>
          <w:sz w:val="17"/>
          <w:szCs w:val="17"/>
          <w:color w:val="auto"/>
        </w:rPr>
        <w:t>a collaborator with commercialization obligations may not commit sufficient financial or human resources to the marketing, distribution or sale of a product;</w:t>
      </w:r>
    </w:p>
    <w:p>
      <w:pPr>
        <w:spacing w:after="0" w:line="19" w:lineRule="exact"/>
        <w:rPr>
          <w:rFonts w:ascii="Arial" w:cs="Arial" w:eastAsia="Arial" w:hAnsi="Arial"/>
          <w:sz w:val="26"/>
          <w:szCs w:val="26"/>
          <w:color w:val="auto"/>
          <w:vertAlign w:val="superscript"/>
        </w:rPr>
      </w:pPr>
    </w:p>
    <w:p>
      <w:pPr>
        <w:ind w:left="780" w:right="720" w:hanging="441"/>
        <w:spacing w:after="0" w:line="191" w:lineRule="auto"/>
        <w:tabs>
          <w:tab w:leader="none" w:pos="780" w:val="left"/>
        </w:tabs>
        <w:numPr>
          <w:ilvl w:val="0"/>
          <w:numId w:val="30"/>
        </w:numPr>
        <w:rPr>
          <w:rFonts w:ascii="Arial" w:cs="Arial" w:eastAsia="Arial" w:hAnsi="Arial"/>
          <w:sz w:val="26"/>
          <w:szCs w:val="26"/>
          <w:color w:val="auto"/>
          <w:vertAlign w:val="superscript"/>
        </w:rPr>
      </w:pPr>
      <w:r>
        <w:rPr>
          <w:rFonts w:ascii="Arial" w:cs="Arial" w:eastAsia="Arial" w:hAnsi="Arial"/>
          <w:sz w:val="17"/>
          <w:szCs w:val="17"/>
          <w:color w:val="auto"/>
        </w:rPr>
        <w:t>a collaborator with manufacturing responsibilities may encounter regulatory, resource or quality issues and be unable to meet demand requirements;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a collaborator may exercise its rights under the agreement to terminate our collaboration;</w:t>
      </w:r>
    </w:p>
    <w:p>
      <w:pPr>
        <w:spacing w:after="0" w:line="17" w:lineRule="exact"/>
        <w:rPr>
          <w:rFonts w:ascii="Arial" w:cs="Arial" w:eastAsia="Arial" w:hAnsi="Arial"/>
          <w:sz w:val="25"/>
          <w:szCs w:val="25"/>
          <w:color w:val="auto"/>
          <w:vertAlign w:val="superscript"/>
        </w:rPr>
      </w:pPr>
    </w:p>
    <w:p>
      <w:pPr>
        <w:jc w:val="both"/>
        <w:ind w:left="780" w:right="220" w:hanging="441"/>
        <w:spacing w:after="0" w:line="204" w:lineRule="auto"/>
        <w:tabs>
          <w:tab w:leader="none" w:pos="780" w:val="left"/>
        </w:tabs>
        <w:numPr>
          <w:ilvl w:val="0"/>
          <w:numId w:val="30"/>
        </w:numPr>
        <w:rPr>
          <w:rFonts w:ascii="Arial" w:cs="Arial" w:eastAsia="Arial" w:hAnsi="Arial"/>
          <w:sz w:val="26"/>
          <w:szCs w:val="26"/>
          <w:color w:val="auto"/>
          <w:vertAlign w:val="superscript"/>
        </w:rPr>
      </w:pPr>
      <w:r>
        <w:rPr>
          <w:rFonts w:ascii="Arial" w:cs="Arial" w:eastAsia="Arial" w:hAnsi="Arial"/>
          <w:sz w:val="17"/>
          <w:szCs w:val="17"/>
          <w:color w:val="auto"/>
        </w:rPr>
        <w:t>a dispute may arise between us and a collaborator concerning the research or development of a product candidate or commercialization of a product resulting in a delay in milestones, royalty payments or termination of a program and possibly resulting in costly litigation or arbitration which may divert management attention and resources;</w:t>
      </w:r>
    </w:p>
    <w:p>
      <w:pPr>
        <w:spacing w:after="0" w:line="2"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a collaborator may not adequately protect the intellectual property rights associated with a product or product candidate;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a collaborator may use our proprietary information or intellectual property in such a way as to invite litigation from a third party.</w:t>
      </w:r>
    </w:p>
    <w:p>
      <w:pPr>
        <w:spacing w:after="0" w:line="108"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1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20" w:lineRule="exact"/>
        <w:rPr>
          <w:sz w:val="20"/>
          <w:szCs w:val="20"/>
          <w:color w:val="auto"/>
        </w:rPr>
      </w:pPr>
    </w:p>
    <w:p>
      <w:pPr>
        <w:ind w:left="780" w:hanging="441"/>
        <w:spacing w:after="0"/>
        <w:tabs>
          <w:tab w:leader="none" w:pos="780"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color w:val="auto"/>
        </w:rPr>
        <w:t>the development of certain of our current or future product candidates may be terminated or delayed;</w:t>
      </w:r>
    </w:p>
    <w:p>
      <w:pPr>
        <w:spacing w:after="0" w:line="17" w:lineRule="exact"/>
        <w:rPr>
          <w:rFonts w:ascii="Arial" w:cs="Arial" w:eastAsia="Arial" w:hAnsi="Arial"/>
          <w:sz w:val="26"/>
          <w:szCs w:val="26"/>
          <w:color w:val="auto"/>
          <w:vertAlign w:val="superscript"/>
        </w:rPr>
      </w:pPr>
    </w:p>
    <w:p>
      <w:pPr>
        <w:ind w:left="780" w:right="500" w:hanging="441"/>
        <w:spacing w:after="0" w:line="191" w:lineRule="auto"/>
        <w:tabs>
          <w:tab w:leader="none" w:pos="780"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color w:val="auto"/>
        </w:rPr>
        <w:t>our cash expenditures related to development of our product candidates would increase significantly and we may need to seek additional financing sooner than expected;</w:t>
      </w:r>
    </w:p>
    <w:p>
      <w:pPr>
        <w:spacing w:after="0" w:line="19" w:lineRule="exact"/>
        <w:rPr>
          <w:rFonts w:ascii="Arial" w:cs="Arial" w:eastAsia="Arial" w:hAnsi="Arial"/>
          <w:sz w:val="26"/>
          <w:szCs w:val="26"/>
          <w:color w:val="auto"/>
          <w:vertAlign w:val="superscript"/>
        </w:rPr>
      </w:pPr>
    </w:p>
    <w:p>
      <w:pPr>
        <w:ind w:left="780" w:right="300" w:hanging="441"/>
        <w:spacing w:after="0" w:line="191" w:lineRule="auto"/>
        <w:tabs>
          <w:tab w:leader="none" w:pos="780"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color w:val="auto"/>
        </w:rPr>
        <w:t>we may be required to hire additional employees or otherwise develop expertise, such as clinical, regulatory, sales and marketing expertise, which we do not currently have;</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we will bear all of the risk related to the development of any such product candidates;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the competitiveness of any product that is commercialized could be reduced.</w:t>
      </w:r>
    </w:p>
    <w:p>
      <w:pPr>
        <w:spacing w:after="0" w:line="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4"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14"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and our CROs are required to comply with cGCP regulations and guidelines enforced by the FDA, the competent authorities of the member states of the EEA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4"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09"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law firms and other professionals and rely on such third parties to effect payment of these fees with respect to the patents and patent applications that we own, and we rely upon our licensors or our other collaborators to effect payment of these fees with respect to the patents and patent applications that we license.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4"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4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17" w:lineRule="exact"/>
        <w:rPr>
          <w:sz w:val="20"/>
          <w:szCs w:val="20"/>
          <w:color w:val="auto"/>
        </w:rPr>
      </w:pPr>
    </w:p>
    <w:p>
      <w:pPr>
        <w:ind w:left="780" w:right="80" w:hanging="441"/>
        <w:spacing w:after="0" w:line="191"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others may be able to make compounds that are similar to our product candidates but that are not covered by the claims of the patents that we or our collaborators own or have exclusively licensed;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others may independently develop similar or alternative technologies without infringing our intellectual property rights;</w:t>
      </w:r>
    </w:p>
    <w:p>
      <w:pPr>
        <w:spacing w:after="0" w:line="17" w:lineRule="exact"/>
        <w:rPr>
          <w:rFonts w:ascii="Arial" w:cs="Arial" w:eastAsia="Arial" w:hAnsi="Arial"/>
          <w:sz w:val="25"/>
          <w:szCs w:val="25"/>
          <w:color w:val="auto"/>
          <w:vertAlign w:val="superscript"/>
        </w:rPr>
      </w:pPr>
    </w:p>
    <w:p>
      <w:pPr>
        <w:ind w:left="780" w:right="640" w:hanging="441"/>
        <w:spacing w:after="0" w:line="191"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w:t>
      </w:r>
    </w:p>
    <w:p>
      <w:pPr>
        <w:spacing w:after="0" w:line="19" w:lineRule="exact"/>
        <w:rPr>
          <w:rFonts w:ascii="Arial" w:cs="Arial" w:eastAsia="Arial" w:hAnsi="Arial"/>
          <w:sz w:val="26"/>
          <w:szCs w:val="26"/>
          <w:color w:val="auto"/>
          <w:vertAlign w:val="superscript"/>
        </w:rPr>
      </w:pPr>
    </w:p>
    <w:p>
      <w:pPr>
        <w:ind w:left="780" w:right="160" w:hanging="441"/>
        <w:spacing w:after="0" w:line="204"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20" w:lineRule="exact"/>
        <w:rPr>
          <w:rFonts w:ascii="Arial" w:cs="Arial" w:eastAsia="Arial" w:hAnsi="Arial"/>
          <w:sz w:val="26"/>
          <w:szCs w:val="26"/>
          <w:color w:val="auto"/>
          <w:vertAlign w:val="superscript"/>
        </w:rPr>
      </w:pPr>
    </w:p>
    <w:p>
      <w:pPr>
        <w:ind w:left="780" w:right="820" w:hanging="441"/>
        <w:spacing w:after="0" w:line="191"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we may fail to develop additional proprietary technologies that are patentable;</w:t>
      </w:r>
    </w:p>
    <w:p>
      <w:pPr>
        <w:spacing w:after="0" w:line="17" w:lineRule="exact"/>
        <w:rPr>
          <w:rFonts w:ascii="Arial" w:cs="Arial" w:eastAsia="Arial" w:hAnsi="Arial"/>
          <w:sz w:val="25"/>
          <w:szCs w:val="25"/>
          <w:color w:val="auto"/>
          <w:vertAlign w:val="superscript"/>
        </w:rPr>
      </w:pPr>
    </w:p>
    <w:p>
      <w:pPr>
        <w:ind w:left="780" w:right="80" w:hanging="441"/>
        <w:spacing w:after="0" w:line="191"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19" w:lineRule="exact"/>
        <w:rPr>
          <w:rFonts w:ascii="Arial" w:cs="Arial" w:eastAsia="Arial" w:hAnsi="Arial"/>
          <w:sz w:val="26"/>
          <w:szCs w:val="26"/>
          <w:color w:val="auto"/>
          <w:vertAlign w:val="superscript"/>
        </w:rPr>
      </w:pPr>
    </w:p>
    <w:p>
      <w:pPr>
        <w:ind w:left="780" w:right="340" w:hanging="441"/>
        <w:spacing w:after="0" w:line="191" w:lineRule="auto"/>
        <w:tabs>
          <w:tab w:leader="none" w:pos="780" w:val="left"/>
        </w:tabs>
        <w:numPr>
          <w:ilvl w:val="0"/>
          <w:numId w:val="32"/>
        </w:numPr>
        <w:rPr>
          <w:rFonts w:ascii="Arial" w:cs="Arial" w:eastAsia="Arial" w:hAnsi="Arial"/>
          <w:sz w:val="26"/>
          <w:szCs w:val="26"/>
          <w:color w:val="auto"/>
          <w:vertAlign w:val="superscript"/>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1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patents covering one or more of our products or product candidates could be found invalid or unenforceable if challenged.</w:t>
      </w:r>
    </w:p>
    <w:p>
      <w:pPr>
        <w:spacing w:after="0" w:line="4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4"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0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10"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4"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Glybera, TV-45070 and some of our earlier stage product candidates are held by our collaborators.</w:t>
      </w:r>
    </w:p>
    <w:p>
      <w:pPr>
        <w:spacing w:after="0" w:line="111"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6"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444" w:right="2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0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6"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0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1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1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0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4"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or require us to seek licenses that may not be available on commercially acceptable terms, if at all, each of which could have a material adverse effect on our business.</w:t>
      </w:r>
    </w:p>
    <w:p>
      <w:pPr>
        <w:spacing w:after="0" w:line="2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b w:val="1"/>
          <w:bCs w:val="1"/>
          <w:i w:val="1"/>
          <w:iCs w:val="1"/>
          <w:color w:val="auto"/>
        </w:rPr>
        <w:t>Unfavorable outcomes in intellectual property litigation could limit our research and development activities and/or our ability to commercialize certain products.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6"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patent portfolio for Glybera is in-licensed from UBC. 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6"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Extreme Genetics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444"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9"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and continues to develop and implement regulations and procedures to govern administration of the Leahy-Smith Act, and many of the substantive changes to patent law associated with the Leahy-Smith Act. The full effect of these changes are currently unclear as the USPTO has not yet adopted all pertinent final rules and regulations,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w:t>
      </w:r>
      <w:r>
        <w:rPr>
          <w:rFonts w:ascii="Arial" w:cs="Arial" w:eastAsia="Arial" w:hAnsi="Arial"/>
          <w:sz w:val="17"/>
          <w:szCs w:val="17"/>
          <w:i w:val="1"/>
          <w:iCs w:val="1"/>
          <w:color w:val="auto"/>
        </w:rPr>
        <w:t>Association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held that isolated DNA sequences are not patentable. As a consequence of the</w:t>
      </w:r>
      <w:r>
        <w:rPr>
          <w:rFonts w:ascii="Arial" w:cs="Arial" w:eastAsia="Arial" w:hAnsi="Arial"/>
          <w:sz w:val="17"/>
          <w:szCs w:val="17"/>
          <w:i w:val="1"/>
          <w:iCs w:val="1"/>
          <w:color w:val="auto"/>
        </w:rPr>
        <w:t xml:space="preserve"> Myriad </w:t>
      </w:r>
      <w:r>
        <w:rPr>
          <w:rFonts w:ascii="Arial" w:cs="Arial" w:eastAsia="Arial" w:hAnsi="Arial"/>
          <w:sz w:val="17"/>
          <w:szCs w:val="17"/>
          <w:color w:val="auto"/>
        </w:rPr>
        <w:t>decision, if any of</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product candidates utilize isolated human DNA as a result of our Extreme Genetics discovery platform that allows us to identify DNA sequences associated with human disease, we will not be able to obtain patents in the U.S. claiming such novel gene targets that we discover, which could limit our ability to prevent third parties from developing drugs directed against such targets.</w:t>
      </w:r>
    </w:p>
    <w:p>
      <w:pPr>
        <w:spacing w:after="0" w:line="28"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10"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4"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b w:val="1"/>
          <w:bCs w:val="1"/>
          <w:i w:val="1"/>
          <w:iCs w:val="1"/>
          <w:color w:val="auto"/>
        </w:rPr>
        <w:t>We have not registered our corporate name as a trademark in all of our potential markets, and failure to secure those registrations could adversely affect our business.</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4"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6"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50"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our current and any future products.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30" w:lineRule="exact"/>
        <w:rPr>
          <w:sz w:val="20"/>
          <w:szCs w:val="20"/>
          <w:color w:val="auto"/>
        </w:rPr>
      </w:pPr>
    </w:p>
    <w:p>
      <w:pPr>
        <w:ind w:left="780" w:hanging="441"/>
        <w:spacing w:after="0"/>
        <w:tabs>
          <w:tab w:leader="none" w:pos="780" w:val="left"/>
        </w:tabs>
        <w:numPr>
          <w:ilvl w:val="0"/>
          <w:numId w:val="33"/>
        </w:numPr>
        <w:rPr>
          <w:rFonts w:ascii="Arial" w:cs="Arial" w:eastAsia="Arial" w:hAnsi="Arial"/>
          <w:sz w:val="26"/>
          <w:szCs w:val="26"/>
          <w:color w:val="auto"/>
          <w:vertAlign w:val="superscript"/>
        </w:rPr>
      </w:pPr>
      <w:r>
        <w:rPr>
          <w:rFonts w:ascii="Arial" w:cs="Arial" w:eastAsia="Arial" w:hAnsi="Arial"/>
          <w:sz w:val="17"/>
          <w:szCs w:val="17"/>
          <w:color w:val="auto"/>
        </w:rPr>
        <w:t>decreased demand for our product candidates or any resulting products;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injury to our reputation;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withdrawal of clinical trial participants;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costs to defend the related litigation;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a diversion of management’s time and our resources;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substantial monetary awards to trial participants or patients;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product recalls, withdrawals or labeling, marketing or promotional restrictions;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loss of revenue;</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the inability to commercialize our product candidates;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a decline in our share price.</w:t>
      </w:r>
    </w:p>
    <w:p>
      <w:pPr>
        <w:spacing w:after="0" w:line="10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currently carry product liability insurance of $5,000,000 per occurrence and $5,000,000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common share price to decline and, if judgments exceed our insurance coverage, could adversely affect our future results of operations and business.</w:t>
      </w:r>
    </w:p>
    <w:p>
      <w:pPr>
        <w:spacing w:after="0" w:line="10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444" w:right="2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4"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Healthcare providers, physicians and third-party payors in the U.S.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122" w:lineRule="exact"/>
        <w:rPr>
          <w:sz w:val="20"/>
          <w:szCs w:val="20"/>
          <w:color w:val="auto"/>
        </w:rPr>
      </w:pPr>
    </w:p>
    <w:p>
      <w:pPr>
        <w:ind w:left="780" w:right="60" w:hanging="441"/>
        <w:spacing w:after="0" w:line="212"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 w:lineRule="exact"/>
        <w:rPr>
          <w:rFonts w:ascii="Arial" w:cs="Arial" w:eastAsia="Arial" w:hAnsi="Arial"/>
          <w:sz w:val="26"/>
          <w:szCs w:val="26"/>
          <w:color w:val="auto"/>
          <w:vertAlign w:val="superscript"/>
        </w:rPr>
      </w:pPr>
    </w:p>
    <w:p>
      <w:pPr>
        <w:ind w:left="780" w:right="220" w:hanging="441"/>
        <w:spacing w:after="0" w:line="212"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 xml:space="preserve">federal civil and criminal false claims laws and civil monetary penalty laws, including the federal False Claims Act, which impose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18" w:lineRule="exact"/>
        <w:rPr>
          <w:rFonts w:ascii="Arial" w:cs="Arial" w:eastAsia="Arial" w:hAnsi="Arial"/>
          <w:sz w:val="26"/>
          <w:szCs w:val="26"/>
          <w:color w:val="auto"/>
          <w:vertAlign w:val="superscript"/>
        </w:rPr>
      </w:pPr>
    </w:p>
    <w:p>
      <w:pPr>
        <w:ind w:left="780" w:hanging="441"/>
        <w:spacing w:after="0" w:line="191"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HIPAA, which imposes criminal and civil liability for executing a scheme to defraud any healthcare benefit program and making false statements relating to healthcare matters;</w:t>
      </w:r>
    </w:p>
    <w:p>
      <w:pPr>
        <w:spacing w:after="0" w:line="19" w:lineRule="exact"/>
        <w:rPr>
          <w:rFonts w:ascii="Arial" w:cs="Arial" w:eastAsia="Arial" w:hAnsi="Arial"/>
          <w:sz w:val="26"/>
          <w:szCs w:val="26"/>
          <w:color w:val="auto"/>
          <w:vertAlign w:val="superscript"/>
        </w:rPr>
      </w:pPr>
    </w:p>
    <w:p>
      <w:pPr>
        <w:ind w:left="780" w:right="320" w:hanging="441"/>
        <w:spacing w:after="0" w:line="212"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8" w:lineRule="exact"/>
        <w:rPr>
          <w:rFonts w:ascii="Arial" w:cs="Arial" w:eastAsia="Arial" w:hAnsi="Arial"/>
          <w:sz w:val="26"/>
          <w:szCs w:val="26"/>
          <w:color w:val="auto"/>
          <w:vertAlign w:val="superscript"/>
        </w:rPr>
      </w:pPr>
    </w:p>
    <w:p>
      <w:pPr>
        <w:ind w:left="780" w:right="60" w:hanging="441"/>
        <w:spacing w:after="0" w:line="224"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the federal Open Payments program, created under Section 6002 of PPACA and its implementing regulations requires manufacturers of drugs, devices, biologics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HHS ownership and investment interests held by physicians (as defined above) and their immediate family members, with data collection required beginning August 1, 2013, reporting to the Centers for Medicare &amp; Medicaid Services, or CMS, required by March 31, 2014 (and by the 90th day of each subsequent calendar year), and disclosure of such information to be made on a publicly available website by September 2014; and</w:t>
      </w:r>
    </w:p>
    <w:p>
      <w:pPr>
        <w:spacing w:after="0" w:line="18" w:lineRule="exact"/>
        <w:rPr>
          <w:rFonts w:ascii="Arial" w:cs="Arial" w:eastAsia="Arial" w:hAnsi="Arial"/>
          <w:sz w:val="26"/>
          <w:szCs w:val="26"/>
          <w:color w:val="auto"/>
          <w:vertAlign w:val="superscript"/>
        </w:rPr>
      </w:pPr>
    </w:p>
    <w:p>
      <w:pPr>
        <w:ind w:left="780" w:right="320" w:hanging="441"/>
        <w:spacing w:after="0" w:line="191" w:lineRule="auto"/>
        <w:tabs>
          <w:tab w:leader="none" w:pos="78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4"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800"/>
        <w:spacing w:after="0" w:line="239" w:lineRule="auto"/>
        <w:rPr>
          <w:sz w:val="20"/>
          <w:szCs w:val="20"/>
          <w:color w:val="auto"/>
        </w:rPr>
      </w:pPr>
      <w:r>
        <w:rPr>
          <w:rFonts w:ascii="Arial" w:cs="Arial" w:eastAsia="Arial" w:hAnsi="Arial"/>
          <w:sz w:val="17"/>
          <w:szCs w:val="17"/>
          <w:color w:val="auto"/>
        </w:rPr>
        <w:t>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1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9"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15" w:lineRule="exact"/>
        <w:rPr>
          <w:sz w:val="20"/>
          <w:szCs w:val="20"/>
          <w:color w:val="auto"/>
        </w:rPr>
      </w:pPr>
    </w:p>
    <w:p>
      <w:pPr>
        <w:ind w:right="820"/>
        <w:spacing w:after="0" w:line="265"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headquarters are located in Burnaby, British Columbia, Canada. We are vulnerable to natural disasters such as earthquakes that could disrupt our operations.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We do not carry insurance for earthquakes or other natural disasters and although our business interruption insurance applies in the event of an earthquake, we may not carry sufficient business interruption insurance to compensate us for all losses that may occur.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In addition, we may lose samples or other valuable data. The occurrence of any of the forgoing could have a material adverse effect on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4"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Shares and this Offering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shares in the public market could cause our share price to fall.</w:t>
      </w:r>
    </w:p>
    <w:p>
      <w:pPr>
        <w:spacing w:after="0" w:line="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Our share price could decline as a result of sales of a large number of our common shares after this offering or the perception that these sales could occur.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Holders of approximately 6,334,582 common shares, based on our common shares outstanding as of September 30, 2014, or 46.6% of such common shares following this offering, will have rights to require us to file registration statements covering the sale of their common shares or to include their common shares in registration statements that we may file for ourselves or other shareholders described in the section of the prospectus captioned “Description of Share Capital—Registration Rights.” We also intend to register the offer and sale of all common shares that we may issue under our equity compensation plans. Once we register the offer and sale of common shares for the holders of registration rights and option holders, they can be freely sold in the public market upon issuance, subject to the market stand-off and lock-up agreements described in the sections of this prospectus captioned “Shares Eligible for Future Sale—Lock-Up and Market Standoff Agreements” and “Underwriting.”</w:t>
      </w:r>
    </w:p>
    <w:p>
      <w:pPr>
        <w:spacing w:after="0" w:line="10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24"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b w:val="1"/>
          <w:bCs w:val="1"/>
          <w:i w:val="1"/>
          <w:iCs w:val="1"/>
          <w:color w:val="auto"/>
        </w:rPr>
        <w:t>We expect that our trading price will fluctuate significantly and investors may not be able to resell their shares at or above the initial public offering price.</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The trading price of our common shares following this offering may be highly volatile and could be subject to wide fluctuations in response to various factors, some of which are beyond our control. As a result of this volatility, you may not be able to sell your common shares at or above the initial public offering price, if at all. The market price for our common shares may be influenced by many factors, including:</w:t>
      </w:r>
    </w:p>
    <w:p>
      <w:pPr>
        <w:spacing w:after="0" w:line="121" w:lineRule="exact"/>
        <w:rPr>
          <w:sz w:val="20"/>
          <w:szCs w:val="20"/>
          <w:color w:val="auto"/>
        </w:rPr>
      </w:pPr>
    </w:p>
    <w:p>
      <w:pPr>
        <w:ind w:left="780" w:right="580" w:hanging="441"/>
        <w:spacing w:after="0" w:line="191" w:lineRule="auto"/>
        <w:tabs>
          <w:tab w:leader="none" w:pos="780" w:val="left"/>
        </w:tabs>
        <w:numPr>
          <w:ilvl w:val="0"/>
          <w:numId w:val="35"/>
        </w:numPr>
        <w:rPr>
          <w:rFonts w:ascii="Arial" w:cs="Arial" w:eastAsia="Arial" w:hAnsi="Arial"/>
          <w:sz w:val="26"/>
          <w:szCs w:val="26"/>
          <w:color w:val="auto"/>
          <w:vertAlign w:val="superscript"/>
        </w:rPr>
      </w:pPr>
      <w:r>
        <w:rPr>
          <w:rFonts w:ascii="Arial" w:cs="Arial" w:eastAsia="Arial" w:hAnsi="Arial"/>
          <w:sz w:val="17"/>
          <w:szCs w:val="17"/>
          <w:color w:val="auto"/>
        </w:rPr>
        <w:t>actions by any of our collaborators regarding our product candidates they are developing, including announcements regarding clinical or regulatory decisions or developments or our collaboration;</w:t>
      </w:r>
    </w:p>
    <w:p>
      <w:pPr>
        <w:spacing w:after="0" w:line="19" w:lineRule="exact"/>
        <w:rPr>
          <w:rFonts w:ascii="Arial" w:cs="Arial" w:eastAsia="Arial" w:hAnsi="Arial"/>
          <w:sz w:val="26"/>
          <w:szCs w:val="26"/>
          <w:color w:val="auto"/>
          <w:vertAlign w:val="superscript"/>
        </w:rPr>
      </w:pPr>
    </w:p>
    <w:p>
      <w:pPr>
        <w:ind w:left="780" w:right="740" w:hanging="441"/>
        <w:spacing w:after="0" w:line="191" w:lineRule="auto"/>
        <w:tabs>
          <w:tab w:leader="none" w:pos="780" w:val="left"/>
        </w:tabs>
        <w:numPr>
          <w:ilvl w:val="0"/>
          <w:numId w:val="35"/>
        </w:numPr>
        <w:rPr>
          <w:rFonts w:ascii="Arial" w:cs="Arial" w:eastAsia="Arial" w:hAnsi="Arial"/>
          <w:sz w:val="26"/>
          <w:szCs w:val="26"/>
          <w:color w:val="auto"/>
          <w:vertAlign w:val="superscript"/>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unanticipated serious safety concerns related to Glybera or to the use of any of our products and product candidates;</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results from or delays of clinical trials of our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failure to obtain or delays in obtaining product approvals or clearances from regulatory authorities;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adverse regulatory or reimbursement announcements;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announcements by us or our competitors of significant acquisitions, strategic collaborations, joint ventures or capital commitments;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the results of our efforts to discover or develop additional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our dependence on third parties, including our collaborators, CROs, clinical trial sponsors and clinical investigators;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regulatory or legal developments in Canada, the U.S. or other countries;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developments or disputes concerning patent applications, issued patents or other proprietary rights;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the recruitment or departure of key scientific or management personnel;</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our ability to successfully commercialize our future product candidates we develop independently, if approved;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the level of expenses related to any of our product candidates or clinical development programs;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actual or anticipated quarterly variations in our financial results or those of our competitors;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4"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19" w:lineRule="exact"/>
        <w:rPr>
          <w:sz w:val="20"/>
          <w:szCs w:val="20"/>
          <w:color w:val="auto"/>
        </w:rPr>
      </w:pPr>
    </w:p>
    <w:p>
      <w:pPr>
        <w:ind w:left="780" w:hanging="441"/>
        <w:spacing w:after="0"/>
        <w:tabs>
          <w:tab w:leader="none" w:pos="780" w:val="left"/>
        </w:tabs>
        <w:numPr>
          <w:ilvl w:val="0"/>
          <w:numId w:val="36"/>
        </w:numPr>
        <w:rPr>
          <w:rFonts w:ascii="Arial" w:cs="Arial" w:eastAsia="Arial" w:hAnsi="Arial"/>
          <w:sz w:val="26"/>
          <w:szCs w:val="26"/>
          <w:color w:val="auto"/>
          <w:vertAlign w:val="superscript"/>
        </w:rPr>
      </w:pPr>
      <w:r>
        <w:rPr>
          <w:rFonts w:ascii="Arial" w:cs="Arial" w:eastAsia="Arial" w:hAnsi="Arial"/>
          <w:sz w:val="17"/>
          <w:szCs w:val="17"/>
          <w:color w:val="auto"/>
        </w:rPr>
        <w:t>any change to the composition of the board of directors or key personnel;</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expiration of contractual lock-up agreements with our executive officers, directors and security holders;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sales of common shares by us or our shareholders in the future, as well as the overall trading volume of our common shares;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changes in the structure of healthcare payment systems;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commencement of, or our involvement in, litigation;</w:t>
      </w:r>
    </w:p>
    <w:p>
      <w:pPr>
        <w:spacing w:after="0" w:line="17" w:lineRule="exact"/>
        <w:rPr>
          <w:rFonts w:ascii="Arial" w:cs="Arial" w:eastAsia="Arial" w:hAnsi="Arial"/>
          <w:sz w:val="23"/>
          <w:szCs w:val="23"/>
          <w:color w:val="auto"/>
          <w:vertAlign w:val="superscript"/>
        </w:rPr>
      </w:pPr>
    </w:p>
    <w:p>
      <w:pPr>
        <w:jc w:val="both"/>
        <w:ind w:left="780" w:right="140" w:hanging="441"/>
        <w:spacing w:after="0" w:line="201" w:lineRule="auto"/>
        <w:tabs>
          <w:tab w:leader="none" w:pos="7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ind w:left="780" w:hanging="441"/>
        <w:spacing w:after="0" w:line="183" w:lineRule="auto"/>
        <w:tabs>
          <w:tab w:leader="none" w:pos="78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the other factors described in this “Risk Factors” section.</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the stock market in general, and The NASDAQ Global Market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5" w:lineRule="exact"/>
        <w:rPr>
          <w:sz w:val="20"/>
          <w:szCs w:val="20"/>
          <w:color w:val="auto"/>
        </w:rPr>
      </w:pPr>
    </w:p>
    <w:p>
      <w:pPr>
        <w:ind w:right="560"/>
        <w:spacing w:after="0" w:line="265" w:lineRule="auto"/>
        <w:rPr>
          <w:sz w:val="20"/>
          <w:szCs w:val="20"/>
          <w:color w:val="auto"/>
        </w:rPr>
      </w:pPr>
      <w:r>
        <w:rPr>
          <w:rFonts w:ascii="Arial" w:cs="Arial" w:eastAsia="Arial" w:hAnsi="Arial"/>
          <w:sz w:val="17"/>
          <w:szCs w:val="17"/>
          <w:b w:val="1"/>
          <w:bCs w:val="1"/>
          <w:i w:val="1"/>
          <w:iCs w:val="1"/>
          <w:color w:val="auto"/>
        </w:rPr>
        <w:t>After this offering and the concurrent private placement, our executive officers, directors and principal shareholders will be able to exert significant influence over matters submitted to shareholders for approval.</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Upon the closing of this offering and the concurrent private placement, our executive officers and directors and shareholders who owned more than 5% of our outstanding common shares before this offering will, in the aggregate, beneficially own shares representing approximately 41.9% of our outstanding common shares, based on our common shares outstanding as of September 30, 2014. As a result, if these shareholders were to choose to act together, they would be able to exert significant influence over matters submitted to our shareholders for approval, as well as our management and affairs. The interests of this group of shareholders may not always coincide with our corporate interests or the interests of other shareholders, and they may act in a way in which you may not agree with or in a way that may not be in the best interests of other shareholders. This concentration of voting power could delay or prevent an acquisition of our company on terms that other shareholders may desire or otherwise discourage a potential acquirer from attempting to obtain control of us, which in turn could have a material adverse effect on our share price.</w:t>
      </w:r>
    </w:p>
    <w:p>
      <w:pPr>
        <w:spacing w:after="0" w:line="30" w:lineRule="exact"/>
        <w:rPr>
          <w:sz w:val="20"/>
          <w:szCs w:val="20"/>
          <w:color w:val="auto"/>
        </w:rPr>
      </w:pPr>
    </w:p>
    <w:p>
      <w:pPr>
        <w:ind w:right="460"/>
        <w:spacing w:after="0" w:line="253" w:lineRule="auto"/>
        <w:rPr>
          <w:sz w:val="20"/>
          <w:szCs w:val="20"/>
          <w:color w:val="auto"/>
        </w:rPr>
      </w:pPr>
      <w:r>
        <w:rPr>
          <w:rFonts w:ascii="Arial" w:cs="Arial" w:eastAsia="Arial" w:hAnsi="Arial"/>
          <w:sz w:val="17"/>
          <w:szCs w:val="17"/>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Provisions in our articles and our by-laws that will become effective immediately prior to consummation of this offering,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122" w:lineRule="exact"/>
        <w:rPr>
          <w:sz w:val="20"/>
          <w:szCs w:val="20"/>
          <w:color w:val="auto"/>
        </w:rPr>
      </w:pPr>
    </w:p>
    <w:p>
      <w:pPr>
        <w:ind w:left="780" w:right="120" w:hanging="441"/>
        <w:spacing w:after="0" w:line="191" w:lineRule="auto"/>
        <w:tabs>
          <w:tab w:leader="none" w:pos="780" w:val="left"/>
        </w:tabs>
        <w:numPr>
          <w:ilvl w:val="0"/>
          <w:numId w:val="37"/>
        </w:numPr>
        <w:rPr>
          <w:rFonts w:ascii="Arial" w:cs="Arial" w:eastAsia="Arial" w:hAnsi="Arial"/>
          <w:sz w:val="26"/>
          <w:szCs w:val="26"/>
          <w:color w:val="auto"/>
          <w:vertAlign w:val="superscript"/>
        </w:rPr>
      </w:pPr>
      <w:r>
        <w:rPr>
          <w:rFonts w:ascii="Arial" w:cs="Arial" w:eastAsia="Arial" w:hAnsi="Arial"/>
          <w:sz w:val="17"/>
          <w:szCs w:val="17"/>
          <w:color w:val="auto"/>
        </w:rPr>
        <w:t>shareholders cannot amend our articles unless such amendment is approved by shareholders holding at least two-thirds of the shares entitled to vote on such approval;</w:t>
      </w:r>
    </w:p>
    <w:p>
      <w:pPr>
        <w:spacing w:after="0" w:line="19" w:lineRule="exact"/>
        <w:rPr>
          <w:rFonts w:ascii="Arial" w:cs="Arial" w:eastAsia="Arial" w:hAnsi="Arial"/>
          <w:sz w:val="26"/>
          <w:szCs w:val="26"/>
          <w:color w:val="auto"/>
          <w:vertAlign w:val="superscript"/>
        </w:rPr>
      </w:pPr>
    </w:p>
    <w:p>
      <w:pPr>
        <w:ind w:left="780" w:right="700" w:hanging="441"/>
        <w:spacing w:after="0" w:line="191" w:lineRule="auto"/>
        <w:tabs>
          <w:tab w:leader="none" w:pos="780" w:val="left"/>
        </w:tabs>
        <w:numPr>
          <w:ilvl w:val="0"/>
          <w:numId w:val="37"/>
        </w:numPr>
        <w:rPr>
          <w:rFonts w:ascii="Arial" w:cs="Arial" w:eastAsia="Arial" w:hAnsi="Arial"/>
          <w:sz w:val="26"/>
          <w:szCs w:val="26"/>
          <w:color w:val="auto"/>
          <w:vertAlign w:val="superscript"/>
        </w:rPr>
      </w:pPr>
      <w:r>
        <w:rPr>
          <w:rFonts w:ascii="Arial" w:cs="Arial" w:eastAsia="Arial" w:hAnsi="Arial"/>
          <w:sz w:val="17"/>
          <w:szCs w:val="17"/>
          <w:color w:val="auto"/>
        </w:rPr>
        <w:t>our board of directors may, without shareholder approval, issue preferred shares having any terms, conditions, rights, preferences and privileges as the board of directors may determine;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shareholders must give advance notice to nominate directors or to submit proposals for consideration at shareholders’ meetings.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4"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civil liabilities may not be enforceable against us, our directors, our officers or certain experts named in this prospectus.</w:t>
      </w:r>
    </w:p>
    <w:p>
      <w:pPr>
        <w:spacing w:after="0" w:line="4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governed by the CBCA and our principal place of business is in Canada. Many of our directors and officers, as well as certain experts named herein, reside outside of the U.S., and all or a substantial portion of their assets as well as all or a substantial portion of our assets are located outside the U.S. As a result, it may be difficult for investors to effect service of process within the U.S. upon us and such directors, officers and experts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4"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b w:val="1"/>
          <w:bCs w:val="1"/>
          <w:i w:val="1"/>
          <w:iCs w:val="1"/>
          <w:color w:val="auto"/>
        </w:rPr>
        <w:t>We are governed by the corporate laws of Canada which in some cases have a different effect on shareholders than the corporate laws of Delaware, U.S.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 Refer to the heading titled “Material Differences between the Canada Business Corporations Act and Delaware General Corporation Law” for more information.</w:t>
      </w:r>
    </w:p>
    <w:p>
      <w:pPr>
        <w:spacing w:after="0" w:line="29"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b w:val="1"/>
          <w:bCs w:val="1"/>
          <w:i w:val="1"/>
          <w:iCs w:val="1"/>
          <w:color w:val="auto"/>
        </w:rPr>
        <w:t>We do not know whether an active and liquid trading market will develop for our common shares or what the market price of our common shares will be and as a result it may be difficult for you to sell your common shares.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Prior to this offering, there has been no public market for our common shares. An active trading market for our shares may never develop or be sustained following this offering on The NASDAQ Global Market, on which we have been approved to list our common shares, or otherwise. If an active market for our common shares does not develop, it may be difficult for you to sell common shares you purchase in this offering without depressing the market price for the common shares or you may not be able to sell your shares at all. The initial public offering price for our common shares has been determined through negotiations with the underwriters and the negotiated price may not be indicative of the market price for our common shares after this offering. The initial public offering price may vary from the market price of our common shares after the offering. As a result of these and other factors, you may not be able to sell your common shares at or above the initial public offering price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that we did not incur as a private company.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In addition, we have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4"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recently hired Ian Mortimer as our full-time chief financial officer. We anticipate that we may need to hire additional accounting and financial staff with appropriate public company experience and technical accounting knowledge to address the added burdens of operating as a public company. Our management and other personnel will need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we expect these rules and regulations to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commencing with our second annual report on Form 10-K, Section 404 of the Sarbanes-Oxley Act, or Section 404, will require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1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6" w:lineRule="exact"/>
        <w:rPr>
          <w:sz w:val="20"/>
          <w:szCs w:val="20"/>
          <w:color w:val="auto"/>
        </w:rPr>
      </w:pPr>
    </w:p>
    <w:p>
      <w:pPr>
        <w:ind w:right="920"/>
        <w:spacing w:after="0" w:line="265"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this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our share price may be more volatile.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444" w:right="2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an “emerging growth company,” the JOBS Act allows us to delay adoption of new or revised accounting pronouncements applicable to public companies until such pronouncements are made applicable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6"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In addition, our management and independent registered public accounting firm did not perform an evaluation of our internal control over financial reporting as of December 31, 2013, December 31, 2012 or December 31, 2011,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b w:val="1"/>
          <w:bCs w:val="1"/>
          <w:i w:val="1"/>
          <w:iCs w:val="1"/>
          <w:color w:val="auto"/>
        </w:rPr>
        <w:t>If you purchase our common shares in this offering, future sales and issuances of our common shares or rights to purchase common shares, including pursuant to our equity incentive plans, could cause you to incur dilution and could cause our share price to fall.</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As of June 30, 2014, options to purchase 1,442,741 of our common shares with a weighted-average exercise price of $4.37 per common share were outstanding. The exercise of any of these options would result in dilution to investors purchasing shares in this offering.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1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6"/>
          <w:szCs w:val="16"/>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 including common shares sold in this offering.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444"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the concurrent private placement and its investment of these proceeds may not yield a favorable return. They may invest the proceeds of this offering and the concurrent private placement in ways with which investors disagree.</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the concurrent private placement and could spend or invest the proceeds in ways with which our shareholders disagree. Accordingly, investors will need to rely on our management team’s judgment with respect to the use of these proceeds. We intend to use the proceeds from this offering to: (1) fund preclinical and early clinical development of our DS and XEN801 programs; (2) genetic research and drug discovery activities using our Extreme Genetics discovery platform; and (3) for working capital and other general corporate purposes. We may also use a portion of the net proceeds to acquire, license and invest in complementary products, technologies or businesses; however, we currently have no agreements or commitments to complete any such transaction. These uses may not yield a favorable return to our shareholders.</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cannot specify with certainty all of the particular uses for the net proceeds to be received upon the closing of this offering and the concurrent private placement. In addition, the amount, allocation and timing of our actual expenditures will depend upon numerous factors, including milestone payments received from our collaborations and royalties received on sale of our approved product and any future approved product. Accordingly, we will have broad discretion in using these proceeds. Until the net proceeds are used, they may be placed in investments that do not produce significant income or that may lose value.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at risk of securities class action litigation.</w:t>
      </w:r>
    </w:p>
    <w:p>
      <w:pPr>
        <w:spacing w:after="0" w:line="44" w:lineRule="exact"/>
        <w:rPr>
          <w:sz w:val="20"/>
          <w:szCs w:val="20"/>
          <w:color w:val="auto"/>
        </w:rPr>
      </w:pPr>
    </w:p>
    <w:p>
      <w:pPr>
        <w:jc w:val="both"/>
        <w:ind w:right="100"/>
        <w:spacing w:after="0" w:line="241"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on our common shares in the foreseeable future.</w:t>
      </w:r>
    </w:p>
    <w:p>
      <w:pPr>
        <w:spacing w:after="0" w:line="44" w:lineRule="exact"/>
        <w:rPr>
          <w:sz w:val="20"/>
          <w:szCs w:val="20"/>
          <w:color w:val="auto"/>
        </w:rPr>
      </w:pPr>
    </w:p>
    <w:p>
      <w:pPr>
        <w:jc w:val="both"/>
        <w:ind w:right="520"/>
        <w:spacing w:after="0" w:line="264"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NASDAQ may delist our securities from its exchange, which could limit investors’ ability to make transactions in our securities and subject us to additional trading restrictions.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common shares have been approved for listing on The NASDAQ Global Market under the trading symbol “XENE.” In order to make a final determination of compliance with their listing criteria, NASDAQ may look to the first trading day’s activity and, particularly, the last bid price on such day. In the event the trading price for our common shares drops below NASDAQ’s $1.00 minimum bid requirement, NASDAQ could rescind our initial listing approval. If that were to happen, the liquidity for our common shares would decrease. If we failed to list the common shares on NASDAQ, the liquidity for our common shares would be significantly impaired, which may substantially decrease the trading price of our common shares.</w:t>
      </w:r>
    </w:p>
    <w:p>
      <w:pPr>
        <w:spacing w:after="0" w:line="111"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In addition, in the future, our securities may fail to meet the continued listing requirements to be listed on NASDAQ. If NASDAQ delists our common shares from trading on its exchange, we could face significant material adverse consequences, including:</w:t>
      </w:r>
    </w:p>
    <w:p>
      <w:pPr>
        <w:spacing w:after="0" w:line="20" w:lineRule="exact"/>
        <w:rPr>
          <w:sz w:val="20"/>
          <w:szCs w:val="20"/>
          <w:color w:val="auto"/>
        </w:rPr>
      </w:pPr>
    </w:p>
    <w:p>
      <w:pPr>
        <w:ind w:left="780" w:hanging="441"/>
        <w:spacing w:after="0"/>
        <w:tabs>
          <w:tab w:leader="none" w:pos="780" w:val="left"/>
        </w:tabs>
        <w:numPr>
          <w:ilvl w:val="0"/>
          <w:numId w:val="38"/>
        </w:numPr>
        <w:rPr>
          <w:rFonts w:ascii="Arial" w:cs="Arial" w:eastAsia="Arial" w:hAnsi="Arial"/>
          <w:sz w:val="26"/>
          <w:szCs w:val="26"/>
          <w:color w:val="auto"/>
          <w:vertAlign w:val="superscript"/>
        </w:rPr>
      </w:pPr>
      <w:r>
        <w:rPr>
          <w:rFonts w:ascii="Arial" w:cs="Arial" w:eastAsia="Arial" w:hAnsi="Arial"/>
          <w:sz w:val="17"/>
          <w:szCs w:val="17"/>
          <w:color w:val="auto"/>
        </w:rPr>
        <w:t>a limited availability of market quotations for our securities;</w:t>
      </w:r>
    </w:p>
    <w:p>
      <w:pPr>
        <w:spacing w:after="0" w:line="17" w:lineRule="exact"/>
        <w:rPr>
          <w:rFonts w:ascii="Arial" w:cs="Arial" w:eastAsia="Arial" w:hAnsi="Arial"/>
          <w:sz w:val="26"/>
          <w:szCs w:val="26"/>
          <w:color w:val="auto"/>
          <w:vertAlign w:val="superscript"/>
        </w:rPr>
      </w:pPr>
    </w:p>
    <w:p>
      <w:pPr>
        <w:ind w:left="780" w:right="20" w:hanging="441"/>
        <w:spacing w:after="0" w:line="191" w:lineRule="auto"/>
        <w:tabs>
          <w:tab w:leader="none" w:pos="780" w:val="left"/>
        </w:tabs>
        <w:numPr>
          <w:ilvl w:val="0"/>
          <w:numId w:val="38"/>
        </w:numPr>
        <w:rPr>
          <w:rFonts w:ascii="Arial" w:cs="Arial" w:eastAsia="Arial" w:hAnsi="Arial"/>
          <w:sz w:val="26"/>
          <w:szCs w:val="26"/>
          <w:color w:val="auto"/>
          <w:vertAlign w:val="superscript"/>
        </w:rPr>
      </w:pPr>
      <w:r>
        <w:rPr>
          <w:rFonts w:ascii="Arial" w:cs="Arial" w:eastAsia="Arial" w:hAnsi="Arial"/>
          <w:sz w:val="17"/>
          <w:szCs w:val="17"/>
          <w:color w:val="auto"/>
        </w:rPr>
        <w:t>a determination that our common shares is a “penny stock” which will require brokers trading in our common shares to adhere to more stringent rules and possibly resulting in a reduced level of trading activity in the secondary trading market for our common shares;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a limited amount of news and analyst coverage for our company;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a decreased ability to issue additional securities or obtain additional financing in the future.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4"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reports about our business, or if they issue an adverse opinion about our business, our share price and trading volume could decline.</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trading market for our common shares will be influenced by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impacted. In the event securities or industry analysts initiate coverage, if one or more of the analysts who cover us downgrade our common shares or publish inaccurate or unfavorable research about our business, our share price would likely decline. If one or more of these analysts cease coverage of our company or fail to publish reports on us regularly, demand for our common shares could decrease, which might cause our price and trading volume to decline.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240" w:top="444" w:right="41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5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This prospectus contains forward-looking statements that are based on management’s beliefs and assumptions and on information currently available to management. Some of the statements under “Prospectus Summary,” “Risk Factors,” “Management’s Discussion and Analysis of Financial Condition and Results of Operations” and “Business” and elsewhere in this prospectus contain forward-looking statements.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w:t>
      </w:r>
    </w:p>
    <w:p>
      <w:pPr>
        <w:spacing w:after="0" w:line="11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27" w:lineRule="exact"/>
        <w:rPr>
          <w:sz w:val="20"/>
          <w:szCs w:val="20"/>
          <w:color w:val="auto"/>
        </w:rPr>
      </w:pPr>
    </w:p>
    <w:p>
      <w:pPr>
        <w:ind w:left="780" w:hanging="441"/>
        <w:spacing w:after="0"/>
        <w:tabs>
          <w:tab w:leader="none" w:pos="780" w:val="left"/>
        </w:tabs>
        <w:numPr>
          <w:ilvl w:val="0"/>
          <w:numId w:val="39"/>
        </w:numPr>
        <w:rPr>
          <w:rFonts w:ascii="Arial" w:cs="Arial" w:eastAsia="Arial" w:hAnsi="Arial"/>
          <w:sz w:val="26"/>
          <w:szCs w:val="26"/>
          <w:color w:val="auto"/>
          <w:vertAlign w:val="superscript"/>
        </w:rPr>
      </w:pPr>
      <w:r>
        <w:rPr>
          <w:rFonts w:ascii="Arial" w:cs="Arial" w:eastAsia="Arial" w:hAnsi="Arial"/>
          <w:sz w:val="17"/>
          <w:szCs w:val="17"/>
          <w:color w:val="auto"/>
        </w:rPr>
        <w:t>our ability to identify additional products or product candidates using our Extreme Genetics discovery platform;</w:t>
      </w:r>
    </w:p>
    <w:p>
      <w:pPr>
        <w:spacing w:after="0" w:line="43"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initiation, timing, cost, progress and success of our research and development programs, preclinical studies and clinical trials;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advance product candidates into, and successfully complete, clinical trials;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recruit sufficient numbers of patients for our future clinical trials for orphan or more common indications;</w:t>
      </w:r>
    </w:p>
    <w:p>
      <w:pPr>
        <w:spacing w:after="0" w:line="43"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achieve profitability;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obtain funding for our operations, including research funding;</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receive milestones, royalties and sublicensing fees under our collaborations, and the timing of such payments;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implementation of our business model and strategic plans;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develop and commercialize product candidates for orphan and niche indications independently;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commercialization, marketing and manufacturing capabilities and strategy;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find families to support our Extreme Genetics discovery platform;</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discover genes and drug targets;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ability to protect our intellectual property and operate our business without infringing upon the intellectual property rights of others;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expectations regarding federal, state and foreign regulatory requirements;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therapeutic benefits, effectiveness and safety of our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accuracy of our estimates of the size and characteristics of the markets that may be addressed by our products and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rate and degree of market acceptance and clinical utility of Glybera and future products, if any;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the timing of and our and our collaborators’ ability to obtain and maintain regulatory approvals for our product candidates;</w:t>
      </w:r>
    </w:p>
    <w:p>
      <w:pPr>
        <w:spacing w:after="0" w:line="17" w:lineRule="exact"/>
        <w:rPr>
          <w:rFonts w:ascii="Arial" w:cs="Arial" w:eastAsia="Arial" w:hAnsi="Arial"/>
          <w:sz w:val="23"/>
          <w:szCs w:val="23"/>
          <w:color w:val="auto"/>
          <w:vertAlign w:val="superscript"/>
        </w:rPr>
      </w:pPr>
    </w:p>
    <w:p>
      <w:pPr>
        <w:ind w:left="780" w:hanging="441"/>
        <w:spacing w:after="0" w:line="191" w:lineRule="auto"/>
        <w:tabs>
          <w:tab w:leader="none" w:pos="780" w:val="left"/>
        </w:tabs>
        <w:numPr>
          <w:ilvl w:val="0"/>
          <w:numId w:val="39"/>
        </w:numPr>
        <w:rPr>
          <w:rFonts w:ascii="Arial" w:cs="Arial" w:eastAsia="Arial" w:hAnsi="Arial"/>
          <w:sz w:val="26"/>
          <w:szCs w:val="26"/>
          <w:color w:val="auto"/>
          <w:vertAlign w:val="superscript"/>
        </w:rPr>
      </w:pPr>
      <w:r>
        <w:rPr>
          <w:rFonts w:ascii="Arial" w:cs="Arial" w:eastAsia="Arial" w:hAnsi="Arial"/>
          <w:sz w:val="17"/>
          <w:szCs w:val="17"/>
          <w:color w:val="auto"/>
        </w:rPr>
        <w:t>the likelihood of our exercise of our option to co-promote TV-45070 in the U.S. under our Teva collaboration and co-fund and co-develop under our Merck collaboration;</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our ability to maintain and establish collaborations;</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use of proceeds from this offering and the concurrent private placement;</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expectations regarding market risk, including interest rate changes and foreign currency fluctuations;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color w:val="auto"/>
        </w:rPr>
        <w:t>our belief in the sufficiency of our cash flows to meet our needs for at least the next 12 to 24 months;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40"/>
          </w:cols>
          <w:pgMar w:left="240" w:top="444" w:right="31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19" w:lineRule="exact"/>
        <w:rPr>
          <w:sz w:val="20"/>
          <w:szCs w:val="20"/>
          <w:color w:val="auto"/>
        </w:rPr>
      </w:pPr>
    </w:p>
    <w:p>
      <w:pPr>
        <w:ind w:left="780" w:hanging="441"/>
        <w:spacing w:after="0"/>
        <w:tabs>
          <w:tab w:leader="none" w:pos="780" w:val="left"/>
        </w:tabs>
        <w:numPr>
          <w:ilvl w:val="0"/>
          <w:numId w:val="40"/>
        </w:numPr>
        <w:rPr>
          <w:rFonts w:ascii="Arial" w:cs="Arial" w:eastAsia="Arial" w:hAnsi="Arial"/>
          <w:sz w:val="26"/>
          <w:szCs w:val="26"/>
          <w:color w:val="auto"/>
          <w:vertAlign w:val="superscript"/>
        </w:rPr>
      </w:pPr>
      <w:r>
        <w:rPr>
          <w:rFonts w:ascii="Arial" w:cs="Arial" w:eastAsia="Arial" w:hAnsi="Arial"/>
          <w:sz w:val="17"/>
          <w:szCs w:val="17"/>
          <w:color w:val="auto"/>
        </w:rPr>
        <w:t>our expectations regarding the timing during which we will be an emerging growth company under the JOBS Act;</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our ability to engage and retain the employees required to grow our business;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our future financial performance and projected expenditures;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developments relating to our competitors and our industry, including the success of competing therapies that are or become available;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estimates of our expenses, future revenue, capital requirements and our needs for additional financing.</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you should refer to the “Risk Factors” section of this prospectus for a discussion of other important factors that may cause actual results to differ materially from those expressed or implied by the forward-looking statements. As a result of these factors, we cannot assure you that the forward-looking statements in this prospectus will prove to be 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of 1933, as amended, do not protect any forward-looking statements that we make in connection with this offering.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4"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MARKET, INDUSTRY AND OTHER DATA</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indicated, information contained in this prospectus concerning our industry and the market in which we operate, including our market position, market opportunity and market size, is based on information from various sources such as industry publications, on assumptions that we have made based on such data and other similar sources and on our knowledge of the markets for our products. These data involve a number of assumptions and limitations. We have not independently verified any third-party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prospectus. These and other factors could cause results to differ materially from those expressed in the estimates made by the independent parties and by us.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20"/>
          </w:cols>
          <w:pgMar w:left="240" w:top="444"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to us from the sale of the common shares in this offering and the concurrent private placement will be approximately $33.3 million, or approximately $38.3 million if the underwriters exercise in full their option to purchase additional common shares, based upon the initial public offering price of $9.00 per common share, and after deducting underwriting discounts and commissions, fees payable in connection with the concurrent private placement and estimated offering expenses payable by us.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We currently expect to use the net proceeds from this offering and the concurrent private placement as follows:</w:t>
      </w:r>
    </w:p>
    <w:p>
      <w:pPr>
        <w:spacing w:after="0" w:line="30" w:lineRule="exact"/>
        <w:rPr>
          <w:sz w:val="20"/>
          <w:szCs w:val="20"/>
          <w:color w:val="auto"/>
        </w:rPr>
      </w:pPr>
    </w:p>
    <w:p>
      <w:pPr>
        <w:ind w:left="780" w:hanging="441"/>
        <w:spacing w:after="0"/>
        <w:tabs>
          <w:tab w:leader="none" w:pos="780" w:val="left"/>
        </w:tabs>
        <w:numPr>
          <w:ilvl w:val="0"/>
          <w:numId w:val="41"/>
        </w:numPr>
        <w:rPr>
          <w:rFonts w:ascii="Arial" w:cs="Arial" w:eastAsia="Arial" w:hAnsi="Arial"/>
          <w:sz w:val="26"/>
          <w:szCs w:val="26"/>
          <w:color w:val="auto"/>
          <w:vertAlign w:val="superscript"/>
        </w:rPr>
      </w:pPr>
      <w:r>
        <w:rPr>
          <w:rFonts w:ascii="Arial" w:cs="Arial" w:eastAsia="Arial" w:hAnsi="Arial"/>
          <w:sz w:val="17"/>
          <w:szCs w:val="17"/>
          <w:color w:val="auto"/>
        </w:rPr>
        <w:t>approximately $17.0 million for preclinical and early clinical development of our Dravet Syndrome and XEN801 programs;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approximately $11.0 million to fund genetic research and drug discovery activities using our Extreme Genetics discovery platform;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the remainder for working capital and general corporate purposes.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We may also use a portion of the net proceeds in connection with any exercise of co-development or co-promotion rights under our collaborations; however, no such rights are currently exercisable. In addition, we may also use a portion of the net proceeds to acquire, license and invest in complementary products, technologies or businesses; however, we currently have no agreements or commitments to complete any such transaction.</w:t>
      </w:r>
    </w:p>
    <w:p>
      <w:pPr>
        <w:spacing w:after="0" w:line="12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This expected use of the net proceeds of this offering and the concurrent private placement represents our intentions based 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allocation and timing of our actual expenditures will depend upon numerous factors, including:</w:t>
      </w:r>
    </w:p>
    <w:p>
      <w:pPr>
        <w:spacing w:after="0" w:line="89" w:lineRule="exact"/>
        <w:rPr>
          <w:sz w:val="20"/>
          <w:szCs w:val="20"/>
          <w:color w:val="auto"/>
        </w:rPr>
      </w:pPr>
    </w:p>
    <w:p>
      <w:pPr>
        <w:ind w:left="780" w:hanging="441"/>
        <w:spacing w:after="0"/>
        <w:tabs>
          <w:tab w:leader="none" w:pos="780" w:val="left"/>
        </w:tabs>
        <w:numPr>
          <w:ilvl w:val="0"/>
          <w:numId w:val="42"/>
        </w:numPr>
        <w:rPr>
          <w:rFonts w:ascii="Arial" w:cs="Arial" w:eastAsia="Arial" w:hAnsi="Arial"/>
          <w:sz w:val="26"/>
          <w:szCs w:val="26"/>
          <w:color w:val="auto"/>
          <w:vertAlign w:val="superscript"/>
        </w:rPr>
      </w:pPr>
      <w:r>
        <w:rPr>
          <w:rFonts w:ascii="Arial" w:cs="Arial" w:eastAsia="Arial" w:hAnsi="Arial"/>
          <w:sz w:val="17"/>
          <w:szCs w:val="17"/>
          <w:color w:val="auto"/>
        </w:rPr>
        <w:t>the focus and results of our research, drug discovery and preclinical development activities;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the type, number, costs and results of any clinical trials for our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regulatory actions relating to our product candidates;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our ability to achieve milestones and obtain royalty payments from our collaborators;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whether any co-funding or co-promotion rights under our strategic alliances are exercised;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competitive and technological developments;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the rate of growth, if any, of our business.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240" w:top="444" w:right="4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DIVIDEND POLICY</w:t>
      </w: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never declared or paid any cash dividends on our common shares or any other securities. We currently anticipate that we will retain all available funds and any future earnings, if any, in the foreseeable future for use in the operation of our business and do not currently anticipate paying cash dividends in the foreseeable future.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60"/>
          </w:cols>
          <w:pgMar w:left="240" w:top="444" w:right="2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CAPITALIZATION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capitalization as of June 30, 2014:</w:t>
      </w:r>
    </w:p>
    <w:p>
      <w:pPr>
        <w:spacing w:after="0" w:line="30" w:lineRule="exact"/>
        <w:rPr>
          <w:sz w:val="20"/>
          <w:szCs w:val="20"/>
          <w:color w:val="auto"/>
        </w:rPr>
      </w:pPr>
    </w:p>
    <w:p>
      <w:pPr>
        <w:ind w:left="780" w:hanging="441"/>
        <w:spacing w:after="0"/>
        <w:tabs>
          <w:tab w:leader="none" w:pos="780" w:val="left"/>
        </w:tabs>
        <w:numPr>
          <w:ilvl w:val="0"/>
          <w:numId w:val="43"/>
        </w:numPr>
        <w:rPr>
          <w:rFonts w:ascii="Arial" w:cs="Arial" w:eastAsia="Arial" w:hAnsi="Arial"/>
          <w:sz w:val="26"/>
          <w:szCs w:val="26"/>
          <w:color w:val="auto"/>
          <w:vertAlign w:val="superscript"/>
        </w:rPr>
      </w:pPr>
      <w:r>
        <w:rPr>
          <w:rFonts w:ascii="Arial" w:cs="Arial" w:eastAsia="Arial" w:hAnsi="Arial"/>
          <w:sz w:val="17"/>
          <w:szCs w:val="17"/>
          <w:color w:val="auto"/>
        </w:rPr>
        <w:t>on an actual basis;</w:t>
      </w:r>
    </w:p>
    <w:p>
      <w:pPr>
        <w:spacing w:after="0" w:line="17" w:lineRule="exact"/>
        <w:rPr>
          <w:rFonts w:ascii="Arial" w:cs="Arial" w:eastAsia="Arial" w:hAnsi="Arial"/>
          <w:sz w:val="26"/>
          <w:szCs w:val="26"/>
          <w:color w:val="auto"/>
          <w:vertAlign w:val="superscript"/>
        </w:rPr>
      </w:pPr>
    </w:p>
    <w:p>
      <w:pPr>
        <w:ind w:left="780" w:right="160" w:hanging="441"/>
        <w:spacing w:after="0" w:line="187" w:lineRule="auto"/>
        <w:tabs>
          <w:tab w:leader="none" w:pos="780" w:val="left"/>
        </w:tabs>
        <w:numPr>
          <w:ilvl w:val="0"/>
          <w:numId w:val="43"/>
        </w:numPr>
        <w:rPr>
          <w:rFonts w:ascii="Arial" w:cs="Arial" w:eastAsia="Arial" w:hAnsi="Arial"/>
          <w:sz w:val="26"/>
          <w:szCs w:val="26"/>
          <w:color w:val="auto"/>
          <w:vertAlign w:val="superscript"/>
        </w:rPr>
      </w:pPr>
      <w:r>
        <w:rPr>
          <w:rFonts w:ascii="Arial" w:cs="Arial" w:eastAsia="Arial" w:hAnsi="Arial"/>
          <w:sz w:val="17"/>
          <w:szCs w:val="17"/>
          <w:color w:val="auto"/>
        </w:rPr>
        <w:t>on a pro forma basis to reflect (1) the conversion of all outstanding preferred shares into an aggregate of 7,725,924 common shares upon the closing of this offering including the conversion of all of our outstanding Series A preferred shares and Series B preferred shares into</w:t>
      </w:r>
    </w:p>
    <w:p>
      <w:pPr>
        <w:spacing w:after="0" w:line="1" w:lineRule="exact"/>
        <w:rPr>
          <w:rFonts w:ascii="Arial" w:cs="Arial" w:eastAsia="Arial" w:hAnsi="Arial"/>
          <w:sz w:val="26"/>
          <w:szCs w:val="26"/>
          <w:color w:val="auto"/>
          <w:vertAlign w:val="superscript"/>
        </w:rPr>
      </w:pPr>
    </w:p>
    <w:p>
      <w:pPr>
        <w:ind w:left="780" w:right="20"/>
        <w:spacing w:after="0" w:line="239" w:lineRule="auto"/>
        <w:rPr>
          <w:rFonts w:ascii="Arial" w:cs="Arial" w:eastAsia="Arial" w:hAnsi="Arial"/>
          <w:sz w:val="26"/>
          <w:szCs w:val="26"/>
          <w:color w:val="auto"/>
          <w:vertAlign w:val="superscript"/>
        </w:rPr>
      </w:pPr>
      <w:r>
        <w:rPr>
          <w:rFonts w:ascii="Arial" w:cs="Arial" w:eastAsia="Arial" w:hAnsi="Arial"/>
          <w:sz w:val="17"/>
          <w:szCs w:val="17"/>
          <w:color w:val="auto"/>
        </w:rPr>
        <w:t>2,146,353 common shares and the conversion of all of our outstanding Series E preferred shares into 5,579,571 common shares, based on the initial public offering price of $9.00 per share and the adjustment provisions relating to our Series E preferred shares described in the section titled “Description of Share Capital”; (2) the automatic conversion of all subscription rights outstanding upon the closing of this offering into an aggregate of 10,660 common shares; and (3) a 1 for 4.86 reverse share split of our common and preferred shares effected on October 1, 2014; and</w:t>
      </w:r>
    </w:p>
    <w:p>
      <w:pPr>
        <w:spacing w:after="0" w:line="20" w:lineRule="exact"/>
        <w:rPr>
          <w:rFonts w:ascii="Arial" w:cs="Arial" w:eastAsia="Arial" w:hAnsi="Arial"/>
          <w:sz w:val="26"/>
          <w:szCs w:val="26"/>
          <w:color w:val="auto"/>
          <w:vertAlign w:val="superscript"/>
        </w:rPr>
      </w:pPr>
    </w:p>
    <w:p>
      <w:pPr>
        <w:ind w:left="780" w:right="180" w:hanging="441"/>
        <w:spacing w:after="0" w:line="212" w:lineRule="auto"/>
        <w:tabs>
          <w:tab w:leader="none" w:pos="780" w:val="left"/>
        </w:tabs>
        <w:numPr>
          <w:ilvl w:val="0"/>
          <w:numId w:val="43"/>
        </w:numPr>
        <w:rPr>
          <w:rFonts w:ascii="Arial" w:cs="Arial" w:eastAsia="Arial" w:hAnsi="Arial"/>
          <w:sz w:val="26"/>
          <w:szCs w:val="26"/>
          <w:color w:val="auto"/>
          <w:vertAlign w:val="superscript"/>
        </w:rPr>
      </w:pPr>
      <w:r>
        <w:rPr>
          <w:rFonts w:ascii="Arial" w:cs="Arial" w:eastAsia="Arial" w:hAnsi="Arial"/>
          <w:sz w:val="17"/>
          <w:szCs w:val="17"/>
          <w:color w:val="auto"/>
        </w:rPr>
        <w:t>on a pro forma as adjusted basis, to further reflect (i) the issuance and sale by us of 495,000 common shares in the concurrent private placement to an affiliate of Genentech, after deducting fees payable in connection with the concurrent private placement, and (ii) the sale and issuance by us of 4,000,000 common shares in this offering at the initial public offering price of $9.00 per share, after deducting underwriting discounts and commissions and estimated offering expenses payable by us.</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Investors should read the information in this table together with the financial statements and related notes to those statements, as well as the sections of this prospectus captioned “Selected Financial Data”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252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AS OF JUNE 30, 2014</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8"/>
        </w:trPr>
        <w:tc>
          <w:tcPr>
            <w:tcW w:w="7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r>
      <w:tr>
        <w:trPr>
          <w:trHeight w:val="159"/>
        </w:trPr>
        <w:tc>
          <w:tcPr>
            <w:tcW w:w="7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ACTUAL</w:t>
            </w:r>
          </w:p>
        </w:tc>
        <w:tc>
          <w:tcPr>
            <w:tcW w:w="440" w:type="dxa"/>
            <w:vAlign w:val="bottom"/>
          </w:tcPr>
          <w:p>
            <w:pPr>
              <w:spacing w:after="0"/>
              <w:rPr>
                <w:sz w:val="13"/>
                <w:szCs w:val="13"/>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w w:val="98"/>
              </w:rPr>
              <w:t>PRO FORMA</w:t>
            </w:r>
          </w:p>
        </w:tc>
        <w:tc>
          <w:tcPr>
            <w:tcW w:w="22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AS ADJUSTED</w:t>
            </w:r>
          </w:p>
        </w:tc>
      </w:tr>
      <w:tr>
        <w:trPr>
          <w:trHeight w:val="131"/>
        </w:trPr>
        <w:tc>
          <w:tcPr>
            <w:tcW w:w="7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right"/>
              <w:ind w:right="540"/>
              <w:spacing w:after="0" w:line="131" w:lineRule="exact"/>
              <w:rPr>
                <w:sz w:val="20"/>
                <w:szCs w:val="20"/>
                <w:color w:val="auto"/>
              </w:rPr>
            </w:pPr>
            <w:r>
              <w:rPr>
                <w:rFonts w:ascii="Arial" w:cs="Arial" w:eastAsia="Arial" w:hAnsi="Arial"/>
                <w:sz w:val="13"/>
                <w:szCs w:val="13"/>
                <w:b w:val="1"/>
                <w:bCs w:val="1"/>
                <w:color w:val="auto"/>
              </w:rPr>
              <w:t>(unaudited)</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7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shares, without par value; issuable in series,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72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6,619,483 authorized, 6,468,479 preferred shares issued and outstanding, actual; no</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72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preferred shares authorized, issued or outstanding, pro forma; no preferred shares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260" w:type="dxa"/>
            <w:vAlign w:val="bottom"/>
            <w:shd w:val="clear" w:color="auto" w:fill="CCEEFF"/>
          </w:tcPr>
          <w:p>
            <w:pPr>
              <w:ind w:left="300"/>
              <w:spacing w:after="0" w:line="190" w:lineRule="exact"/>
              <w:rPr>
                <w:sz w:val="20"/>
                <w:szCs w:val="20"/>
                <w:color w:val="auto"/>
              </w:rPr>
            </w:pPr>
            <w:r>
              <w:rPr>
                <w:rFonts w:ascii="Arial" w:cs="Arial" w:eastAsia="Arial" w:hAnsi="Arial"/>
                <w:sz w:val="17"/>
                <w:szCs w:val="17"/>
                <w:color w:val="auto"/>
              </w:rPr>
              <w:t>authorized, issued or outstanding, pro forma as adjusted</w:t>
            </w:r>
          </w:p>
        </w:tc>
        <w:tc>
          <w:tcPr>
            <w:tcW w:w="1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102,488</w:t>
            </w:r>
          </w:p>
        </w:tc>
        <w:tc>
          <w:tcPr>
            <w:tcW w:w="2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40"/>
              <w:spacing w:after="0" w:line="190"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line="190"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220"/>
              <w:spacing w:after="0" w:line="190"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rPr>
              <w:t>—</w:t>
            </w:r>
          </w:p>
        </w:tc>
      </w:tr>
      <w:tr>
        <w:trPr>
          <w:trHeight w:val="194"/>
        </w:trPr>
        <w:tc>
          <w:tcPr>
            <w:tcW w:w="7260" w:type="dxa"/>
            <w:vAlign w:val="bottom"/>
          </w:tcPr>
          <w:p>
            <w:pPr>
              <w:spacing w:after="0" w:line="194" w:lineRule="exact"/>
              <w:rPr>
                <w:sz w:val="20"/>
                <w:szCs w:val="20"/>
                <w:color w:val="auto"/>
              </w:rPr>
            </w:pPr>
            <w:r>
              <w:rPr>
                <w:rFonts w:ascii="Arial" w:cs="Arial" w:eastAsia="Arial" w:hAnsi="Arial"/>
                <w:sz w:val="17"/>
                <w:szCs w:val="17"/>
                <w:color w:val="auto"/>
              </w:rPr>
              <w:t>Shareholders’ deficit: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7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Preferred shares, without par value, no shares authorized, issued or outstanding,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72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actual; unlimited shares authorized, no shares issued or outstanding, pro forma;</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72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unlimited shares authorized, no shares issued or outstanding, pro forma as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260" w:type="dxa"/>
            <w:vAlign w:val="bottom"/>
            <w:shd w:val="clear" w:color="auto" w:fill="CCEEFF"/>
          </w:tcPr>
          <w:p>
            <w:pPr>
              <w:ind w:left="620"/>
              <w:spacing w:after="0" w:line="190" w:lineRule="exact"/>
              <w:rPr>
                <w:sz w:val="20"/>
                <w:szCs w:val="20"/>
                <w:color w:val="auto"/>
              </w:rPr>
            </w:pPr>
            <w:r>
              <w:rPr>
                <w:rFonts w:ascii="Arial" w:cs="Arial" w:eastAsia="Arial" w:hAnsi="Arial"/>
                <w:sz w:val="17"/>
                <w:szCs w:val="17"/>
                <w:color w:val="auto"/>
              </w:rPr>
              <w:t>adjusted</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line="190"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00"/>
              <w:spacing w:after="0" w:line="190"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rPr>
              <w:t>—</w:t>
            </w:r>
          </w:p>
        </w:tc>
      </w:tr>
      <w:tr>
        <w:trPr>
          <w:trHeight w:val="197"/>
        </w:trPr>
        <w:tc>
          <w:tcPr>
            <w:tcW w:w="7260" w:type="dxa"/>
            <w:vAlign w:val="bottom"/>
          </w:tcPr>
          <w:p>
            <w:pPr>
              <w:ind w:left="300"/>
              <w:spacing w:after="0"/>
              <w:rPr>
                <w:sz w:val="20"/>
                <w:szCs w:val="20"/>
                <w:color w:val="auto"/>
              </w:rPr>
            </w:pPr>
            <w:r>
              <w:rPr>
                <w:rFonts w:ascii="Arial" w:cs="Arial" w:eastAsia="Arial" w:hAnsi="Arial"/>
                <w:sz w:val="17"/>
                <w:szCs w:val="17"/>
                <w:color w:val="auto"/>
              </w:rPr>
              <w:t>Common shares, without par value, unlimited common shares authorized,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7260" w:type="dxa"/>
            <w:vAlign w:val="bottom"/>
          </w:tcPr>
          <w:p>
            <w:pPr>
              <w:ind w:left="620"/>
              <w:spacing w:after="0" w:line="194" w:lineRule="exact"/>
              <w:rPr>
                <w:sz w:val="20"/>
                <w:szCs w:val="20"/>
                <w:color w:val="auto"/>
              </w:rPr>
            </w:pPr>
            <w:r>
              <w:rPr>
                <w:rFonts w:ascii="Arial" w:cs="Arial" w:eastAsia="Arial" w:hAnsi="Arial"/>
                <w:sz w:val="17"/>
                <w:szCs w:val="17"/>
                <w:color w:val="auto"/>
              </w:rPr>
              <w:t>1,348,103 common shares issued and outstanding, actual; unlimited common</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7260" w:type="dxa"/>
            <w:vAlign w:val="bottom"/>
          </w:tcPr>
          <w:p>
            <w:pPr>
              <w:ind w:left="620"/>
              <w:spacing w:after="0" w:line="194" w:lineRule="exact"/>
              <w:rPr>
                <w:sz w:val="20"/>
                <w:szCs w:val="20"/>
                <w:color w:val="auto"/>
              </w:rPr>
            </w:pPr>
            <w:r>
              <w:rPr>
                <w:rFonts w:ascii="Arial" w:cs="Arial" w:eastAsia="Arial" w:hAnsi="Arial"/>
                <w:sz w:val="17"/>
                <w:szCs w:val="17"/>
                <w:color w:val="auto"/>
              </w:rPr>
              <w:t>shares authorized, 9,084,687 common shares issued and outstanding, pro</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7260" w:type="dxa"/>
            <w:vAlign w:val="bottom"/>
          </w:tcPr>
          <w:p>
            <w:pPr>
              <w:ind w:left="620"/>
              <w:spacing w:after="0" w:line="194" w:lineRule="exact"/>
              <w:rPr>
                <w:sz w:val="20"/>
                <w:szCs w:val="20"/>
                <w:color w:val="auto"/>
              </w:rPr>
            </w:pPr>
            <w:r>
              <w:rPr>
                <w:rFonts w:ascii="Arial" w:cs="Arial" w:eastAsia="Arial" w:hAnsi="Arial"/>
                <w:sz w:val="17"/>
                <w:szCs w:val="17"/>
                <w:color w:val="auto"/>
              </w:rPr>
              <w:t>forma; unlimited common shares authorized, 13,579,687 common shares issued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260" w:type="dxa"/>
            <w:vAlign w:val="bottom"/>
          </w:tcPr>
          <w:p>
            <w:pPr>
              <w:ind w:left="620"/>
              <w:spacing w:after="0" w:line="190" w:lineRule="exact"/>
              <w:rPr>
                <w:sz w:val="20"/>
                <w:szCs w:val="20"/>
                <w:color w:val="auto"/>
              </w:rPr>
            </w:pPr>
            <w:r>
              <w:rPr>
                <w:rFonts w:ascii="Arial" w:cs="Arial" w:eastAsia="Arial" w:hAnsi="Arial"/>
                <w:sz w:val="17"/>
                <w:szCs w:val="17"/>
                <w:color w:val="auto"/>
              </w:rPr>
              <w:t>and outstanding, pro forma as adjusted</w:t>
            </w:r>
          </w:p>
        </w:tc>
        <w:tc>
          <w:tcPr>
            <w:tcW w:w="140" w:type="dxa"/>
            <w:vAlign w:val="bottom"/>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7"/>
                <w:szCs w:val="17"/>
                <w:color w:val="auto"/>
              </w:rPr>
              <w:t>6,182</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7"/>
                <w:szCs w:val="17"/>
                <w:color w:val="auto"/>
              </w:rPr>
              <w:t>108,782</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90" w:lineRule="exact"/>
              <w:rPr>
                <w:sz w:val="20"/>
                <w:szCs w:val="20"/>
                <w:color w:val="auto"/>
              </w:rPr>
            </w:pPr>
            <w:r>
              <w:rPr>
                <w:rFonts w:ascii="Arial" w:cs="Arial" w:eastAsia="Arial" w:hAnsi="Arial"/>
                <w:sz w:val="17"/>
                <w:szCs w:val="17"/>
                <w:color w:val="auto"/>
              </w:rPr>
              <w:t>142,105</w:t>
            </w:r>
          </w:p>
        </w:tc>
        <w:tc>
          <w:tcPr>
            <w:tcW w:w="100" w:type="dxa"/>
            <w:vAlign w:val="bottom"/>
          </w:tcPr>
          <w:p>
            <w:pPr>
              <w:spacing w:after="0"/>
              <w:rPr>
                <w:sz w:val="16"/>
                <w:szCs w:val="16"/>
                <w:color w:val="auto"/>
              </w:rPr>
            </w:pPr>
          </w:p>
        </w:tc>
      </w:tr>
      <w:tr>
        <w:trPr>
          <w:trHeight w:val="194"/>
        </w:trPr>
        <w:tc>
          <w:tcPr>
            <w:tcW w:w="72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30,064</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29,952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29,952</w:t>
            </w:r>
          </w:p>
        </w:tc>
      </w:tr>
      <w:tr>
        <w:trPr>
          <w:trHeight w:val="194"/>
        </w:trPr>
        <w:tc>
          <w:tcPr>
            <w:tcW w:w="7260" w:type="dxa"/>
            <w:vAlign w:val="bottom"/>
          </w:tcPr>
          <w:p>
            <w:pPr>
              <w:ind w:left="300"/>
              <w:spacing w:after="0" w:line="194" w:lineRule="exact"/>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6"/>
                <w:szCs w:val="16"/>
                <w:color w:val="auto"/>
              </w:rPr>
            </w:pPr>
          </w:p>
        </w:tc>
        <w:tc>
          <w:tcPr>
            <w:tcW w:w="10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(114,149)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w w:val="96"/>
              </w:rPr>
              <w:t>(114,149)</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(114,149)</w:t>
            </w:r>
          </w:p>
        </w:tc>
      </w:tr>
      <w:tr>
        <w:trPr>
          <w:trHeight w:val="194"/>
        </w:trPr>
        <w:tc>
          <w:tcPr>
            <w:tcW w:w="72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Accumulated comprehensive income</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2,521</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2,521</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2,521</w:t>
            </w:r>
          </w:p>
        </w:tc>
        <w:tc>
          <w:tcPr>
            <w:tcW w:w="100" w:type="dxa"/>
            <w:vAlign w:val="bottom"/>
            <w:shd w:val="clear" w:color="auto" w:fill="CCEEFF"/>
          </w:tcPr>
          <w:p>
            <w:pPr>
              <w:spacing w:after="0"/>
              <w:rPr>
                <w:sz w:val="16"/>
                <w:szCs w:val="16"/>
                <w:color w:val="auto"/>
              </w:rPr>
            </w:pPr>
          </w:p>
        </w:tc>
      </w:tr>
      <w:tr>
        <w:trPr>
          <w:trHeight w:val="199"/>
        </w:trPr>
        <w:tc>
          <w:tcPr>
            <w:tcW w:w="7260" w:type="dxa"/>
            <w:vAlign w:val="bottom"/>
          </w:tcPr>
          <w:p>
            <w:pPr>
              <w:ind w:left="300"/>
              <w:spacing w:after="0"/>
              <w:rPr>
                <w:sz w:val="20"/>
                <w:szCs w:val="20"/>
                <w:color w:val="auto"/>
              </w:rPr>
            </w:pPr>
            <w:r>
              <w:rPr>
                <w:rFonts w:ascii="Arial" w:cs="Arial" w:eastAsia="Arial" w:hAnsi="Arial"/>
                <w:sz w:val="17"/>
                <w:szCs w:val="17"/>
                <w:color w:val="auto"/>
              </w:rPr>
              <w:t>Total shareholders’ (deficit) equity</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(75,382)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27,106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60,429</w:t>
            </w:r>
          </w:p>
        </w:tc>
      </w:tr>
      <w:tr>
        <w:trPr>
          <w:trHeight w:val="26"/>
        </w:trPr>
        <w:tc>
          <w:tcPr>
            <w:tcW w:w="7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726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 capitalization</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27,106</w:t>
            </w:r>
          </w:p>
        </w:tc>
        <w:tc>
          <w:tcPr>
            <w:tcW w:w="2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27,106</w:t>
            </w:r>
          </w:p>
        </w:tc>
        <w:tc>
          <w:tcPr>
            <w:tcW w:w="400" w:type="dxa"/>
            <w:vAlign w:val="bottom"/>
            <w:gridSpan w:val="2"/>
            <w:shd w:val="clear" w:color="auto" w:fill="CCEEFF"/>
          </w:tcPr>
          <w:p>
            <w:pPr>
              <w:ind w:left="220"/>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60,429</w:t>
            </w:r>
          </w:p>
        </w:tc>
      </w:tr>
      <w:tr>
        <w:trPr>
          <w:trHeight w:val="20"/>
        </w:trPr>
        <w:tc>
          <w:tcPr>
            <w:tcW w:w="7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7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366"/>
        </w:trPr>
        <w:tc>
          <w:tcPr>
            <w:tcW w:w="7260" w:type="dxa"/>
            <w:vAlign w:val="bottom"/>
          </w:tcPr>
          <w:p>
            <w:pPr>
              <w:ind w:left="5620"/>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4"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share information in the table above excludes, as of June 30, 2014:</w:t>
      </w:r>
    </w:p>
    <w:p>
      <w:pPr>
        <w:spacing w:after="0" w:line="127" w:lineRule="exact"/>
        <w:rPr>
          <w:sz w:val="20"/>
          <w:szCs w:val="20"/>
          <w:color w:val="auto"/>
        </w:rPr>
      </w:pPr>
    </w:p>
    <w:p>
      <w:pPr>
        <w:ind w:left="780" w:right="440" w:hanging="441"/>
        <w:spacing w:after="0" w:line="191" w:lineRule="auto"/>
        <w:tabs>
          <w:tab w:leader="none" w:pos="780" w:val="left"/>
        </w:tabs>
        <w:numPr>
          <w:ilvl w:val="0"/>
          <w:numId w:val="44"/>
        </w:numPr>
        <w:rPr>
          <w:rFonts w:ascii="Arial" w:cs="Arial" w:eastAsia="Arial" w:hAnsi="Arial"/>
          <w:sz w:val="26"/>
          <w:szCs w:val="26"/>
          <w:color w:val="auto"/>
          <w:vertAlign w:val="superscript"/>
        </w:rPr>
      </w:pPr>
      <w:r>
        <w:rPr>
          <w:rFonts w:ascii="Arial" w:cs="Arial" w:eastAsia="Arial" w:hAnsi="Arial"/>
          <w:sz w:val="17"/>
          <w:szCs w:val="17"/>
          <w:color w:val="auto"/>
        </w:rPr>
        <w:t>1,442,741 common shares issuable upon exercise of options outstanding as of June 30, 2014, with a weighted-average exercise price of CAD$4.66 per common share, or $4.37 per common share, as converted; and</w:t>
      </w:r>
    </w:p>
    <w:p>
      <w:pPr>
        <w:spacing w:after="0" w:line="19" w:lineRule="exact"/>
        <w:rPr>
          <w:rFonts w:ascii="Arial" w:cs="Arial" w:eastAsia="Arial" w:hAnsi="Arial"/>
          <w:sz w:val="26"/>
          <w:szCs w:val="26"/>
          <w:color w:val="auto"/>
          <w:vertAlign w:val="superscript"/>
        </w:rPr>
      </w:pPr>
    </w:p>
    <w:p>
      <w:pPr>
        <w:ind w:left="780" w:hanging="441"/>
        <w:spacing w:after="0" w:line="212" w:lineRule="auto"/>
        <w:tabs>
          <w:tab w:leader="none" w:pos="780" w:val="left"/>
        </w:tabs>
        <w:numPr>
          <w:ilvl w:val="0"/>
          <w:numId w:val="44"/>
        </w:numPr>
        <w:rPr>
          <w:rFonts w:ascii="Arial" w:cs="Arial" w:eastAsia="Arial" w:hAnsi="Arial"/>
          <w:sz w:val="26"/>
          <w:szCs w:val="26"/>
          <w:color w:val="auto"/>
          <w:vertAlign w:val="superscript"/>
        </w:rPr>
      </w:pPr>
      <w:r>
        <w:rPr>
          <w:rFonts w:ascii="Arial" w:cs="Arial" w:eastAsia="Arial" w:hAnsi="Arial"/>
          <w:sz w:val="17"/>
          <w:szCs w:val="17"/>
          <w:color w:val="auto"/>
        </w:rPr>
        <w:t>411,522 common shares reserved for future issuance under our 2014 Equity Incentive Plan, as amended, which became effective on the business day immediately prior to the date of effectiveness of the registration statement of which this prospectus forms a part, of which options to purchase 36,008 common shares at an exercise price equal to the initial public offering price were granted on the date of this prospectus, and any future automatic increases in common shares reserved for issuance under such plan.</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40"/>
          </w:cols>
          <w:pgMar w:left="240" w:top="444" w:right="3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5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Investors purchasing our common shares in this offering will experience immediate and substantial dilution in the pro forma net tangible book value of their common shares. Dilution in pro forma net tangible book value represents the difference between the price to public per common share and the pro forma net tangible book value per share immediately after the offering.</w:t>
      </w:r>
    </w:p>
    <w:p>
      <w:pPr>
        <w:spacing w:after="0" w:line="108" w:lineRule="exact"/>
        <w:rPr>
          <w:sz w:val="20"/>
          <w:szCs w:val="20"/>
          <w:color w:val="auto"/>
        </w:rPr>
      </w:pPr>
    </w:p>
    <w:p>
      <w:pPr>
        <w:jc w:val="both"/>
        <w:ind w:right="140"/>
        <w:spacing w:after="0" w:line="241" w:lineRule="auto"/>
        <w:rPr>
          <w:sz w:val="20"/>
          <w:szCs w:val="20"/>
          <w:color w:val="auto"/>
        </w:rPr>
      </w:pPr>
      <w:r>
        <w:rPr>
          <w:rFonts w:ascii="Arial" w:cs="Arial" w:eastAsia="Arial" w:hAnsi="Arial"/>
          <w:sz w:val="17"/>
          <w:szCs w:val="17"/>
          <w:color w:val="auto"/>
        </w:rPr>
        <w:t>The historical net tangible book value of our common shares as of June 30, 2014 was $27.1 million, or $20.11 per common share. Historical net tangible book value (deficit) per common share represents our total tangible assets (total assets less intangible assets) less total liabilities divided by the number of outstanding common shares.</w:t>
      </w:r>
    </w:p>
    <w:p>
      <w:pPr>
        <w:spacing w:after="0" w:line="10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After giving effect to (1) the automatic conversion of the outstanding preferred shares into an aggregate of 7,725,924 common shares upon the closing of this offering based upon the initial public offering price of $9.00 per share; (2) the automatic conversion into an aggregate of 10,660 common shares of all subscription rights outstanding upon the closing of this offering; (3) the issuance of 4,000,000 common shares in this offering and 495,000 common shares in the concurrent private placement; (4) receipt of the net proceeds from the sale of 4,000,000 common shares in this offering based upon the initial public offering price of $9.00 per common share, after deducting underwriting discounts and commissions and estimated offering expenses payable by us, the pro forma as adjusted net tangible book value as of June 30, 2014 would have been approximately $60.4 million, or $4.45 per common share; and (5) receipt of the net proceeds from the sale of approximately $4.5 million of our common shares in the concurrent private placement, after deducting fees payable in connection with the concurrent private placement. This represents an immediate increase in pro forma as adjusted net tangible book value of $1.47 per common share to existing shareholders and an immediate dilution of $4.55 per common share to new investors purchasing common shares in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dilution on a per common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Initial price to public per common share</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$ 9.00</w:t>
            </w:r>
          </w:p>
        </w:tc>
        <w:tc>
          <w:tcPr>
            <w:tcW w:w="100" w:type="dxa"/>
            <w:vAlign w:val="bottom"/>
            <w:shd w:val="clear" w:color="auto" w:fill="CCEEFF"/>
          </w:tcPr>
          <w:p>
            <w:pPr>
              <w:spacing w:after="0"/>
              <w:rPr>
                <w:sz w:val="16"/>
                <w:szCs w:val="16"/>
                <w:color w:val="auto"/>
              </w:rPr>
            </w:pPr>
          </w:p>
        </w:tc>
      </w:tr>
      <w:tr>
        <w:trPr>
          <w:trHeight w:val="194"/>
        </w:trPr>
        <w:tc>
          <w:tcPr>
            <w:tcW w:w="9760" w:type="dxa"/>
            <w:vAlign w:val="bottom"/>
          </w:tcPr>
          <w:p>
            <w:pPr>
              <w:ind w:left="420"/>
              <w:spacing w:after="0" w:line="194" w:lineRule="exact"/>
              <w:rPr>
                <w:sz w:val="20"/>
                <w:szCs w:val="20"/>
                <w:color w:val="auto"/>
              </w:rPr>
            </w:pPr>
            <w:r>
              <w:rPr>
                <w:rFonts w:ascii="Arial" w:cs="Arial" w:eastAsia="Arial" w:hAnsi="Arial"/>
                <w:sz w:val="17"/>
                <w:szCs w:val="17"/>
                <w:color w:val="auto"/>
              </w:rPr>
              <w:t>Historical net tangible book value per common share as of June 30, 2014</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w w:val="98"/>
              </w:rPr>
              <w:t>$ 20.11</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976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color w:val="auto"/>
              </w:rPr>
              <w:t>Decrease per common share attributable to conversion of redeemable convertible preferred shares</w:t>
            </w:r>
          </w:p>
        </w:tc>
        <w:tc>
          <w:tcPr>
            <w:tcW w:w="112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(17.10)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9760" w:type="dxa"/>
            <w:vAlign w:val="bottom"/>
          </w:tcPr>
          <w:p>
            <w:pPr>
              <w:ind w:left="420"/>
              <w:spacing w:after="0" w:line="194" w:lineRule="exact"/>
              <w:rPr>
                <w:sz w:val="20"/>
                <w:szCs w:val="20"/>
                <w:color w:val="auto"/>
              </w:rPr>
            </w:pPr>
            <w:r>
              <w:rPr>
                <w:rFonts w:ascii="Arial" w:cs="Arial" w:eastAsia="Arial" w:hAnsi="Arial"/>
                <w:sz w:val="17"/>
                <w:szCs w:val="17"/>
                <w:color w:val="auto"/>
              </w:rPr>
              <w:t>Decrease per common share attributable to the conversion of subscription rights</w:t>
            </w:r>
          </w:p>
        </w:tc>
        <w:tc>
          <w:tcPr>
            <w:tcW w:w="112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(0.02)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976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color w:val="auto"/>
              </w:rPr>
              <w:t>Pro forma net tangible book deficit per common share before this offering</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2.98</w:t>
            </w: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9760" w:type="dxa"/>
            <w:vAlign w:val="bottom"/>
          </w:tcPr>
          <w:p>
            <w:pPr>
              <w:ind w:left="420"/>
              <w:spacing w:after="0" w:line="194" w:lineRule="exact"/>
              <w:rPr>
                <w:sz w:val="20"/>
                <w:szCs w:val="20"/>
                <w:color w:val="auto"/>
              </w:rPr>
            </w:pPr>
            <w:r>
              <w:rPr>
                <w:rFonts w:ascii="Arial" w:cs="Arial" w:eastAsia="Arial" w:hAnsi="Arial"/>
                <w:sz w:val="17"/>
                <w:szCs w:val="17"/>
                <w:color w:val="auto"/>
              </w:rPr>
              <w:t>Increase in net tangible book value per common share attributable to investors participating in this offering</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1.47</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9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 forma as adjusted net tangible book value per common share, as adjusted to give effect to this offering</w:t>
            </w:r>
          </w:p>
        </w:tc>
        <w:tc>
          <w:tcPr>
            <w:tcW w:w="1120" w:type="dxa"/>
            <w:vAlign w:val="bottom"/>
            <w:gridSpan w:val="2"/>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6"/>
                <w:szCs w:val="16"/>
                <w:color w:val="auto"/>
              </w:rPr>
            </w:pPr>
          </w:p>
        </w:tc>
      </w:tr>
      <w:tr>
        <w:trPr>
          <w:trHeight w:val="199"/>
        </w:trPr>
        <w:tc>
          <w:tcPr>
            <w:tcW w:w="9760" w:type="dxa"/>
            <w:vAlign w:val="bottom"/>
          </w:tcPr>
          <w:p>
            <w:pPr>
              <w:spacing w:after="0"/>
              <w:rPr>
                <w:sz w:val="20"/>
                <w:szCs w:val="20"/>
                <w:color w:val="auto"/>
              </w:rPr>
            </w:pPr>
            <w:r>
              <w:rPr>
                <w:rFonts w:ascii="Arial" w:cs="Arial" w:eastAsia="Arial" w:hAnsi="Arial"/>
                <w:sz w:val="17"/>
                <w:szCs w:val="17"/>
                <w:color w:val="auto"/>
              </w:rPr>
              <w:t>Pro forma dilution per common share to investors participating in this offering</w:t>
            </w:r>
          </w:p>
        </w:tc>
        <w:tc>
          <w:tcPr>
            <w:tcW w:w="156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4.55</w:t>
            </w:r>
          </w:p>
        </w:tc>
        <w:tc>
          <w:tcPr>
            <w:tcW w:w="100" w:type="dxa"/>
            <w:vAlign w:val="bottom"/>
          </w:tcPr>
          <w:p>
            <w:pPr>
              <w:spacing w:after="0"/>
              <w:rPr>
                <w:sz w:val="17"/>
                <w:szCs w:val="17"/>
                <w:color w:val="auto"/>
              </w:rPr>
            </w:pPr>
          </w:p>
        </w:tc>
      </w:tr>
      <w:tr>
        <w:trPr>
          <w:trHeight w:val="20"/>
        </w:trPr>
        <w:tc>
          <w:tcPr>
            <w:tcW w:w="9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97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If the underwriters exercise their option in full to purchase 600,000 additional common shares in this offering, the pro forma as adjusted net tangible book value per common share after the offering would be $4.62 per common share, the increase in the pro forma net tangible book value per common share to existing shareholders would be $0.17 per common share and the pro forma dilution to new investors purchasing common shares in this offering would be $4.38 per common share.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4"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on a pro forma basis as of June 30, 2014, the differences between the number of common shares purchased from us, the total consideration and the weighted-average price per share paid by existing shareholders and by investors participating in this offering and the concurrent private placement at the initial public offering price of $9.00 per share, before deducting underwriting discounts and commissions, fees payable in connection with the concurrent private placement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3000" w:type="dxa"/>
            <w:vAlign w:val="bottom"/>
            <w:gridSpan w:val="4"/>
            <w:vMerge w:val="restart"/>
          </w:tcPr>
          <w:p>
            <w:pPr>
              <w:jc w:val="right"/>
              <w:ind w:right="800"/>
              <w:spacing w:after="0"/>
              <w:rPr>
                <w:sz w:val="20"/>
                <w:szCs w:val="20"/>
                <w:color w:val="auto"/>
              </w:rPr>
            </w:pPr>
            <w:r>
              <w:rPr>
                <w:rFonts w:ascii="Arial" w:cs="Arial" w:eastAsia="Arial" w:hAnsi="Arial"/>
                <w:sz w:val="13"/>
                <w:szCs w:val="13"/>
                <w:b w:val="1"/>
                <w:bCs w:val="1"/>
                <w:color w:val="auto"/>
              </w:rPr>
              <w:t>COMMON SHARES PURCHASED</w:t>
            </w:r>
          </w:p>
        </w:tc>
        <w:tc>
          <w:tcPr>
            <w:tcW w:w="2580" w:type="dxa"/>
            <w:vAlign w:val="bottom"/>
            <w:gridSpan w:val="4"/>
            <w:vMerge w:val="restart"/>
          </w:tcPr>
          <w:p>
            <w:pPr>
              <w:jc w:val="right"/>
              <w:ind w:right="720"/>
              <w:spacing w:after="0"/>
              <w:rPr>
                <w:sz w:val="20"/>
                <w:szCs w:val="20"/>
                <w:color w:val="auto"/>
              </w:rPr>
            </w:pPr>
            <w:r>
              <w:rPr>
                <w:rFonts w:ascii="Arial" w:cs="Arial" w:eastAsia="Arial" w:hAnsi="Arial"/>
                <w:sz w:val="13"/>
                <w:szCs w:val="13"/>
                <w:b w:val="1"/>
                <w:bCs w:val="1"/>
                <w:color w:val="auto"/>
              </w:rPr>
              <w:t>TOTAL CONSIDERATION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3000" w:type="dxa"/>
            <w:vAlign w:val="bottom"/>
            <w:gridSpan w:val="4"/>
            <w:vMerge w:val="continue"/>
          </w:tcPr>
          <w:p>
            <w:pPr>
              <w:spacing w:after="0"/>
              <w:rPr>
                <w:sz w:val="5"/>
                <w:szCs w:val="5"/>
                <w:color w:val="auto"/>
              </w:rPr>
            </w:pPr>
          </w:p>
        </w:tc>
        <w:tc>
          <w:tcPr>
            <w:tcW w:w="25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3"/>
                <w:szCs w:val="13"/>
                <w:b w:val="1"/>
                <w:bCs w:val="1"/>
                <w:color w:val="auto"/>
                <w:w w:val="98"/>
              </w:rPr>
              <w:t>AVERAGE PRICE</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1080" w:type="dxa"/>
            <w:vAlign w:val="bottom"/>
          </w:tcPr>
          <w:p>
            <w:pPr>
              <w:jc w:val="right"/>
              <w:ind w:right="184"/>
              <w:spacing w:after="0"/>
              <w:rPr>
                <w:sz w:val="20"/>
                <w:szCs w:val="20"/>
                <w:color w:val="auto"/>
              </w:rPr>
            </w:pPr>
            <w:r>
              <w:rPr>
                <w:rFonts w:ascii="Arial" w:cs="Arial" w:eastAsia="Arial" w:hAnsi="Arial"/>
                <w:sz w:val="13"/>
                <w:szCs w:val="13"/>
                <w:b w:val="1"/>
                <w:bCs w:val="1"/>
                <w:color w:val="auto"/>
              </w:rPr>
              <w:t>NUMBER</w:t>
            </w:r>
          </w:p>
        </w:tc>
        <w:tc>
          <w:tcPr>
            <w:tcW w:w="540" w:type="dxa"/>
            <w:vAlign w:val="bottom"/>
          </w:tcPr>
          <w:p>
            <w:pPr>
              <w:spacing w:after="0"/>
              <w:rPr>
                <w:sz w:val="13"/>
                <w:szCs w:val="13"/>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PERCENT</w:t>
            </w:r>
          </w:p>
        </w:tc>
        <w:tc>
          <w:tcPr>
            <w:tcW w:w="158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PERCENT</w:t>
            </w:r>
          </w:p>
        </w:tc>
        <w:tc>
          <w:tcPr>
            <w:tcW w:w="24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PER COMMON SHARE</w:t>
            </w:r>
          </w:p>
        </w:tc>
        <w:tc>
          <w:tcPr>
            <w:tcW w:w="0" w:type="dxa"/>
            <w:vAlign w:val="bottom"/>
          </w:tcPr>
          <w:p>
            <w:pPr>
              <w:spacing w:after="0"/>
              <w:rPr>
                <w:sz w:val="1"/>
                <w:szCs w:val="1"/>
                <w:color w:val="auto"/>
              </w:rPr>
            </w:pPr>
          </w:p>
        </w:tc>
      </w:tr>
      <w:tr>
        <w:trPr>
          <w:trHeight w:val="177"/>
        </w:trPr>
        <w:tc>
          <w:tcPr>
            <w:tcW w:w="41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Existing shareholders before this offering and the</w:t>
            </w:r>
          </w:p>
        </w:tc>
        <w:tc>
          <w:tcPr>
            <w:tcW w:w="10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00" w:type="dxa"/>
            <w:vAlign w:val="bottom"/>
            <w:shd w:val="clear" w:color="auto" w:fill="CCEEFF"/>
          </w:tcPr>
          <w:p>
            <w:pPr>
              <w:ind w:left="300"/>
              <w:spacing w:after="0" w:line="190" w:lineRule="exact"/>
              <w:rPr>
                <w:sz w:val="20"/>
                <w:szCs w:val="20"/>
                <w:color w:val="auto"/>
              </w:rPr>
            </w:pPr>
            <w:r>
              <w:rPr>
                <w:rFonts w:ascii="Arial" w:cs="Arial" w:eastAsia="Arial" w:hAnsi="Arial"/>
                <w:sz w:val="17"/>
                <w:szCs w:val="17"/>
                <w:color w:val="auto"/>
              </w:rPr>
              <w:t>concurrent private placement</w:t>
            </w:r>
          </w:p>
        </w:tc>
        <w:tc>
          <w:tcPr>
            <w:tcW w:w="10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9,084,687</w:t>
            </w:r>
          </w:p>
        </w:tc>
        <w:tc>
          <w:tcPr>
            <w:tcW w:w="1920" w:type="dxa"/>
            <w:vAlign w:val="bottom"/>
            <w:gridSpan w:val="3"/>
            <w:shd w:val="clear" w:color="auto" w:fill="CCEEFF"/>
          </w:tcPr>
          <w:p>
            <w:pPr>
              <w:jc w:val="right"/>
              <w:ind w:right="460"/>
              <w:spacing w:after="0" w:line="190" w:lineRule="exact"/>
              <w:rPr>
                <w:sz w:val="20"/>
                <w:szCs w:val="20"/>
                <w:color w:val="auto"/>
              </w:rPr>
            </w:pPr>
            <w:r>
              <w:rPr>
                <w:rFonts w:ascii="Arial" w:cs="Arial" w:eastAsia="Arial" w:hAnsi="Arial"/>
                <w:sz w:val="17"/>
                <w:szCs w:val="17"/>
                <w:color w:val="auto"/>
              </w:rPr>
              <w:t>66.9%</w:t>
            </w:r>
          </w:p>
        </w:tc>
        <w:tc>
          <w:tcPr>
            <w:tcW w:w="1580" w:type="dxa"/>
            <w:vAlign w:val="bottom"/>
            <w:gridSpan w:val="2"/>
            <w:shd w:val="clear" w:color="auto" w:fill="CCEEFF"/>
          </w:tcPr>
          <w:p>
            <w:pPr>
              <w:jc w:val="right"/>
              <w:ind w:right="540"/>
              <w:spacing w:after="0" w:line="190" w:lineRule="exact"/>
              <w:rPr>
                <w:sz w:val="20"/>
                <w:szCs w:val="20"/>
                <w:color w:val="auto"/>
              </w:rPr>
            </w:pPr>
            <w:r>
              <w:rPr>
                <w:rFonts w:ascii="Arial" w:cs="Arial" w:eastAsia="Arial" w:hAnsi="Arial"/>
                <w:sz w:val="17"/>
                <w:szCs w:val="17"/>
                <w:color w:val="auto"/>
                <w:w w:val="93"/>
              </w:rPr>
              <w:t>$ 108,782,000</w:t>
            </w:r>
          </w:p>
        </w:tc>
        <w:tc>
          <w:tcPr>
            <w:tcW w:w="100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7"/>
                <w:szCs w:val="17"/>
                <w:color w:val="auto"/>
              </w:rPr>
              <w:t>72.9%</w:t>
            </w:r>
          </w:p>
        </w:tc>
        <w:tc>
          <w:tcPr>
            <w:tcW w:w="38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11.97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tcPr>
          <w:p>
            <w:pPr>
              <w:spacing w:after="0"/>
              <w:rPr>
                <w:sz w:val="20"/>
                <w:szCs w:val="20"/>
                <w:color w:val="auto"/>
              </w:rPr>
            </w:pPr>
            <w:r>
              <w:rPr>
                <w:rFonts w:ascii="Arial" w:cs="Arial" w:eastAsia="Arial" w:hAnsi="Arial"/>
                <w:sz w:val="17"/>
                <w:szCs w:val="17"/>
                <w:color w:val="auto"/>
              </w:rPr>
              <w:t>Investors participating in this offering and the</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00" w:type="dxa"/>
            <w:vAlign w:val="bottom"/>
          </w:tcPr>
          <w:p>
            <w:pPr>
              <w:ind w:left="300"/>
              <w:spacing w:after="0" w:line="190" w:lineRule="exact"/>
              <w:rPr>
                <w:sz w:val="20"/>
                <w:szCs w:val="20"/>
                <w:color w:val="auto"/>
              </w:rPr>
            </w:pPr>
            <w:r>
              <w:rPr>
                <w:rFonts w:ascii="Arial" w:cs="Arial" w:eastAsia="Arial" w:hAnsi="Arial"/>
                <w:sz w:val="17"/>
                <w:szCs w:val="17"/>
                <w:color w:val="auto"/>
              </w:rPr>
              <w:t>concurrent private placement</w:t>
            </w:r>
          </w:p>
        </w:tc>
        <w:tc>
          <w:tcPr>
            <w:tcW w:w="1080" w:type="dxa"/>
            <w:vAlign w:val="bottom"/>
          </w:tcPr>
          <w:p>
            <w:pPr>
              <w:jc w:val="right"/>
              <w:spacing w:after="0" w:line="190" w:lineRule="exact"/>
              <w:rPr>
                <w:sz w:val="20"/>
                <w:szCs w:val="20"/>
                <w:color w:val="auto"/>
              </w:rPr>
            </w:pPr>
            <w:r>
              <w:rPr>
                <w:rFonts w:ascii="Arial" w:cs="Arial" w:eastAsia="Arial" w:hAnsi="Arial"/>
                <w:sz w:val="17"/>
                <w:szCs w:val="17"/>
                <w:color w:val="auto"/>
              </w:rPr>
              <w:t>4,495,000</w:t>
            </w:r>
          </w:p>
        </w:tc>
        <w:tc>
          <w:tcPr>
            <w:tcW w:w="540" w:type="dxa"/>
            <w:vAlign w:val="bottom"/>
          </w:tcPr>
          <w:p>
            <w:pPr>
              <w:spacing w:after="0"/>
              <w:rPr>
                <w:sz w:val="16"/>
                <w:szCs w:val="16"/>
                <w:color w:val="auto"/>
              </w:rPr>
            </w:pPr>
          </w:p>
        </w:tc>
        <w:tc>
          <w:tcPr>
            <w:tcW w:w="1380" w:type="dxa"/>
            <w:vAlign w:val="bottom"/>
            <w:gridSpan w:val="2"/>
          </w:tcPr>
          <w:p>
            <w:pPr>
              <w:jc w:val="right"/>
              <w:ind w:right="620"/>
              <w:spacing w:after="0" w:line="190" w:lineRule="exact"/>
              <w:rPr>
                <w:sz w:val="20"/>
                <w:szCs w:val="20"/>
                <w:color w:val="auto"/>
              </w:rPr>
            </w:pPr>
            <w:r>
              <w:rPr>
                <w:rFonts w:ascii="Arial" w:cs="Arial" w:eastAsia="Arial" w:hAnsi="Arial"/>
                <w:sz w:val="17"/>
                <w:szCs w:val="17"/>
                <w:color w:val="auto"/>
              </w:rPr>
              <w:t>33.1</w:t>
            </w:r>
          </w:p>
        </w:tc>
        <w:tc>
          <w:tcPr>
            <w:tcW w:w="1040" w:type="dxa"/>
            <w:vAlign w:val="bottom"/>
          </w:tcPr>
          <w:p>
            <w:pPr>
              <w:jc w:val="right"/>
              <w:spacing w:after="0" w:line="190" w:lineRule="exact"/>
              <w:rPr>
                <w:sz w:val="20"/>
                <w:szCs w:val="20"/>
                <w:color w:val="auto"/>
              </w:rPr>
            </w:pPr>
            <w:r>
              <w:rPr>
                <w:rFonts w:ascii="Arial" w:cs="Arial" w:eastAsia="Arial" w:hAnsi="Arial"/>
                <w:sz w:val="17"/>
                <w:szCs w:val="17"/>
                <w:color w:val="auto"/>
              </w:rPr>
              <w:t>40,455,000</w:t>
            </w:r>
          </w:p>
        </w:tc>
        <w:tc>
          <w:tcPr>
            <w:tcW w:w="540" w:type="dxa"/>
            <w:vAlign w:val="bottom"/>
          </w:tcPr>
          <w:p>
            <w:pPr>
              <w:spacing w:after="0"/>
              <w:rPr>
                <w:sz w:val="16"/>
                <w:szCs w:val="16"/>
                <w:color w:val="auto"/>
              </w:rPr>
            </w:pPr>
          </w:p>
        </w:tc>
        <w:tc>
          <w:tcPr>
            <w:tcW w:w="1000" w:type="dxa"/>
            <w:vAlign w:val="bottom"/>
            <w:gridSpan w:val="2"/>
          </w:tcPr>
          <w:p>
            <w:pPr>
              <w:jc w:val="right"/>
              <w:ind w:right="380"/>
              <w:spacing w:after="0" w:line="190" w:lineRule="exact"/>
              <w:rPr>
                <w:sz w:val="20"/>
                <w:szCs w:val="20"/>
                <w:color w:val="auto"/>
              </w:rPr>
            </w:pPr>
            <w:r>
              <w:rPr>
                <w:rFonts w:ascii="Arial" w:cs="Arial" w:eastAsia="Arial" w:hAnsi="Arial"/>
                <w:sz w:val="17"/>
                <w:szCs w:val="17"/>
                <w:color w:val="auto"/>
              </w:rPr>
              <w:t>27.1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10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Total</w:t>
            </w: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13,579,687</w:t>
            </w:r>
          </w:p>
        </w:tc>
        <w:tc>
          <w:tcPr>
            <w:tcW w:w="5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60"/>
              <w:spacing w:after="0" w:line="194" w:lineRule="exact"/>
              <w:rPr>
                <w:sz w:val="20"/>
                <w:szCs w:val="20"/>
                <w:color w:val="auto"/>
              </w:rPr>
            </w:pPr>
            <w:r>
              <w:rPr>
                <w:rFonts w:ascii="Arial" w:cs="Arial" w:eastAsia="Arial" w:hAnsi="Arial"/>
                <w:sz w:val="17"/>
                <w:szCs w:val="17"/>
                <w:color w:val="auto"/>
              </w:rPr>
              <w:t>100.0%</w:t>
            </w:r>
          </w:p>
        </w:tc>
        <w:tc>
          <w:tcPr>
            <w:tcW w:w="158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149,237,000</w:t>
            </w:r>
          </w:p>
        </w:tc>
        <w:tc>
          <w:tcPr>
            <w:tcW w:w="10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number of common shares to be outstanding following this offering is based on 9,084,687 common shares outstanding as of June 30, 2014, after giving effect to (i) the conversion of all outstanding convertible preferred shares into an aggregate of 7,725,924 common shares upon the closing of this offering, based upon the initial public offering price of $9.00 per share, (ii) the conversion of all outstanding subscription rights into an aggregate of 10,660 common shares upon the closing of this offering, and (iii) a 1 for 4.86 reverse share split effected on October 1, 2014. The outstanding share information in the table above excludes, as of June 30, 2014:</w:t>
      </w:r>
    </w:p>
    <w:p>
      <w:pPr>
        <w:spacing w:after="0" w:line="124" w:lineRule="exact"/>
        <w:rPr>
          <w:sz w:val="20"/>
          <w:szCs w:val="20"/>
          <w:color w:val="auto"/>
        </w:rPr>
      </w:pPr>
    </w:p>
    <w:p>
      <w:pPr>
        <w:ind w:left="780" w:right="520" w:hanging="441"/>
        <w:spacing w:after="0" w:line="191" w:lineRule="auto"/>
        <w:tabs>
          <w:tab w:leader="none" w:pos="780" w:val="left"/>
        </w:tabs>
        <w:numPr>
          <w:ilvl w:val="0"/>
          <w:numId w:val="45"/>
        </w:numPr>
        <w:rPr>
          <w:rFonts w:ascii="Arial" w:cs="Arial" w:eastAsia="Arial" w:hAnsi="Arial"/>
          <w:sz w:val="26"/>
          <w:szCs w:val="26"/>
          <w:color w:val="auto"/>
          <w:vertAlign w:val="superscript"/>
        </w:rPr>
      </w:pPr>
      <w:r>
        <w:rPr>
          <w:rFonts w:ascii="Arial" w:cs="Arial" w:eastAsia="Arial" w:hAnsi="Arial"/>
          <w:sz w:val="17"/>
          <w:szCs w:val="17"/>
          <w:color w:val="auto"/>
        </w:rPr>
        <w:t>1,442,741 common shares issuable upon exercise of options outstanding as of June 30, 2014, with a weighted-average exercise price of CAD$4.66 per common share, or $4.37 per common share, as converted; and</w:t>
      </w:r>
    </w:p>
    <w:p>
      <w:pPr>
        <w:spacing w:after="0" w:line="19" w:lineRule="exact"/>
        <w:rPr>
          <w:rFonts w:ascii="Arial" w:cs="Arial" w:eastAsia="Arial" w:hAnsi="Arial"/>
          <w:sz w:val="26"/>
          <w:szCs w:val="26"/>
          <w:color w:val="auto"/>
          <w:vertAlign w:val="superscript"/>
        </w:rPr>
      </w:pPr>
    </w:p>
    <w:p>
      <w:pPr>
        <w:ind w:left="780" w:right="160" w:hanging="441"/>
        <w:spacing w:after="0" w:line="212" w:lineRule="auto"/>
        <w:tabs>
          <w:tab w:leader="none" w:pos="780" w:val="left"/>
        </w:tabs>
        <w:numPr>
          <w:ilvl w:val="0"/>
          <w:numId w:val="45"/>
        </w:numPr>
        <w:rPr>
          <w:rFonts w:ascii="Arial" w:cs="Arial" w:eastAsia="Arial" w:hAnsi="Arial"/>
          <w:sz w:val="26"/>
          <w:szCs w:val="26"/>
          <w:color w:val="auto"/>
          <w:vertAlign w:val="superscript"/>
        </w:rPr>
      </w:pPr>
      <w:r>
        <w:rPr>
          <w:rFonts w:ascii="Arial" w:cs="Arial" w:eastAsia="Arial" w:hAnsi="Arial"/>
          <w:sz w:val="17"/>
          <w:szCs w:val="17"/>
          <w:color w:val="auto"/>
        </w:rPr>
        <w:t>411,522 common shares reserved for future issuance under our 2014 Equity Incentive Plan, as amended, which became effective on the business day immediately prior to the effective date of the registration statement of which this prospectus forms a part, of which options to purchase 36,008 common shares at an exercise price equal to the initial public offering price were granted on the date of this prospectus, and any future automatic increases in common shares reserved for issuance under such plan.</w:t>
      </w:r>
    </w:p>
    <w:p>
      <w:pPr>
        <w:spacing w:after="0" w:line="108"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Share reserves for our share-based compensation plans will also be subject to automatic annual increase in accordance with the terms of the plans. To the extent that new options are issued under our share-based compensation plans or we issue additional common shares in the future, there will be further dilution to investors participating in this offering.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4"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25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derived the selected statement of operations data for the fiscal years ended December 31, 2011, 2012 and 2013 and the balance sheet data as of December 31, 2012 and 2013 from our audited financial statements included elsewhere in this prospectus. The selected statement of operations data for the six months ended June 30, 2013 and 2014 and the balance sheet data as of June 30, 2014 have been derived from unaudited interim financial statements included elsewhere in this prospectus and have been prepared on the same basis as the audited financial statements. In the opinion of management, the unaudited data reflects all adjustments, which include only normal and recurring adjustments, necessary for a fair presentation of the results as of and for the periods. The balance sheet data as of December 31, 2011 have been derived from audited financial statements which are not included in this prospectus. Our historical results are not necessarily indicative of results to be expected in any future period and results for the six months ended June 30, 2014 are not necessarily indicative of results to be expected for the full year ending December 31, 2014. You should read the following selected financial data below in conjunction with our financial statements and related notes included elsewhere in this prospectus and the “Management’s Discussion and Analysis of Financial Condition and Results of Operations” section of this prospectus. Our audited annual financial statements have been prepared in U.S. dollars and in accordance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252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5"/>
              <w:spacing w:after="0" w:line="135" w:lineRule="exact"/>
              <w:rPr>
                <w:sz w:val="20"/>
                <w:szCs w:val="20"/>
                <w:color w:val="auto"/>
              </w:rPr>
            </w:pPr>
            <w:r>
              <w:rPr>
                <w:rFonts w:ascii="Arial" w:cs="Arial" w:eastAsia="Arial" w:hAnsi="Arial"/>
                <w:sz w:val="13"/>
                <w:szCs w:val="13"/>
                <w:b w:val="1"/>
                <w:bCs w:val="1"/>
                <w:color w:val="auto"/>
              </w:rPr>
              <w:t>2011</w:t>
            </w:r>
          </w:p>
        </w:tc>
        <w:tc>
          <w:tcPr>
            <w:tcW w:w="4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5"/>
              <w:spacing w:after="0" w:line="135"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5"/>
              <w:spacing w:after="0" w:line="135" w:lineRule="exact"/>
              <w:rPr>
                <w:sz w:val="20"/>
                <w:szCs w:val="20"/>
                <w:color w:val="auto"/>
              </w:rPr>
            </w:pPr>
            <w:r>
              <w:rPr>
                <w:rFonts w:ascii="Arial" w:cs="Arial" w:eastAsia="Arial" w:hAnsi="Arial"/>
                <w:sz w:val="13"/>
                <w:szCs w:val="13"/>
                <w:b w:val="1"/>
                <w:bCs w:val="1"/>
                <w:color w:val="auto"/>
              </w:rPr>
              <w:t>2013</w:t>
            </w:r>
          </w:p>
        </w:tc>
        <w:tc>
          <w:tcPr>
            <w:tcW w:w="4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5"/>
              <w:spacing w:after="0" w:line="135" w:lineRule="exact"/>
              <w:rPr>
                <w:sz w:val="20"/>
                <w:szCs w:val="20"/>
                <w:color w:val="auto"/>
              </w:rPr>
            </w:pPr>
            <w:r>
              <w:rPr>
                <w:rFonts w:ascii="Arial" w:cs="Arial" w:eastAsia="Arial" w:hAnsi="Arial"/>
                <w:sz w:val="13"/>
                <w:szCs w:val="13"/>
                <w:b w:val="1"/>
                <w:bCs w:val="1"/>
                <w:color w:val="auto"/>
              </w:rPr>
              <w:t>2013</w:t>
            </w:r>
          </w:p>
        </w:tc>
        <w:tc>
          <w:tcPr>
            <w:tcW w:w="2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5"/>
              <w:spacing w:after="0" w:line="135"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4"/>
          </w:tcPr>
          <w:p>
            <w:pPr>
              <w:jc w:val="right"/>
              <w:ind w:right="100"/>
              <w:spacing w:after="0" w:line="118"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9"/>
          </w:tcPr>
          <w:p>
            <w:pPr>
              <w:jc w:val="right"/>
              <w:ind w:right="580"/>
              <w:spacing w:after="0"/>
              <w:rPr>
                <w:sz w:val="20"/>
                <w:szCs w:val="20"/>
                <w:color w:val="auto"/>
              </w:rPr>
            </w:pPr>
            <w:r>
              <w:rPr>
                <w:rFonts w:ascii="Arial" w:cs="Arial" w:eastAsia="Arial" w:hAnsi="Arial"/>
                <w:sz w:val="13"/>
                <w:szCs w:val="13"/>
                <w:b w:val="1"/>
                <w:bCs w:val="1"/>
                <w:color w:val="auto"/>
              </w:rPr>
              <w:t>(in thousands, except per share data)</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Statement of Operations Data:</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line="142" w:lineRule="exact"/>
              <w:rPr>
                <w:sz w:val="20"/>
                <w:szCs w:val="20"/>
                <w:color w:val="auto"/>
              </w:rPr>
            </w:pPr>
            <w:r>
              <w:rPr>
                <w:rFonts w:ascii="Arial" w:cs="Arial" w:eastAsia="Arial" w:hAnsi="Arial"/>
                <w:sz w:val="13"/>
                <w:szCs w:val="13"/>
                <w:color w:val="auto"/>
              </w:rPr>
              <w:t>Revenue: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2" w:lineRule="exact"/>
              <w:rPr>
                <w:sz w:val="20"/>
                <w:szCs w:val="20"/>
                <w:color w:val="auto"/>
              </w:rPr>
            </w:pPr>
            <w:r>
              <w:rPr>
                <w:rFonts w:ascii="Arial" w:cs="Arial" w:eastAsia="Arial" w:hAnsi="Arial"/>
                <w:sz w:val="13"/>
                <w:szCs w:val="13"/>
                <w:color w:val="auto"/>
              </w:rPr>
              <w:t>Collaboration revenue</w:t>
            </w:r>
          </w:p>
        </w:tc>
        <w:tc>
          <w:tcPr>
            <w:tcW w:w="3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3"/>
                <w:szCs w:val="13"/>
                <w:color w:val="auto"/>
              </w:rPr>
              <w:t>6,915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14,300</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27,352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10,985</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10,297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ind w:left="320"/>
              <w:spacing w:after="0" w:line="142" w:lineRule="exact"/>
              <w:rPr>
                <w:sz w:val="20"/>
                <w:szCs w:val="20"/>
                <w:color w:val="auto"/>
              </w:rPr>
            </w:pPr>
            <w:r>
              <w:rPr>
                <w:rFonts w:ascii="Arial" w:cs="Arial" w:eastAsia="Arial" w:hAnsi="Arial"/>
                <w:sz w:val="13"/>
                <w:szCs w:val="13"/>
                <w:color w:val="auto"/>
              </w:rPr>
              <w:t>Royalties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6,918</w:t>
            </w: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14,308</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27,356</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10,985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line="142" w:lineRule="exact"/>
              <w:rPr>
                <w:sz w:val="20"/>
                <w:szCs w:val="20"/>
                <w:color w:val="auto"/>
              </w:rPr>
            </w:pPr>
            <w:r>
              <w:rPr>
                <w:rFonts w:ascii="Arial" w:cs="Arial" w:eastAsia="Arial" w:hAnsi="Arial"/>
                <w:sz w:val="13"/>
                <w:szCs w:val="13"/>
                <w:color w:val="auto"/>
              </w:rPr>
              <w:t>Operating expenses: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2" w:lineRule="exact"/>
              <w:rPr>
                <w:sz w:val="20"/>
                <w:szCs w:val="20"/>
                <w:color w:val="auto"/>
              </w:rPr>
            </w:pPr>
            <w:r>
              <w:rPr>
                <w:rFonts w:ascii="Arial" w:cs="Arial" w:eastAsia="Arial" w:hAnsi="Arial"/>
                <w:sz w:val="13"/>
                <w:szCs w:val="13"/>
                <w:color w:val="auto"/>
              </w:rPr>
              <w:t>Research and development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3"/>
                <w:szCs w:val="13"/>
                <w:color w:val="auto"/>
              </w:rPr>
              <w:t>12,302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10,455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12,303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6,983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ind w:left="320"/>
              <w:spacing w:after="0" w:line="142" w:lineRule="exact"/>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6,730</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5,341</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ind w:left="640"/>
              <w:spacing w:after="0" w:line="142" w:lineRule="exact"/>
              <w:rPr>
                <w:sz w:val="20"/>
                <w:szCs w:val="20"/>
                <w:color w:val="auto"/>
              </w:rPr>
            </w:pPr>
            <w:r>
              <w:rPr>
                <w:rFonts w:ascii="Arial" w:cs="Arial" w:eastAsia="Arial" w:hAnsi="Arial"/>
                <w:sz w:val="13"/>
                <w:szCs w:val="13"/>
                <w:color w:val="auto"/>
              </w:rPr>
              <w:t>Total operating expenses</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19,032</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17,461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17,644</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9,811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7,889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 operations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(12,114)</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9,712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1,174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income (expense):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ind w:left="320"/>
              <w:spacing w:after="0" w:line="142" w:lineRule="exact"/>
              <w:rPr>
                <w:sz w:val="20"/>
                <w:szCs w:val="20"/>
                <w:color w:val="auto"/>
              </w:rPr>
            </w:pPr>
            <w:r>
              <w:rPr>
                <w:rFonts w:ascii="Arial" w:cs="Arial" w:eastAsia="Arial" w:hAnsi="Arial"/>
                <w:sz w:val="13"/>
                <w:szCs w:val="13"/>
                <w:color w:val="auto"/>
              </w:rPr>
              <w:t>Interest income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3"/>
                <w:szCs w:val="13"/>
                <w:color w:val="auto"/>
              </w:rPr>
              <w:t>153</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3"/>
                <w:szCs w:val="13"/>
                <w:color w:val="auto"/>
              </w:rPr>
              <w:t>144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3"/>
                <w:szCs w:val="13"/>
                <w:color w:val="auto"/>
              </w:rPr>
              <w:t>338</w:t>
            </w: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76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ind w:left="320"/>
              <w:spacing w:after="0" w:line="142" w:lineRule="exact"/>
              <w:rPr>
                <w:sz w:val="20"/>
                <w:szCs w:val="20"/>
                <w:color w:val="auto"/>
              </w:rPr>
            </w:pPr>
            <w:r>
              <w:rPr>
                <w:rFonts w:ascii="Arial" w:cs="Arial" w:eastAsia="Arial" w:hAnsi="Arial"/>
                <w:sz w:val="13"/>
                <w:szCs w:val="13"/>
                <w:color w:val="auto"/>
              </w:rPr>
              <w:t>Interest expense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(93)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(41)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ind w:left="320"/>
              <w:spacing w:after="0" w:line="142" w:lineRule="exact"/>
              <w:rPr>
                <w:sz w:val="20"/>
                <w:szCs w:val="20"/>
                <w:color w:val="auto"/>
              </w:rPr>
            </w:pPr>
            <w:r>
              <w:rPr>
                <w:rFonts w:ascii="Arial" w:cs="Arial" w:eastAsia="Arial" w:hAnsi="Arial"/>
                <w:sz w:val="13"/>
                <w:szCs w:val="13"/>
                <w:color w:val="auto"/>
              </w:rPr>
              <w:t>Foreign exchange gain (loss)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3"/>
                <w:szCs w:val="13"/>
                <w:color w:val="auto"/>
              </w:rPr>
              <w:t>60</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(169)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2,035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1,920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write-off and disposal of assets</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(1,030)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40" w:type="dxa"/>
            <w:vAlign w:val="bottom"/>
            <w:gridSpan w:val="2"/>
          </w:tcPr>
          <w:p>
            <w:pPr>
              <w:spacing w:after="0" w:line="148" w:lineRule="exact"/>
              <w:rPr>
                <w:sz w:val="20"/>
                <w:szCs w:val="20"/>
                <w:color w:val="auto"/>
              </w:rPr>
            </w:pPr>
            <w:r>
              <w:rPr>
                <w:rFonts w:ascii="Arial" w:cs="Arial" w:eastAsia="Arial" w:hAnsi="Arial"/>
                <w:sz w:val="13"/>
                <w:szCs w:val="13"/>
                <w:color w:val="auto"/>
              </w:rPr>
              <w:t>Net income (loss)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(11,992)</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(4,301)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12,032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3,140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2,603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(loss) attributable to participating securities</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8,199</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3,140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8" w:lineRule="exact"/>
              <w:rPr>
                <w:sz w:val="20"/>
                <w:szCs w:val="20"/>
                <w:color w:val="auto"/>
              </w:rPr>
            </w:pPr>
            <w:r>
              <w:rPr>
                <w:rFonts w:ascii="Arial" w:cs="Arial" w:eastAsia="Arial" w:hAnsi="Arial"/>
                <w:sz w:val="13"/>
                <w:szCs w:val="13"/>
                <w:color w:val="auto"/>
              </w:rPr>
              <w:t>Net income (loss) attributable to common shareholders</w:t>
            </w:r>
          </w:p>
        </w:tc>
        <w:tc>
          <w:tcPr>
            <w:tcW w:w="38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(11,992)</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(4,301)</w:t>
            </w:r>
          </w:p>
        </w:tc>
        <w:tc>
          <w:tcPr>
            <w:tcW w:w="3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3,833</w:t>
            </w:r>
          </w:p>
        </w:tc>
        <w:tc>
          <w:tcPr>
            <w:tcW w:w="480" w:type="dxa"/>
            <w:vAlign w:val="bottom"/>
          </w:tcPr>
          <w:p>
            <w:pPr>
              <w:spacing w:after="0"/>
              <w:rPr>
                <w:sz w:val="12"/>
                <w:szCs w:val="12"/>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420" w:type="dxa"/>
            <w:vAlign w:val="bottom"/>
            <w:shd w:val="clear" w:color="auto" w:fill="CCEEFF"/>
          </w:tcPr>
          <w:p>
            <w:pPr>
              <w:spacing w:after="0" w:line="133" w:lineRule="exact"/>
              <w:rPr>
                <w:sz w:val="20"/>
                <w:szCs w:val="20"/>
                <w:color w:val="auto"/>
              </w:rPr>
            </w:pPr>
            <w:r>
              <w:rPr>
                <w:rFonts w:ascii="Arial" w:cs="Arial" w:eastAsia="Arial" w:hAnsi="Arial"/>
                <w:sz w:val="10"/>
                <w:szCs w:val="10"/>
                <w:color w:val="auto"/>
              </w:rPr>
              <w:t xml:space="preserve">Net income (loss) per share—basic </w:t>
            </w:r>
            <w:r>
              <w:rPr>
                <w:rFonts w:ascii="Arial" w:cs="Arial" w:eastAsia="Arial" w:hAnsi="Arial"/>
                <w:sz w:val="15"/>
                <w:szCs w:val="15"/>
                <w:color w:val="auto"/>
                <w:vertAlign w:val="superscript"/>
              </w:rPr>
              <w:t>(1)</w:t>
            </w:r>
          </w:p>
        </w:tc>
        <w:tc>
          <w:tcPr>
            <w:tcW w:w="38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420"/>
              <w:spacing w:after="0" w:line="134" w:lineRule="exact"/>
              <w:rPr>
                <w:sz w:val="20"/>
                <w:szCs w:val="20"/>
                <w:color w:val="auto"/>
              </w:rPr>
            </w:pPr>
            <w:r>
              <w:rPr>
                <w:rFonts w:ascii="Arial" w:cs="Arial" w:eastAsia="Arial" w:hAnsi="Arial"/>
                <w:sz w:val="13"/>
                <w:szCs w:val="13"/>
                <w:color w:val="auto"/>
              </w:rPr>
              <w:t>(9.06)</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(3.24)</w:t>
            </w:r>
          </w:p>
        </w:tc>
        <w:tc>
          <w:tcPr>
            <w:tcW w:w="3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80"/>
              <w:spacing w:after="0" w:line="134" w:lineRule="exact"/>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0.00</w:t>
            </w:r>
          </w:p>
        </w:tc>
        <w:tc>
          <w:tcPr>
            <w:tcW w:w="2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line="142" w:lineRule="exact"/>
              <w:rPr>
                <w:sz w:val="20"/>
                <w:szCs w:val="20"/>
                <w:color w:val="auto"/>
              </w:rPr>
            </w:pPr>
            <w:r>
              <w:rPr>
                <w:rFonts w:ascii="Arial" w:cs="Arial" w:eastAsia="Arial" w:hAnsi="Arial"/>
                <w:sz w:val="10"/>
                <w:szCs w:val="10"/>
                <w:color w:val="auto"/>
              </w:rPr>
              <w:t xml:space="preserve">Net income (loss) per share—diluted </w:t>
            </w:r>
            <w:r>
              <w:rPr>
                <w:rFonts w:ascii="Arial" w:cs="Arial" w:eastAsia="Arial" w:hAnsi="Arial"/>
                <w:sz w:val="16"/>
                <w:szCs w:val="16"/>
                <w:color w:val="auto"/>
                <w:vertAlign w:val="superscript"/>
              </w:rPr>
              <w:t>(1)</w:t>
            </w:r>
          </w:p>
        </w:tc>
        <w:tc>
          <w:tcPr>
            <w:tcW w:w="3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(9.06)</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(3.24)</w:t>
            </w:r>
          </w:p>
        </w:tc>
        <w:tc>
          <w:tcPr>
            <w:tcW w:w="3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3"/>
                <w:szCs w:val="13"/>
                <w:color w:val="auto"/>
              </w:rPr>
              <w:t>1.91</w:t>
            </w: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0.00</w:t>
            </w:r>
          </w:p>
        </w:tc>
        <w:tc>
          <w:tcPr>
            <w:tcW w:w="280" w:type="dxa"/>
            <w:vAlign w:val="bottom"/>
          </w:tcPr>
          <w:p>
            <w:pPr>
              <w:spacing w:after="0"/>
              <w:rPr>
                <w:sz w:val="12"/>
                <w:szCs w:val="12"/>
                <w:color w:val="auto"/>
              </w:rPr>
            </w:pP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Weighted-average common shares outstanding used in computing basic net income (loss)</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20" w:type="dxa"/>
            <w:vAlign w:val="bottom"/>
            <w:shd w:val="clear" w:color="auto" w:fill="CCEEFF"/>
          </w:tcPr>
          <w:p>
            <w:pPr>
              <w:ind w:left="320"/>
              <w:spacing w:after="0" w:line="168" w:lineRule="exact"/>
              <w:rPr>
                <w:sz w:val="20"/>
                <w:szCs w:val="20"/>
                <w:color w:val="auto"/>
              </w:rPr>
            </w:pPr>
            <w:r>
              <w:rPr>
                <w:rFonts w:ascii="Arial" w:cs="Arial" w:eastAsia="Arial" w:hAnsi="Arial"/>
                <w:sz w:val="12"/>
                <w:szCs w:val="12"/>
                <w:color w:val="auto"/>
              </w:rPr>
              <w:t xml:space="preserve">per share </w:t>
            </w:r>
            <w:r>
              <w:rPr>
                <w:rFonts w:ascii="Arial" w:cs="Arial" w:eastAsia="Arial" w:hAnsi="Arial"/>
                <w:sz w:val="19"/>
                <w:szCs w:val="19"/>
                <w:color w:val="auto"/>
                <w:vertAlign w:val="superscript"/>
              </w:rPr>
              <w:t>(1)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1,324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line="148" w:lineRule="exact"/>
              <w:rPr>
                <w:sz w:val="20"/>
                <w:szCs w:val="20"/>
                <w:color w:val="auto"/>
              </w:rPr>
            </w:pPr>
            <w:r>
              <w:rPr>
                <w:rFonts w:ascii="Arial" w:cs="Arial" w:eastAsia="Arial" w:hAnsi="Arial"/>
                <w:sz w:val="13"/>
                <w:szCs w:val="13"/>
                <w:color w:val="auto"/>
              </w:rPr>
              <w:t>Weighted-average common shares outstanding used in computing diluted net income (loss)</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20" w:type="dxa"/>
            <w:vAlign w:val="bottom"/>
          </w:tcPr>
          <w:p>
            <w:pPr>
              <w:ind w:left="320"/>
              <w:spacing w:after="0" w:line="168" w:lineRule="exact"/>
              <w:rPr>
                <w:sz w:val="20"/>
                <w:szCs w:val="20"/>
                <w:color w:val="auto"/>
              </w:rPr>
            </w:pPr>
            <w:r>
              <w:rPr>
                <w:rFonts w:ascii="Arial" w:cs="Arial" w:eastAsia="Arial" w:hAnsi="Arial"/>
                <w:sz w:val="12"/>
                <w:szCs w:val="12"/>
                <w:color w:val="auto"/>
              </w:rPr>
              <w:t xml:space="preserve">per share </w:t>
            </w:r>
            <w:r>
              <w:rPr>
                <w:rFonts w:ascii="Arial" w:cs="Arial" w:eastAsia="Arial" w:hAnsi="Arial"/>
                <w:sz w:val="19"/>
                <w:szCs w:val="19"/>
                <w:color w:val="auto"/>
                <w:vertAlign w:val="superscript"/>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color w:val="auto"/>
              </w:rPr>
              <w:t>1,324</w:t>
            </w: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1,327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1,333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5420" w:type="dxa"/>
            <w:vAlign w:val="bottom"/>
            <w:shd w:val="clear" w:color="auto" w:fill="CCEEFF"/>
          </w:tcPr>
          <w:p>
            <w:pPr>
              <w:spacing w:after="0" w:line="133" w:lineRule="exact"/>
              <w:rPr>
                <w:sz w:val="20"/>
                <w:szCs w:val="20"/>
                <w:color w:val="auto"/>
              </w:rPr>
            </w:pPr>
            <w:r>
              <w:rPr>
                <w:rFonts w:ascii="Arial" w:cs="Arial" w:eastAsia="Arial" w:hAnsi="Arial"/>
                <w:sz w:val="10"/>
                <w:szCs w:val="10"/>
                <w:color w:val="auto"/>
              </w:rPr>
              <w:t xml:space="preserve">Pro forma net income per share—basic (unaudited) </w:t>
            </w:r>
            <w:r>
              <w:rPr>
                <w:rFonts w:ascii="Arial" w:cs="Arial" w:eastAsia="Arial" w:hAnsi="Arial"/>
                <w:sz w:val="15"/>
                <w:szCs w:val="15"/>
                <w:color w:val="auto"/>
                <w:vertAlign w:val="superscript"/>
              </w:rPr>
              <w:t>(2)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80"/>
              <w:spacing w:after="0" w:line="134"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line="142" w:lineRule="exact"/>
              <w:rPr>
                <w:sz w:val="20"/>
                <w:szCs w:val="20"/>
                <w:color w:val="auto"/>
              </w:rPr>
            </w:pPr>
            <w:r>
              <w:rPr>
                <w:rFonts w:ascii="Arial" w:cs="Arial" w:eastAsia="Arial" w:hAnsi="Arial"/>
                <w:sz w:val="10"/>
                <w:szCs w:val="10"/>
                <w:color w:val="auto"/>
              </w:rPr>
              <w:t xml:space="preserve">Pro forma net income per share—diluted (unaudited) </w:t>
            </w:r>
            <w:r>
              <w:rPr>
                <w:rFonts w:ascii="Arial" w:cs="Arial" w:eastAsia="Arial" w:hAnsi="Arial"/>
                <w:sz w:val="16"/>
                <w:szCs w:val="16"/>
                <w:color w:val="auto"/>
                <w:vertAlign w:val="superscript"/>
              </w:rPr>
              <w:t>(2)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3"/>
                <w:szCs w:val="13"/>
                <w:color w:val="auto"/>
              </w:rPr>
              <w:t>1.24</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Weighted-average common shares outstanding used in computing the proforma net income</w:t>
            </w: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20" w:type="dxa"/>
            <w:vAlign w:val="bottom"/>
            <w:shd w:val="clear" w:color="auto" w:fill="CCEEFF"/>
          </w:tcPr>
          <w:p>
            <w:pPr>
              <w:ind w:left="320"/>
              <w:spacing w:after="0" w:line="168" w:lineRule="exact"/>
              <w:rPr>
                <w:sz w:val="20"/>
                <w:szCs w:val="20"/>
                <w:color w:val="auto"/>
              </w:rPr>
            </w:pPr>
            <w:r>
              <w:rPr>
                <w:rFonts w:ascii="Arial" w:cs="Arial" w:eastAsia="Arial" w:hAnsi="Arial"/>
                <w:sz w:val="12"/>
                <w:szCs w:val="12"/>
                <w:color w:val="auto"/>
              </w:rPr>
              <w:t xml:space="preserve">per share—basic (unaudited) </w:t>
            </w:r>
            <w:r>
              <w:rPr>
                <w:rFonts w:ascii="Arial" w:cs="Arial" w:eastAsia="Arial" w:hAnsi="Arial"/>
                <w:sz w:val="19"/>
                <w:szCs w:val="19"/>
                <w:color w:val="auto"/>
                <w:vertAlign w:val="superscript"/>
              </w:rPr>
              <w:t>(2)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9,076</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line="148" w:lineRule="exact"/>
              <w:rPr>
                <w:sz w:val="20"/>
                <w:szCs w:val="20"/>
                <w:color w:val="auto"/>
              </w:rPr>
            </w:pPr>
            <w:r>
              <w:rPr>
                <w:rFonts w:ascii="Arial" w:cs="Arial" w:eastAsia="Arial" w:hAnsi="Arial"/>
                <w:sz w:val="13"/>
                <w:szCs w:val="13"/>
                <w:color w:val="auto"/>
              </w:rPr>
              <w:t>Weighted-average common shares outstanding used in computing the proforma net income</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20" w:type="dxa"/>
            <w:vAlign w:val="bottom"/>
          </w:tcPr>
          <w:p>
            <w:pPr>
              <w:ind w:left="320"/>
              <w:spacing w:after="0" w:line="168" w:lineRule="exact"/>
              <w:rPr>
                <w:sz w:val="20"/>
                <w:szCs w:val="20"/>
                <w:color w:val="auto"/>
              </w:rPr>
            </w:pPr>
            <w:r>
              <w:rPr>
                <w:rFonts w:ascii="Arial" w:cs="Arial" w:eastAsia="Arial" w:hAnsi="Arial"/>
                <w:sz w:val="12"/>
                <w:szCs w:val="12"/>
                <w:color w:val="auto"/>
              </w:rPr>
              <w:t xml:space="preserve">per share—diluted (unaudited) </w:t>
            </w:r>
            <w:r>
              <w:rPr>
                <w:rFonts w:ascii="Arial" w:cs="Arial" w:eastAsia="Arial" w:hAnsi="Arial"/>
                <w:sz w:val="19"/>
                <w:szCs w:val="19"/>
                <w:color w:val="auto"/>
                <w:vertAlign w:val="superscript"/>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4"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72529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ind w:right="23"/>
              <w:spacing w:after="0"/>
              <w:rPr>
                <w:sz w:val="20"/>
                <w:szCs w:val="20"/>
                <w:color w:val="auto"/>
              </w:rPr>
            </w:pPr>
            <w:r>
              <w:rPr>
                <w:rFonts w:ascii="Arial" w:cs="Arial" w:eastAsia="Arial" w:hAnsi="Arial"/>
                <w:sz w:val="13"/>
                <w:szCs w:val="13"/>
                <w:b w:val="1"/>
                <w:bCs w:val="1"/>
                <w:color w:val="auto"/>
              </w:rPr>
              <w:t>AS OF DECEMBER 31,</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AS OF JUNE 30</w:t>
            </w:r>
          </w:p>
        </w:tc>
        <w:tc>
          <w:tcPr>
            <w:tcW w:w="0" w:type="dxa"/>
            <w:vAlign w:val="bottom"/>
          </w:tcPr>
          <w:p>
            <w:pPr>
              <w:spacing w:after="0"/>
              <w:rPr>
                <w:sz w:val="1"/>
                <w:szCs w:val="1"/>
                <w:color w:val="auto"/>
              </w:rPr>
            </w:pPr>
          </w:p>
        </w:tc>
      </w:tr>
      <w:tr>
        <w:trPr>
          <w:trHeight w:val="135"/>
        </w:trPr>
        <w:tc>
          <w:tcPr>
            <w:tcW w:w="66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259"/>
              <w:spacing w:after="0" w:line="135" w:lineRule="exact"/>
              <w:rPr>
                <w:sz w:val="20"/>
                <w:szCs w:val="20"/>
                <w:color w:val="auto"/>
              </w:rPr>
            </w:pPr>
            <w:r>
              <w:rPr>
                <w:rFonts w:ascii="Arial" w:cs="Arial" w:eastAsia="Arial" w:hAnsi="Arial"/>
                <w:sz w:val="13"/>
                <w:szCs w:val="13"/>
                <w:b w:val="1"/>
                <w:bCs w:val="1"/>
                <w:color w:val="auto"/>
              </w:rPr>
              <w:t>2011</w:t>
            </w:r>
          </w:p>
        </w:tc>
        <w:tc>
          <w:tcPr>
            <w:tcW w:w="1540" w:type="dxa"/>
            <w:vAlign w:val="bottom"/>
            <w:tcBorders>
              <w:top w:val="single" w:sz="8" w:color="auto"/>
              <w:bottom w:val="single" w:sz="8" w:color="auto"/>
            </w:tcBorders>
          </w:tcPr>
          <w:p>
            <w:pPr>
              <w:jc w:val="right"/>
              <w:ind w:right="563"/>
              <w:spacing w:after="0" w:line="135" w:lineRule="exact"/>
              <w:rPr>
                <w:sz w:val="20"/>
                <w:szCs w:val="20"/>
                <w:color w:val="auto"/>
              </w:rPr>
            </w:pPr>
            <w:r>
              <w:rPr>
                <w:rFonts w:ascii="Arial" w:cs="Arial" w:eastAsia="Arial" w:hAnsi="Arial"/>
                <w:sz w:val="13"/>
                <w:szCs w:val="13"/>
                <w:b w:val="1"/>
                <w:bCs w:val="1"/>
                <w:color w:val="auto"/>
              </w:rPr>
              <w:t>2012</w:t>
            </w:r>
          </w:p>
        </w:tc>
        <w:tc>
          <w:tcPr>
            <w:tcW w:w="800" w:type="dxa"/>
            <w:vAlign w:val="bottom"/>
            <w:tcBorders>
              <w:top w:val="single" w:sz="8" w:color="auto"/>
              <w:bottom w:val="single" w:sz="8" w:color="auto"/>
            </w:tcBorders>
          </w:tcPr>
          <w:p>
            <w:pPr>
              <w:jc w:val="right"/>
              <w:ind w:right="139"/>
              <w:spacing w:after="0" w:line="135" w:lineRule="exact"/>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41"/>
              <w:spacing w:after="0" w:line="135" w:lineRule="exact"/>
              <w:rPr>
                <w:sz w:val="20"/>
                <w:szCs w:val="20"/>
                <w:color w:val="auto"/>
              </w:rPr>
            </w:pPr>
            <w:r>
              <w:rPr>
                <w:rFonts w:ascii="Arial" w:cs="Arial" w:eastAsia="Arial" w:hAnsi="Arial"/>
                <w:sz w:val="13"/>
                <w:szCs w:val="13"/>
                <w:b w:val="1"/>
                <w:bCs w:val="1"/>
                <w:color w:val="auto"/>
                <w:w w:val="96"/>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20" w:type="dxa"/>
            <w:vAlign w:val="bottom"/>
            <w:gridSpan w:val="3"/>
            <w:vMerge w:val="restart"/>
          </w:tcPr>
          <w:p>
            <w:pPr>
              <w:jc w:val="right"/>
              <w:ind w:right="700"/>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66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Sheet Data:</w:t>
            </w: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80" w:type="dxa"/>
            <w:vAlign w:val="bottom"/>
          </w:tcPr>
          <w:p>
            <w:pPr>
              <w:spacing w:after="0" w:line="194" w:lineRule="exact"/>
              <w:rPr>
                <w:sz w:val="20"/>
                <w:szCs w:val="20"/>
                <w:color w:val="auto"/>
              </w:rPr>
            </w:pPr>
            <w:r>
              <w:rPr>
                <w:rFonts w:ascii="Arial" w:cs="Arial" w:eastAsia="Arial" w:hAnsi="Arial"/>
                <w:sz w:val="17"/>
                <w:szCs w:val="17"/>
                <w:color w:val="auto"/>
              </w:rPr>
              <w:t>Cash, cash equivalents and marketable securities</w:t>
            </w:r>
          </w:p>
        </w:tc>
        <w:tc>
          <w:tcPr>
            <w:tcW w:w="840" w:type="dxa"/>
            <w:vAlign w:val="bottom"/>
          </w:tcPr>
          <w:p>
            <w:pPr>
              <w:jc w:val="right"/>
              <w:ind w:right="39"/>
              <w:spacing w:after="0" w:line="194" w:lineRule="exact"/>
              <w:rPr>
                <w:sz w:val="20"/>
                <w:szCs w:val="20"/>
                <w:color w:val="auto"/>
              </w:rPr>
            </w:pPr>
            <w:r>
              <w:rPr>
                <w:rFonts w:ascii="Arial" w:cs="Arial" w:eastAsia="Arial" w:hAnsi="Arial"/>
                <w:sz w:val="17"/>
                <w:szCs w:val="17"/>
                <w:color w:val="auto"/>
              </w:rPr>
              <w:t>$ 14,924</w:t>
            </w:r>
          </w:p>
        </w:tc>
        <w:tc>
          <w:tcPr>
            <w:tcW w:w="1540" w:type="dxa"/>
            <w:vAlign w:val="bottom"/>
          </w:tcPr>
          <w:p>
            <w:pPr>
              <w:jc w:val="right"/>
              <w:ind w:right="363"/>
              <w:spacing w:after="0" w:line="194" w:lineRule="exact"/>
              <w:rPr>
                <w:sz w:val="20"/>
                <w:szCs w:val="20"/>
                <w:color w:val="auto"/>
              </w:rPr>
            </w:pPr>
            <w:r>
              <w:rPr>
                <w:rFonts w:ascii="Arial" w:cs="Arial" w:eastAsia="Arial" w:hAnsi="Arial"/>
                <w:sz w:val="17"/>
                <w:szCs w:val="17"/>
                <w:color w:val="auto"/>
              </w:rPr>
              <w:t>$ 60,162</w:t>
            </w:r>
          </w:p>
        </w:tc>
        <w:tc>
          <w:tcPr>
            <w:tcW w:w="108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$ 49,276</w:t>
            </w: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44,710</w:t>
            </w:r>
          </w:p>
        </w:tc>
        <w:tc>
          <w:tcPr>
            <w:tcW w:w="0" w:type="dxa"/>
            <w:vAlign w:val="bottom"/>
          </w:tcPr>
          <w:p>
            <w:pPr>
              <w:spacing w:after="0"/>
              <w:rPr>
                <w:sz w:val="1"/>
                <w:szCs w:val="1"/>
                <w:color w:val="auto"/>
              </w:rPr>
            </w:pPr>
          </w:p>
        </w:tc>
      </w:tr>
      <w:tr>
        <w:trPr>
          <w:trHeight w:val="194"/>
        </w:trPr>
        <w:tc>
          <w:tcPr>
            <w:tcW w:w="66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Working capital</w:t>
            </w:r>
          </w:p>
        </w:tc>
        <w:tc>
          <w:tcPr>
            <w:tcW w:w="840" w:type="dxa"/>
            <w:vAlign w:val="bottom"/>
            <w:shd w:val="clear" w:color="auto" w:fill="CCEEFF"/>
          </w:tcPr>
          <w:p>
            <w:pPr>
              <w:jc w:val="right"/>
              <w:ind w:right="39"/>
              <w:spacing w:after="0" w:line="194" w:lineRule="exact"/>
              <w:rPr>
                <w:sz w:val="20"/>
                <w:szCs w:val="20"/>
                <w:color w:val="auto"/>
              </w:rPr>
            </w:pPr>
            <w:r>
              <w:rPr>
                <w:rFonts w:ascii="Arial" w:cs="Arial" w:eastAsia="Arial" w:hAnsi="Arial"/>
                <w:sz w:val="17"/>
                <w:szCs w:val="17"/>
                <w:color w:val="auto"/>
              </w:rPr>
              <w:t>20,536</w:t>
            </w:r>
          </w:p>
        </w:tc>
        <w:tc>
          <w:tcPr>
            <w:tcW w:w="1540" w:type="dxa"/>
            <w:vAlign w:val="bottom"/>
            <w:shd w:val="clear" w:color="auto" w:fill="CCEEFF"/>
          </w:tcPr>
          <w:p>
            <w:pPr>
              <w:jc w:val="right"/>
              <w:ind w:right="363"/>
              <w:spacing w:after="0" w:line="194" w:lineRule="exact"/>
              <w:rPr>
                <w:sz w:val="20"/>
                <w:szCs w:val="20"/>
                <w:color w:val="auto"/>
              </w:rPr>
            </w:pPr>
            <w:r>
              <w:rPr>
                <w:rFonts w:ascii="Arial" w:cs="Arial" w:eastAsia="Arial" w:hAnsi="Arial"/>
                <w:sz w:val="17"/>
                <w:szCs w:val="17"/>
                <w:color w:val="auto"/>
              </w:rPr>
              <w:t>41,507</w:t>
            </w:r>
          </w:p>
        </w:tc>
        <w:tc>
          <w:tcPr>
            <w:tcW w:w="10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31,666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27,977</w:t>
            </w:r>
          </w:p>
        </w:tc>
        <w:tc>
          <w:tcPr>
            <w:tcW w:w="0" w:type="dxa"/>
            <w:vAlign w:val="bottom"/>
          </w:tcPr>
          <w:p>
            <w:pPr>
              <w:spacing w:after="0"/>
              <w:rPr>
                <w:sz w:val="1"/>
                <w:szCs w:val="1"/>
                <w:color w:val="auto"/>
              </w:rPr>
            </w:pPr>
          </w:p>
        </w:tc>
      </w:tr>
      <w:tr>
        <w:trPr>
          <w:trHeight w:val="194"/>
        </w:trPr>
        <w:tc>
          <w:tcPr>
            <w:tcW w:w="6680" w:type="dxa"/>
            <w:vAlign w:val="bottom"/>
          </w:tcPr>
          <w:p>
            <w:pPr>
              <w:spacing w:after="0" w:line="194" w:lineRule="exact"/>
              <w:rPr>
                <w:sz w:val="20"/>
                <w:szCs w:val="20"/>
                <w:color w:val="auto"/>
              </w:rPr>
            </w:pPr>
            <w:r>
              <w:rPr>
                <w:rFonts w:ascii="Arial" w:cs="Arial" w:eastAsia="Arial" w:hAnsi="Arial"/>
                <w:sz w:val="17"/>
                <w:szCs w:val="17"/>
                <w:color w:val="auto"/>
              </w:rPr>
              <w:t>Total assets</w:t>
            </w:r>
          </w:p>
        </w:tc>
        <w:tc>
          <w:tcPr>
            <w:tcW w:w="840" w:type="dxa"/>
            <w:vAlign w:val="bottom"/>
          </w:tcPr>
          <w:p>
            <w:pPr>
              <w:jc w:val="right"/>
              <w:ind w:right="39"/>
              <w:spacing w:after="0" w:line="194" w:lineRule="exact"/>
              <w:rPr>
                <w:sz w:val="20"/>
                <w:szCs w:val="20"/>
                <w:color w:val="auto"/>
              </w:rPr>
            </w:pPr>
            <w:r>
              <w:rPr>
                <w:rFonts w:ascii="Arial" w:cs="Arial" w:eastAsia="Arial" w:hAnsi="Arial"/>
                <w:sz w:val="17"/>
                <w:szCs w:val="17"/>
                <w:color w:val="auto"/>
              </w:rPr>
              <w:t>30,465</w:t>
            </w:r>
          </w:p>
        </w:tc>
        <w:tc>
          <w:tcPr>
            <w:tcW w:w="1540" w:type="dxa"/>
            <w:vAlign w:val="bottom"/>
          </w:tcPr>
          <w:p>
            <w:pPr>
              <w:jc w:val="right"/>
              <w:ind w:right="363"/>
              <w:spacing w:after="0" w:line="194" w:lineRule="exact"/>
              <w:rPr>
                <w:sz w:val="20"/>
                <w:szCs w:val="20"/>
                <w:color w:val="auto"/>
              </w:rPr>
            </w:pPr>
            <w:r>
              <w:rPr>
                <w:rFonts w:ascii="Arial" w:cs="Arial" w:eastAsia="Arial" w:hAnsi="Arial"/>
                <w:sz w:val="17"/>
                <w:szCs w:val="17"/>
                <w:color w:val="auto"/>
              </w:rPr>
              <w:t>63,305</w:t>
            </w:r>
          </w:p>
        </w:tc>
        <w:tc>
          <w:tcPr>
            <w:tcW w:w="108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54,487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50,712</w:t>
            </w:r>
          </w:p>
        </w:tc>
        <w:tc>
          <w:tcPr>
            <w:tcW w:w="0" w:type="dxa"/>
            <w:vAlign w:val="bottom"/>
          </w:tcPr>
          <w:p>
            <w:pPr>
              <w:spacing w:after="0"/>
              <w:rPr>
                <w:sz w:val="1"/>
                <w:szCs w:val="1"/>
                <w:color w:val="auto"/>
              </w:rPr>
            </w:pPr>
          </w:p>
        </w:tc>
      </w:tr>
      <w:tr>
        <w:trPr>
          <w:trHeight w:val="194"/>
        </w:trPr>
        <w:tc>
          <w:tcPr>
            <w:tcW w:w="66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Note payable</w:t>
            </w:r>
          </w:p>
        </w:tc>
        <w:tc>
          <w:tcPr>
            <w:tcW w:w="840" w:type="dxa"/>
            <w:vAlign w:val="bottom"/>
            <w:shd w:val="clear" w:color="auto" w:fill="CCEEFF"/>
          </w:tcPr>
          <w:p>
            <w:pPr>
              <w:jc w:val="right"/>
              <w:ind w:right="39"/>
              <w:spacing w:after="0" w:line="194" w:lineRule="exact"/>
              <w:rPr>
                <w:sz w:val="20"/>
                <w:szCs w:val="20"/>
                <w:color w:val="auto"/>
              </w:rPr>
            </w:pPr>
            <w:r>
              <w:rPr>
                <w:rFonts w:ascii="Arial" w:cs="Arial" w:eastAsia="Arial" w:hAnsi="Arial"/>
                <w:sz w:val="17"/>
                <w:szCs w:val="17"/>
                <w:color w:val="auto"/>
              </w:rPr>
              <w:t>1,586</w:t>
            </w:r>
          </w:p>
        </w:tc>
        <w:tc>
          <w:tcPr>
            <w:tcW w:w="1540" w:type="dxa"/>
            <w:vAlign w:val="bottom"/>
            <w:shd w:val="clear" w:color="auto" w:fill="CCEEFF"/>
          </w:tcPr>
          <w:p>
            <w:pPr>
              <w:jc w:val="right"/>
              <w:ind w:right="363"/>
              <w:spacing w:after="0" w:line="194" w:lineRule="exact"/>
              <w:rPr>
                <w:sz w:val="20"/>
                <w:szCs w:val="20"/>
                <w:color w:val="auto"/>
              </w:rPr>
            </w:pPr>
            <w:r>
              <w:rPr>
                <w:rFonts w:ascii="Arial" w:cs="Arial" w:eastAsia="Arial" w:hAnsi="Arial"/>
                <w:sz w:val="17"/>
                <w:szCs w:val="17"/>
                <w:color w:val="auto"/>
              </w:rPr>
              <w:t>1,665</w:t>
            </w:r>
          </w:p>
        </w:tc>
        <w:tc>
          <w:tcPr>
            <w:tcW w:w="10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680" w:type="dxa"/>
            <w:vAlign w:val="bottom"/>
          </w:tcPr>
          <w:p>
            <w:pPr>
              <w:spacing w:after="0" w:line="194" w:lineRule="exact"/>
              <w:rPr>
                <w:sz w:val="20"/>
                <w:szCs w:val="20"/>
                <w:color w:val="auto"/>
              </w:rPr>
            </w:pPr>
            <w:r>
              <w:rPr>
                <w:rFonts w:ascii="Arial" w:cs="Arial" w:eastAsia="Arial" w:hAnsi="Arial"/>
                <w:sz w:val="17"/>
                <w:szCs w:val="17"/>
                <w:color w:val="auto"/>
              </w:rPr>
              <w:t>Redeemable convertible preferred shares</w:t>
            </w:r>
          </w:p>
        </w:tc>
        <w:tc>
          <w:tcPr>
            <w:tcW w:w="840" w:type="dxa"/>
            <w:vAlign w:val="bottom"/>
          </w:tcPr>
          <w:p>
            <w:pPr>
              <w:jc w:val="right"/>
              <w:ind w:right="39"/>
              <w:spacing w:after="0" w:line="194" w:lineRule="exact"/>
              <w:rPr>
                <w:sz w:val="20"/>
                <w:szCs w:val="20"/>
                <w:color w:val="auto"/>
              </w:rPr>
            </w:pPr>
            <w:r>
              <w:rPr>
                <w:rFonts w:ascii="Arial" w:cs="Arial" w:eastAsia="Arial" w:hAnsi="Arial"/>
                <w:sz w:val="17"/>
                <w:szCs w:val="17"/>
                <w:color w:val="auto"/>
              </w:rPr>
              <w:t>102,488</w:t>
            </w:r>
          </w:p>
        </w:tc>
        <w:tc>
          <w:tcPr>
            <w:tcW w:w="1540" w:type="dxa"/>
            <w:vAlign w:val="bottom"/>
          </w:tcPr>
          <w:p>
            <w:pPr>
              <w:jc w:val="right"/>
              <w:ind w:right="363"/>
              <w:spacing w:after="0" w:line="194" w:lineRule="exact"/>
              <w:rPr>
                <w:sz w:val="20"/>
                <w:szCs w:val="20"/>
                <w:color w:val="auto"/>
              </w:rPr>
            </w:pPr>
            <w:r>
              <w:rPr>
                <w:rFonts w:ascii="Arial" w:cs="Arial" w:eastAsia="Arial" w:hAnsi="Arial"/>
                <w:sz w:val="17"/>
                <w:szCs w:val="17"/>
                <w:color w:val="auto"/>
              </w:rPr>
              <w:t>102,488</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102,488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102,488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shareholders’ deficit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(86,316)</w:t>
            </w:r>
          </w:p>
        </w:tc>
        <w:tc>
          <w:tcPr>
            <w:tcW w:w="1540" w:type="dxa"/>
            <w:vAlign w:val="bottom"/>
            <w:shd w:val="clear" w:color="auto" w:fill="CCEEFF"/>
          </w:tcPr>
          <w:p>
            <w:pPr>
              <w:jc w:val="right"/>
              <w:ind w:right="303"/>
              <w:spacing w:after="0" w:line="194" w:lineRule="exact"/>
              <w:rPr>
                <w:sz w:val="20"/>
                <w:szCs w:val="20"/>
                <w:color w:val="auto"/>
              </w:rPr>
            </w:pPr>
            <w:r>
              <w:rPr>
                <w:rFonts w:ascii="Arial" w:cs="Arial" w:eastAsia="Arial" w:hAnsi="Arial"/>
                <w:sz w:val="17"/>
                <w:szCs w:val="17"/>
                <w:color w:val="auto"/>
              </w:rPr>
              <w:t>(89,865)</w:t>
            </w:r>
          </w:p>
        </w:tc>
        <w:tc>
          <w:tcPr>
            <w:tcW w:w="10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(78,372)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(75,382)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529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47" w:lineRule="exact"/>
        <w:rPr>
          <w:sz w:val="20"/>
          <w:szCs w:val="20"/>
          <w:color w:val="auto"/>
        </w:rPr>
      </w:pPr>
    </w:p>
    <w:p>
      <w:pPr>
        <w:ind w:left="320" w:right="140" w:hanging="264"/>
        <w:spacing w:after="0" w:line="185" w:lineRule="auto"/>
        <w:tabs>
          <w:tab w:leader="none" w:pos="320" w:val="left"/>
        </w:tabs>
        <w:numPr>
          <w:ilvl w:val="0"/>
          <w:numId w:val="46"/>
        </w:numPr>
        <w:rPr>
          <w:rFonts w:ascii="Arial" w:cs="Arial" w:eastAsia="Arial" w:hAnsi="Arial"/>
          <w:sz w:val="20"/>
          <w:szCs w:val="20"/>
          <w:color w:val="auto"/>
          <w:vertAlign w:val="superscript"/>
        </w:rPr>
      </w:pPr>
      <w:r>
        <w:rPr>
          <w:rFonts w:ascii="Arial" w:cs="Arial" w:eastAsia="Arial" w:hAnsi="Arial"/>
          <w:sz w:val="12"/>
          <w:szCs w:val="12"/>
          <w:color w:val="auto"/>
        </w:rPr>
        <w:t>See Note 2 to our financial statements appearing elsewhere in this prospectus for an explanation of the method used to calculate basic and diluted net income (loss) per common share and the weighted-average number of common shares used in computation of the per common share amounts.</w:t>
      </w:r>
    </w:p>
    <w:p>
      <w:pPr>
        <w:ind w:left="320" w:right="60" w:hanging="264"/>
        <w:spacing w:after="0" w:line="203" w:lineRule="auto"/>
        <w:tabs>
          <w:tab w:leader="none" w:pos="320" w:val="left"/>
        </w:tabs>
        <w:numPr>
          <w:ilvl w:val="0"/>
          <w:numId w:val="46"/>
        </w:numPr>
        <w:rPr>
          <w:rFonts w:ascii="Arial" w:cs="Arial" w:eastAsia="Arial" w:hAnsi="Arial"/>
          <w:sz w:val="22"/>
          <w:szCs w:val="22"/>
          <w:color w:val="auto"/>
          <w:vertAlign w:val="superscript"/>
        </w:rPr>
      </w:pPr>
      <w:r>
        <w:rPr>
          <w:rFonts w:ascii="Arial" w:cs="Arial" w:eastAsia="Arial" w:hAnsi="Arial"/>
          <w:sz w:val="13"/>
          <w:szCs w:val="13"/>
          <w:color w:val="auto"/>
        </w:rPr>
        <w:t>Pro forma net income (loss) per share represents net income (loss) divided by the pro forma weighted-average shares outstanding, and reflects (i) the conversion of all outstanding preferred shares into an aggregate of 7,725,924 common shares, including the conversion of all of our outstanding Series A preferred shares and Series B preferred shares into 2,146,353 common shares and the conversion of all of our Series E preferred shares into 5,579,571 common shares, based upon the initial public offering price of $9.00 per share and the adjustment provisions relating to our outstanding Series E preferred shares described in “Description of Share Capital,” upon the closing of this offering, and (ii) the conversion of the weighted-average number of outstanding subscription rights for the period into an aggregate of 11,955 common shares.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4"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in this prospectus. Some of the information contained in this discussion and analysis or set forth in other parts of this prospectus, including information with respect to our plans and strategy for our business, includes forward-looking statements that involve risks and uncertainties. You should read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7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and preclinical and clinical development.</w:t>
      </w:r>
    </w:p>
    <w:p>
      <w:pPr>
        <w:spacing w:after="0" w:line="11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has yielded the first approved gene therapy product in the European Union, or the EU, a broad development pipeline and multiple pharmaceutical partnerships.</w:t>
      </w:r>
    </w:p>
    <w:p>
      <w:pPr>
        <w:spacing w:after="0" w:line="9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$140.0 million in non-equity funding to date with the potential to provide us with over $1.0 billion in future milestone payments, as well as royalties and co-promotion income on product sales.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To date, our Extreme Genetics discovery platform has yielded:</w:t>
      </w:r>
    </w:p>
    <w:p>
      <w:pPr>
        <w:spacing w:after="0" w:line="127" w:lineRule="exact"/>
        <w:rPr>
          <w:sz w:val="20"/>
          <w:szCs w:val="20"/>
          <w:color w:val="auto"/>
        </w:rPr>
      </w:pPr>
    </w:p>
    <w:p>
      <w:pPr>
        <w:ind w:left="780" w:right="140" w:hanging="441"/>
        <w:spacing w:after="0" w:line="191" w:lineRule="auto"/>
        <w:tabs>
          <w:tab w:leader="none" w:pos="780" w:val="left"/>
        </w:tabs>
        <w:numPr>
          <w:ilvl w:val="0"/>
          <w:numId w:val="47"/>
        </w:numPr>
        <w:rPr>
          <w:rFonts w:ascii="Arial" w:cs="Arial" w:eastAsia="Arial" w:hAnsi="Arial"/>
          <w:sz w:val="26"/>
          <w:szCs w:val="26"/>
          <w:color w:val="auto"/>
          <w:vertAlign w:val="superscript"/>
        </w:rPr>
      </w:pPr>
      <w:r>
        <w:rPr>
          <w:rFonts w:ascii="Arial" w:cs="Arial" w:eastAsia="Arial" w:hAnsi="Arial"/>
          <w:sz w:val="17"/>
          <w:szCs w:val="17"/>
          <w:color w:val="auto"/>
        </w:rPr>
        <w:t>Glybera, developed by our licensee uniQure Biopharma B.V., or uniQure, the first, and currently the only, gene therapy approved in the EU for the treatment of the orphan disorder lipoprotein lipase deficiency, or LPLD;</w:t>
      </w:r>
    </w:p>
    <w:p>
      <w:pPr>
        <w:spacing w:after="0" w:line="19" w:lineRule="exact"/>
        <w:rPr>
          <w:rFonts w:ascii="Arial" w:cs="Arial" w:eastAsia="Arial" w:hAnsi="Arial"/>
          <w:sz w:val="26"/>
          <w:szCs w:val="26"/>
          <w:color w:val="auto"/>
          <w:vertAlign w:val="superscript"/>
        </w:rPr>
      </w:pPr>
    </w:p>
    <w:p>
      <w:pPr>
        <w:ind w:left="780" w:hanging="441"/>
        <w:spacing w:after="0" w:line="204" w:lineRule="auto"/>
        <w:tabs>
          <w:tab w:leader="none" w:pos="780" w:val="left"/>
        </w:tabs>
        <w:numPr>
          <w:ilvl w:val="0"/>
          <w:numId w:val="47"/>
        </w:numPr>
        <w:rPr>
          <w:rFonts w:ascii="Arial" w:cs="Arial" w:eastAsia="Arial" w:hAnsi="Arial"/>
          <w:sz w:val="26"/>
          <w:szCs w:val="26"/>
          <w:color w:val="auto"/>
          <w:vertAlign w:val="superscript"/>
        </w:rPr>
      </w:pPr>
      <w:r>
        <w:rPr>
          <w:rFonts w:ascii="Arial" w:cs="Arial" w:eastAsia="Arial" w:hAnsi="Arial"/>
          <w:sz w:val="17"/>
          <w:szCs w:val="17"/>
          <w:color w:val="auto"/>
        </w:rPr>
        <w:t>TV-45070 (formerly XEN402), a product candidate with four Phase 2 proof-of-concept clinical trials completed. Our partner Teva is conducting a 300-patient, randomized Phase 2b clinical trial in osteoarthritis, or OA, of the knee and is planning clinical development in neuropathic pain indications, including postherpetic neuralgia, or PHN;</w:t>
      </w:r>
    </w:p>
    <w:p>
      <w:pPr>
        <w:spacing w:after="0" w:line="20" w:lineRule="exact"/>
        <w:rPr>
          <w:rFonts w:ascii="Arial" w:cs="Arial" w:eastAsia="Arial" w:hAnsi="Arial"/>
          <w:sz w:val="26"/>
          <w:szCs w:val="26"/>
          <w:color w:val="auto"/>
          <w:vertAlign w:val="superscript"/>
        </w:rPr>
      </w:pPr>
    </w:p>
    <w:p>
      <w:pPr>
        <w:ind w:left="780" w:right="320" w:hanging="441"/>
        <w:spacing w:after="0" w:line="191" w:lineRule="auto"/>
        <w:tabs>
          <w:tab w:leader="none" w:pos="780" w:val="left"/>
        </w:tabs>
        <w:numPr>
          <w:ilvl w:val="0"/>
          <w:numId w:val="47"/>
        </w:numPr>
        <w:rPr>
          <w:rFonts w:ascii="Arial" w:cs="Arial" w:eastAsia="Arial" w:hAnsi="Arial"/>
          <w:sz w:val="26"/>
          <w:szCs w:val="26"/>
          <w:color w:val="auto"/>
          <w:vertAlign w:val="superscript"/>
        </w:rPr>
      </w:pPr>
      <w:r>
        <w:rPr>
          <w:rFonts w:ascii="Arial" w:cs="Arial" w:eastAsia="Arial" w:hAnsi="Arial"/>
          <w:sz w:val="17"/>
          <w:szCs w:val="17"/>
          <w:color w:val="auto"/>
        </w:rPr>
        <w:t>GDC-0276, a product candidate being developed in collaboration with Genentech for the treatment of pain. In September 2014, Genentech initiated a Phase 1 clinical trial for GDC-0276; and</w:t>
      </w:r>
    </w:p>
    <w:p>
      <w:pPr>
        <w:spacing w:after="0" w:line="19" w:lineRule="exact"/>
        <w:rPr>
          <w:rFonts w:ascii="Arial" w:cs="Arial" w:eastAsia="Arial" w:hAnsi="Arial"/>
          <w:sz w:val="26"/>
          <w:szCs w:val="26"/>
          <w:color w:val="auto"/>
          <w:vertAlign w:val="superscript"/>
        </w:rPr>
      </w:pPr>
    </w:p>
    <w:p>
      <w:pPr>
        <w:ind w:left="780" w:right="80" w:hanging="441"/>
        <w:spacing w:after="0" w:line="204" w:lineRule="auto"/>
        <w:tabs>
          <w:tab w:leader="none" w:pos="780" w:val="left"/>
        </w:tabs>
        <w:numPr>
          <w:ilvl w:val="0"/>
          <w:numId w:val="47"/>
        </w:numPr>
        <w:rPr>
          <w:rFonts w:ascii="Arial" w:cs="Arial" w:eastAsia="Arial" w:hAnsi="Arial"/>
          <w:sz w:val="26"/>
          <w:szCs w:val="26"/>
          <w:color w:val="auto"/>
          <w:vertAlign w:val="superscript"/>
        </w:rPr>
      </w:pPr>
      <w:r>
        <w:rPr>
          <w:rFonts w:ascii="Arial" w:cs="Arial" w:eastAsia="Arial" w:hAnsi="Arial"/>
          <w:sz w:val="17"/>
          <w:szCs w:val="17"/>
          <w:color w:val="auto"/>
        </w:rPr>
        <w:t>preclinical programs, including a sodium channel inhibitor for the orphan disorder Dravet Syndrome, or DS, and XEN801, a stearoyl Co-A desaturase, or SCD1, inhibitor for the treatment of acne. We anticipate filing an investigational new drug application, or IND, for XEN801 in the first half of 2015 and an IND for our DS program in 2016.</w:t>
      </w:r>
    </w:p>
    <w:p>
      <w:pPr>
        <w:spacing w:after="0" w:line="110"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We believe that our Extreme Genetics discovery platform enhances the likelihood of discovering a drug target that has a major effect in humans. From these discoveries, we can gain an improved understanding of how a drug that modulates the target might act when given to a human.</w:t>
      </w:r>
    </w:p>
    <w:p>
      <w:pPr>
        <w:spacing w:after="0" w:line="10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have funded our operations primarily through payments received from our pharmaceutical collaborators and government funding as well as through the sale of convertible preferred shares in various financing transactions. Through June 30, 2014, we have received an aggregate of approximately $265.2 million to fund our operations,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44"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which approximately $145.7 million was non-equity funding pursuant to collaboration and license agreements, approximately $17.0 million was pursuant to government funding, and approximately $102.5 million was pursuant to the sale of our preferred shares. For 2011, 2012, 2013 and the six months ended June 30, 2014, we recognized revenue for an aggregate of approximately $6.9 million, $14.3 million, $27.4 million and $10.3 million, respectively, consisting primarily of funding from our collaborators.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Though our revenue from our collaboration and license agreements has resulted in net income of $2.6 million for the six months ended June 30, 2014 and net income of $12.0 million for the year ended December 31, 2013, we have incurred net losses on an annual basis since inception and do not expect to have sustained profitability for the foreseeable future. We had net losses of $12.0 million and $4.3 million for the years ended December 31, 2011 and 2012, respectively, and had an accumulated deficit of $114.1 million as of June 30, 2014, from expenses incurred in connection with our research programs and from general and administrative costs associated with our operations.</w:t>
      </w:r>
    </w:p>
    <w:p>
      <w:pPr>
        <w:spacing w:after="0" w:line="11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We have not generated any royalty revenue or other revenue from product sales, and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09"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We expect to continue to incur significant expenses and operating losses for at least the next 12 to 24 months. We anticipate that our expenses will increase substantially as we:</w:t>
      </w:r>
    </w:p>
    <w:p>
      <w:pPr>
        <w:spacing w:after="0" w:line="20" w:lineRule="exact"/>
        <w:rPr>
          <w:sz w:val="20"/>
          <w:szCs w:val="20"/>
          <w:color w:val="auto"/>
        </w:rPr>
      </w:pPr>
    </w:p>
    <w:p>
      <w:pPr>
        <w:ind w:left="780" w:hanging="441"/>
        <w:spacing w:after="0"/>
        <w:tabs>
          <w:tab w:leader="none" w:pos="780" w:val="left"/>
        </w:tabs>
        <w:numPr>
          <w:ilvl w:val="0"/>
          <w:numId w:val="48"/>
        </w:numPr>
        <w:rPr>
          <w:rFonts w:ascii="Arial" w:cs="Arial" w:eastAsia="Arial" w:hAnsi="Arial"/>
          <w:sz w:val="26"/>
          <w:szCs w:val="26"/>
          <w:color w:val="auto"/>
          <w:vertAlign w:val="superscript"/>
        </w:rPr>
      </w:pPr>
      <w:r>
        <w:rPr>
          <w:rFonts w:ascii="Arial" w:cs="Arial" w:eastAsia="Arial" w:hAnsi="Arial"/>
          <w:sz w:val="17"/>
          <w:szCs w:val="17"/>
          <w:color w:val="auto"/>
        </w:rPr>
        <w:t>continue our research and preclinical and clinical development of our product candidates;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seek regulatory and marketing approvals for any of our product candidates that successfully complete clinical trials;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make milestone and other payments under our in-license agreements;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maintain, protect and expand our intellectual property portfolio;</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attract, hire and retain skilled personnel;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8"/>
        </w:numPr>
        <w:rPr>
          <w:rFonts w:ascii="Arial" w:cs="Arial" w:eastAsia="Arial" w:hAnsi="Arial"/>
          <w:sz w:val="23"/>
          <w:szCs w:val="23"/>
          <w:color w:val="auto"/>
          <w:vertAlign w:val="superscript"/>
        </w:rPr>
      </w:pPr>
      <w:r>
        <w:rPr>
          <w:rFonts w:ascii="Arial" w:cs="Arial" w:eastAsia="Arial" w:hAnsi="Arial"/>
          <w:sz w:val="15"/>
          <w:szCs w:val="15"/>
          <w:color w:val="auto"/>
        </w:rPr>
        <w:t>create additional infrastructure to support our operations as a public company and otherwise.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To date, our revenue has been primarily derived from collaboration and licensing agreements as well as, to a lesser extent, government funding. In addition, we have received nominal royalties from a diagnostic license. To date, we have not generated any royalty revenue from product sales, and do not otherwise anticipate generating revenue from product sales other than from sales of Glybera under our license to uniQure for the foreseeable future, if ever. We have entered into several collaboration agreements, the most significant of which, with respect to revenue, are described below.</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uniQure</w:t>
      </w:r>
      <w:r>
        <w:rPr>
          <w:rFonts w:ascii="Arial" w:cs="Arial" w:eastAsia="Arial" w:hAnsi="Arial"/>
          <w:sz w:val="17"/>
          <w:szCs w:val="17"/>
          <w:color w:val="auto"/>
        </w:rPr>
        <w:t>. Effective August 2000, we entered into a sublicense and research agreement with uniQure (formerly Amsterdam Molecular Therapeutics),</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granted to uniQure an exclusive, worldwide sublicense under certain intellectual property controlled by us to develop and commercialize technology and compounds related to the variant of lipoprotein lipase, or LPL, called LPL</w:t>
      </w:r>
      <w:r>
        <w:rPr>
          <w:rFonts w:ascii="Arial" w:cs="Arial" w:eastAsia="Arial" w:hAnsi="Arial"/>
          <w:sz w:val="10"/>
          <w:szCs w:val="10"/>
          <w:color w:val="auto"/>
        </w:rPr>
        <w:t>S447X</w:t>
      </w:r>
      <w:r>
        <w:rPr>
          <w:rFonts w:ascii="Arial" w:cs="Arial" w:eastAsia="Arial" w:hAnsi="Arial"/>
          <w:sz w:val="17"/>
          <w:szCs w:val="17"/>
          <w:color w:val="auto"/>
        </w:rPr>
        <w:t>. Together with collaborators from the University of British Columbia, or UBC, we demonstrated that the LPL</w:t>
      </w:r>
      <w:r>
        <w:rPr>
          <w:rFonts w:ascii="Arial" w:cs="Arial" w:eastAsia="Arial" w:hAnsi="Arial"/>
          <w:sz w:val="10"/>
          <w:szCs w:val="10"/>
          <w:color w:val="auto"/>
        </w:rPr>
        <w:t>S447X</w:t>
      </w:r>
      <w:r>
        <w:rPr>
          <w:rFonts w:ascii="Arial" w:cs="Arial" w:eastAsia="Arial" w:hAnsi="Arial"/>
          <w:sz w:val="17"/>
          <w:szCs w:val="17"/>
          <w:color w:val="auto"/>
        </w:rPr>
        <w:t xml:space="preserve"> variant resulted in increased LPL enzyme activity leading to reduced triglyceride levels in humans. Under our sublicense and research agreement with uniQure, we collaborated with uniQure and UBC on preclinical activities, and thereafter uniQure developed an LPL gene therapy product, Glybera, which contains the LPL</w:t>
      </w:r>
      <w:r>
        <w:rPr>
          <w:rFonts w:ascii="Arial" w:cs="Arial" w:eastAsia="Arial" w:hAnsi="Arial"/>
          <w:sz w:val="10"/>
          <w:szCs w:val="10"/>
          <w:color w:val="auto"/>
        </w:rPr>
        <w:t>S447X</w:t>
      </w:r>
      <w:r>
        <w:rPr>
          <w:rFonts w:ascii="Arial" w:cs="Arial" w:eastAsia="Arial" w:hAnsi="Arial"/>
          <w:sz w:val="17"/>
          <w:szCs w:val="17"/>
          <w:color w:val="auto"/>
        </w:rPr>
        <w:t xml:space="preserve"> variant. Glybera was approved in the EU in October 2012 to treat LPLD in patients with severe or multiple pancreatitis attacks, despite dietary fat restrictions. uniQure conducted the clinical trials and is responsible for the commercialization of Glybera.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4"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terms of the agreement, we are eligible to receive mid single-digit royalties on net sales of the licensed products, for sales made by uniQure and its affiliates. The royalty rates for sales made by uniQure and its affiliates are reduced to a low single-digit when the licensed patents expire. In July 2013, uniQure announced that it had entered into a partnership with Chiesi Farmaceutici, S.p.A., or Chiesi, for the commercialization of Glybera in the EU and more than a dozen other countries, including Brazil, China, Mexico and Russia. We believe that Chiesi plans to launch Glybera in the fourth quarter of 2014 or the first quarter of 2015 in Europe, and that uniQure is pursuing a U.S. product approval strategy with plans to file a Biologics License Application, or BLA, with the U.S. Food and Drug Administration, or the FDA, following receipt of the results from a planned Phase 4 trial expected to begin in mid-2015. With respect to uniQure’s sublicense to Chiesi, we are eligible to receive a percentage in the low twenties of all non-royalty compensation relating to the licensed technology or products that uniQure receives from Chiesi (including,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product. If uniQure grants a sublicense to a third party other than to Chiesi, then we are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w:t>
      </w:r>
    </w:p>
    <w:p>
      <w:pPr>
        <w:spacing w:after="0" w:line="9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i w:val="1"/>
          <w:iCs w:val="1"/>
          <w:color w:val="auto"/>
        </w:rPr>
        <w:t xml:space="preserve">Teva. </w:t>
      </w:r>
      <w:r>
        <w:rPr>
          <w:rFonts w:ascii="Arial" w:cs="Arial" w:eastAsia="Arial" w:hAnsi="Arial"/>
          <w:sz w:val="17"/>
          <w:szCs w:val="17"/>
          <w:color w:val="auto"/>
        </w:rPr>
        <w:t>In December 2012, we entered into a collaborative development and license agreement with Teva, through its subsidiary, Ivax International GmbH,</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granted Teva an exclusive worldwide license to develop and commercialize certain products, including TV-45070. Under the terms of the agreement, Teva paid us an upfront fee of $41.0 million. We are collaborating with Teva to further develop TV-45070, and Teva is funding all development costs with respect to the licensed products. Teva is providing funding to us for certain of our full-time equivalents, or FTEs, performing the research collaboration plan.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low twenties on net sales of the licensed products for the timeframe that such products are covered by the licensed patents and in certain other instances.</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an option to a 20% to 30% co-promotion interest for products incorporating TV-45070 in the U.S. Our exercise of this option is subject to meeting objective financial conditions, staffing requirements and compliance standards to be determined in Teva’s reasonable discretion in accordance with standard industry practice. Our co-promotion option is exercisable upon the filing of the first new drug application, or NDA, for a TV-45070 product with the FDA and we will be obligated to pay an opt-in fee to Teva, which is calculated by multiplying our co-promotion interest (as a percentage) by the amount of certain milestones paid or payable by Teva, to which is added certain past and future development costs incurred by Teva with respect to the product for the U.S. Our co-promotion interest is in the 20% to 30% range, and equals our percentage share of detailing activities and co-promotion expenses. Such opt-in fee is payable as a reduction to the milestone payments, our share of operating profits, or a combination of the two that Teva would otherwise owe to us. If we exercise this option, upon paying an opt-in fee to Teva we will be eligible to receive, in lieu of royalties with respect to such product sales in the U.S., a percentage share (equal to our co-promotion interest) of operating profits from such product sales in the U.S.</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 xml:space="preserve">Genentech. </w:t>
      </w:r>
      <w:r>
        <w:rPr>
          <w:rFonts w:ascii="Arial" w:cs="Arial" w:eastAsia="Arial" w:hAnsi="Arial"/>
          <w:sz w:val="17"/>
          <w:szCs w:val="17"/>
          <w:color w:val="auto"/>
        </w:rPr>
        <w:t>In December 2011, we entered into a collaborative research and license agreement with Genentech and its affiliate, F. Hoffman-La Roche</w:t>
      </w:r>
      <w:r>
        <w:rPr>
          <w:rFonts w:ascii="Arial" w:cs="Arial" w:eastAsia="Arial" w:hAnsi="Arial"/>
          <w:sz w:val="17"/>
          <w:szCs w:val="17"/>
          <w:i w:val="1"/>
          <w:iCs w:val="1"/>
          <w:color w:val="auto"/>
        </w:rPr>
        <w:t xml:space="preserve"> </w:t>
      </w:r>
      <w:r>
        <w:rPr>
          <w:rFonts w:ascii="Arial" w:cs="Arial" w:eastAsia="Arial" w:hAnsi="Arial"/>
          <w:sz w:val="17"/>
          <w:szCs w:val="17"/>
          <w:color w:val="auto"/>
        </w:rPr>
        <w:t>Ltd, or Roche, to discover and develop small and large molecules that selectively inhibit the Nav1.7 sodium channel as well as companion diagnostics for the potential treatment of pain. Pursuant to this agreement, we granted Genentech a worldwide exclusive license to develop and commercialize compounds directed to Nav1.7 and products incorporating such compounds for all uses. We also granted Genentech a worldwide non-exclusive license to diagnostic products for the purpose of developing or commercializing such compounds.</w:t>
      </w:r>
    </w:p>
    <w:p>
      <w:pPr>
        <w:spacing w:after="0" w:line="10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Under the terms of the agreement, Genentech paid us an upfront fee of $10.0 million, a $5.0 million milestone payment for the selection of GDC-0276 for development and an $8.0 million milestone payment upon the approval by Health Canada of the Clinical Trial Application for GDC-0276. Genentech is providing funding to us for certain of our FTEs performing the research collaboration plan. In addition, we are eligible to receive pre-commercial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4"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commercial milestone payments with respect to the licensed products totaling up to an additional $613.0 million, comprised of up to $45.5 million in preclinical and clinical milestone payments, up to $387.5 million in regulatory milestone payments, and up to $180.0 million in sales-based milestone payments for multiple products and indications. In addition, we are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single-digit percentage for large-molecule inhibitors of Nav1.7.</w:t>
      </w:r>
    </w:p>
    <w:p>
      <w:pPr>
        <w:spacing w:after="0" w:line="11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March 2014, we entered into a new agreement with Genentech for pain genetics, where we intend to use our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us and Genentech. We have also granted Genentech a time-limited, exclusive right of first negotiation on a target-by-target basis to form joint drug discovery collaborations. Under the terms of this agreement, Genentech paid us an upfront payment of $1.5 million and we are eligible for an additional $2.0 million in milestone payments. Furthermore, pursuant to the terms of our common share put agreement, an affiliate of Genentech will invest approximately $4.5 million in a private placement concurrent with this public offering at the same price per share as this public offering.</w:t>
      </w:r>
    </w:p>
    <w:p>
      <w:pPr>
        <w:spacing w:after="0" w:line="79"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i w:val="1"/>
          <w:iCs w:val="1"/>
          <w:color w:val="auto"/>
        </w:rPr>
        <w:t xml:space="preserve">Merck. </w:t>
      </w:r>
      <w:r>
        <w:rPr>
          <w:rFonts w:ascii="Arial" w:cs="Arial" w:eastAsia="Arial" w:hAnsi="Arial"/>
          <w:sz w:val="17"/>
          <w:szCs w:val="17"/>
          <w:color w:val="auto"/>
        </w:rPr>
        <w:t>In June 2009, we entered into an exclusive collaborative research and option agreement with Merck, pursuant to which we conducted a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to discover and develop novel small-molecule candidates for the potential treatment of cardiovascular disease. Merck provided payments to us for our FTEs who performed our activities pursuant to the research program conducted under the Merck agreement. The Merck collaborative research program ended in December 2012.</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Under the terms of the agreement, Merck had the option to obtain an exclusive license under certain intellectual property controlled by us to develop and commercialize compounds and products directed to targets in the research program, which has now expired. In June 2012, Merck exercised its option and paid us $2.0 million to obtain such a worldwide exclusive license to develop and commercialize compound inhibitors of a target that was identified using our Extreme Genetics discovery platform.</w:t>
      </w:r>
    </w:p>
    <w:p>
      <w:pPr>
        <w:spacing w:after="0" w:line="10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Through June 30, 2014, we have received milestone payments and an option fee totaling $9.0 million, and we are eligible for further research, development and regulatory milestone payments of up to $64.0 million, comprised of $21.0 million in preclinical and clinical milestone payments and up to $43.0 million in regulatory milestone payments for products directed to the licensed target as well as royalties from the mid to high single-digit range.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We have an option to co-fund the Phase 1 and first Phase 2 clinical trials of product candidates licensed by Merck by paying Merck 50% of such development costs. Such co-funding option is available at the IND-filing stage for the applicable product candidate. If we exercise our co-funding option then the maximum eligible milestone amounts due to us increase to $86.5 million and the royalties increase to the high single-digit to the sub-teen double-digit range.</w:t>
      </w:r>
    </w:p>
    <w:p>
      <w:pPr>
        <w:spacing w:after="0" w:line="9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i w:val="1"/>
          <w:iCs w:val="1"/>
          <w:color w:val="auto"/>
        </w:rPr>
        <w:t>Genome BC</w:t>
      </w:r>
      <w:r>
        <w:rPr>
          <w:rFonts w:ascii="Arial" w:cs="Arial" w:eastAsia="Arial" w:hAnsi="Arial"/>
          <w:sz w:val="17"/>
          <w:szCs w:val="17"/>
          <w:color w:val="auto"/>
        </w:rPr>
        <w:t>. We entered into a research funding agreement with Genome BC in January 2009. Under the agreement with Genome BC, we carried out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research activities with partial funding from Genome BC provided on a quarterly basis in arrears over the term of the research program. This agreement expired at the end of its term in September 2013.</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444"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revenue recognized from our current collaboration and licensing agreements for each of the years ended</w:t>
      </w:r>
    </w:p>
    <w:p>
      <w:pPr>
        <w:spacing w:after="0"/>
        <w:rPr>
          <w:sz w:val="20"/>
          <w:szCs w:val="20"/>
          <w:color w:val="auto"/>
        </w:rPr>
      </w:pPr>
      <w:r>
        <w:rPr>
          <w:rFonts w:ascii="Arial" w:cs="Arial" w:eastAsia="Arial" w:hAnsi="Arial"/>
          <w:sz w:val="17"/>
          <w:szCs w:val="17"/>
          <w:color w:val="auto"/>
        </w:rPr>
        <w:t>December 31, 2011, 2012 and 2013 and the six months ended June 30, 2013 and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35"/>
        </w:trPr>
        <w:tc>
          <w:tcPr>
            <w:tcW w:w="55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5" w:lineRule="exact"/>
              <w:rPr>
                <w:sz w:val="20"/>
                <w:szCs w:val="20"/>
                <w:color w:val="auto"/>
              </w:rPr>
            </w:pPr>
            <w:r>
              <w:rPr>
                <w:rFonts w:ascii="Arial" w:cs="Arial" w:eastAsia="Arial" w:hAnsi="Arial"/>
                <w:sz w:val="13"/>
                <w:szCs w:val="13"/>
                <w:b w:val="1"/>
                <w:bCs w:val="1"/>
                <w:color w:val="auto"/>
              </w:rPr>
              <w:t>2011</w:t>
            </w: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8"/>
              <w:spacing w:after="0" w:line="135"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0"/>
              <w:spacing w:after="0" w:line="135"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8"/>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uniQure:</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198</w:t>
            </w:r>
          </w:p>
        </w:tc>
        <w:tc>
          <w:tcPr>
            <w:tcW w:w="50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531</w:t>
            </w:r>
          </w:p>
        </w:tc>
        <w:tc>
          <w:tcPr>
            <w:tcW w:w="260" w:type="dxa"/>
            <w:vAlign w:val="bottom"/>
          </w:tcPr>
          <w:p>
            <w:pPr>
              <w:spacing w:after="0"/>
              <w:rPr>
                <w:sz w:val="16"/>
                <w:szCs w:val="16"/>
                <w:color w:val="auto"/>
              </w:rPr>
            </w:pPr>
          </w:p>
        </w:tc>
        <w:tc>
          <w:tcPr>
            <w:tcW w:w="3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Teva:</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Recognition of upfront payment</w:t>
            </w:r>
          </w:p>
        </w:tc>
        <w:tc>
          <w:tcPr>
            <w:tcW w:w="140" w:type="dxa"/>
            <w:vAlign w:val="bottom"/>
          </w:tcPr>
          <w:p>
            <w:pPr>
              <w:spacing w:after="0"/>
              <w:rPr>
                <w:sz w:val="16"/>
                <w:szCs w:val="16"/>
                <w:color w:val="auto"/>
              </w:rPr>
            </w:pPr>
          </w:p>
        </w:tc>
        <w:tc>
          <w:tcPr>
            <w:tcW w:w="108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927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w w:val="96"/>
              </w:rPr>
              <w:t>13,143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6,607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6,120</w:t>
            </w:r>
          </w:p>
        </w:tc>
        <w:tc>
          <w:tcPr>
            <w:tcW w:w="100" w:type="dxa"/>
            <w:vAlign w:val="bottom"/>
          </w:tcPr>
          <w:p>
            <w:pPr>
              <w:spacing w:after="0"/>
              <w:rPr>
                <w:sz w:val="16"/>
                <w:szCs w:val="16"/>
                <w:color w:val="auto"/>
              </w:rPr>
            </w:pP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6"/>
                <w:szCs w:val="16"/>
                <w:color w:val="auto"/>
              </w:rPr>
            </w:pPr>
          </w:p>
        </w:tc>
      </w:tr>
      <w:tr>
        <w:trPr>
          <w:trHeight w:val="194"/>
        </w:trPr>
        <w:tc>
          <w:tcPr>
            <w:tcW w:w="5520" w:type="dxa"/>
            <w:vAlign w:val="bottom"/>
          </w:tcPr>
          <w:p>
            <w:pPr>
              <w:spacing w:after="0" w:line="194" w:lineRule="exact"/>
              <w:rPr>
                <w:sz w:val="20"/>
                <w:szCs w:val="20"/>
                <w:color w:val="auto"/>
              </w:rPr>
            </w:pPr>
            <w:r>
              <w:rPr>
                <w:rFonts w:ascii="Arial" w:cs="Arial" w:eastAsia="Arial" w:hAnsi="Arial"/>
                <w:sz w:val="17"/>
                <w:szCs w:val="17"/>
                <w:color w:val="auto"/>
              </w:rPr>
              <w:t>Genentech:</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Recognition of upfront payment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94</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3,431</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3,300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1,659</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1,755</w:t>
            </w:r>
          </w:p>
        </w:tc>
        <w:tc>
          <w:tcPr>
            <w:tcW w:w="100" w:type="dxa"/>
            <w:vAlign w:val="bottom"/>
            <w:shd w:val="clear" w:color="auto" w:fill="CCEEFF"/>
          </w:tcPr>
          <w:p>
            <w:pPr>
              <w:spacing w:after="0"/>
              <w:rPr>
                <w:sz w:val="16"/>
                <w:szCs w:val="16"/>
                <w:color w:val="auto"/>
              </w:rPr>
            </w:pP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40" w:type="dxa"/>
            <w:vAlign w:val="bottom"/>
          </w:tcPr>
          <w:p>
            <w:pPr>
              <w:spacing w:after="0"/>
              <w:rPr>
                <w:sz w:val="16"/>
                <w:szCs w:val="16"/>
                <w:color w:val="auto"/>
              </w:rPr>
            </w:pPr>
          </w:p>
        </w:tc>
        <w:tc>
          <w:tcPr>
            <w:tcW w:w="108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93</w:t>
            </w:r>
          </w:p>
        </w:tc>
        <w:tc>
          <w:tcPr>
            <w:tcW w:w="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3,517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4,514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2,257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2,255</w:t>
            </w:r>
          </w:p>
        </w:tc>
        <w:tc>
          <w:tcPr>
            <w:tcW w:w="100" w:type="dxa"/>
            <w:vAlign w:val="bottom"/>
          </w:tcPr>
          <w:p>
            <w:pPr>
              <w:spacing w:after="0"/>
              <w:rPr>
                <w:sz w:val="16"/>
                <w:szCs w:val="16"/>
                <w:color w:val="auto"/>
              </w:rPr>
            </w:pP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5,062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tcPr>
          <w:p>
            <w:pPr>
              <w:spacing w:after="0" w:line="194" w:lineRule="exact"/>
              <w:rPr>
                <w:sz w:val="20"/>
                <w:szCs w:val="20"/>
                <w:color w:val="auto"/>
              </w:rPr>
            </w:pPr>
            <w:r>
              <w:rPr>
                <w:rFonts w:ascii="Arial" w:cs="Arial" w:eastAsia="Arial" w:hAnsi="Arial"/>
                <w:sz w:val="17"/>
                <w:szCs w:val="17"/>
                <w:color w:val="auto"/>
              </w:rPr>
              <w:t>Merck:</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Recognition of initial milestone payment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1,060</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Option fee</w:t>
            </w:r>
          </w:p>
        </w:tc>
        <w:tc>
          <w:tcPr>
            <w:tcW w:w="140" w:type="dxa"/>
            <w:vAlign w:val="bottom"/>
          </w:tcPr>
          <w:p>
            <w:pPr>
              <w:spacing w:after="0"/>
              <w:rPr>
                <w:sz w:val="16"/>
                <w:szCs w:val="16"/>
                <w:color w:val="auto"/>
              </w:rPr>
            </w:pPr>
          </w:p>
        </w:tc>
        <w:tc>
          <w:tcPr>
            <w:tcW w:w="108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2,060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3,206</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2,442</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4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1,038</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5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Genome BC:</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5520" w:type="dxa"/>
            <w:vAlign w:val="bottom"/>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4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339</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665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172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168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6"/>
        </w:trPr>
        <w:tc>
          <w:tcPr>
            <w:tcW w:w="5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5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Total 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6,915</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14,300</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w w:val="96"/>
              </w:rPr>
              <w:t>27,352</w:t>
            </w:r>
          </w:p>
        </w:tc>
        <w:tc>
          <w:tcPr>
            <w:tcW w:w="3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10,985</w:t>
            </w:r>
          </w:p>
        </w:tc>
        <w:tc>
          <w:tcPr>
            <w:tcW w:w="4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10,297</w:t>
            </w: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5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jc w:val="both"/>
        <w:ind w:right="100"/>
        <w:spacing w:after="0" w:line="241" w:lineRule="auto"/>
        <w:rPr>
          <w:sz w:val="20"/>
          <w:szCs w:val="20"/>
          <w:color w:val="auto"/>
        </w:rPr>
      </w:pPr>
      <w:r>
        <w:rPr>
          <w:rFonts w:ascii="Arial" w:cs="Arial" w:eastAsia="Arial" w:hAnsi="Arial"/>
          <w:sz w:val="17"/>
          <w:szCs w:val="17"/>
          <w:color w:val="auto"/>
        </w:rPr>
        <w:t>Through June 30, 2014, we had recognized upfront fees and milestone payments totaling CAD$1.1 million, pursuant to our agreement with uniQure. We are eligible to receive certain additional milestone payments of less than CAD$1.0 million for Glybera and for each subsequent product, if any, developed pursuant to the agreement.</w:t>
      </w:r>
    </w:p>
    <w:p>
      <w:pPr>
        <w:spacing w:after="0" w:line="108"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Pursuant to the terms of our agreement with Teva, we received an upfront payment of $41.0 million. We determined that the various deliverables under this agreement should be considered as a single unit of accounting. As such, the $41.0 million upfront payment is being recognized as revenue ratably over the expected period of research performance of pre-commercial activities, which is the three-year period from December 2012 through December 2015.</w:t>
      </w:r>
    </w:p>
    <w:p>
      <w:pPr>
        <w:spacing w:after="0" w:line="10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Pursuant to the terms of our December 2011 agreement with Genentech, we received an upfront payment of $10.0 million. We determined that the various deliverables under this agreement should be considered as a single unit of accounting. As such, the $10.0 million upfront payment is being recognized as revenue ratably over the expected period of research performance, which is the three-year period from December 2011 through December 2014. In September 2013, we received a $5.0 million milestone payment for the selection of a compound for good laboratory practices, or GLP, toxicology studies. We recognized the milestone payment upon achievement in August 2013.</w:t>
      </w:r>
    </w:p>
    <w:p>
      <w:pPr>
        <w:spacing w:after="0" w:line="11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is being recognized as revenue ratably over the expected period of research performance, which is the two-year period from March 2014 to March 2016.</w:t>
      </w:r>
    </w:p>
    <w:p>
      <w:pPr>
        <w:spacing w:after="0" w:line="10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Pursuant to the terms of our agreement with Merck, we received an initial milestone payment of $5.0 million in February 2010. We determined that this initial milestone payment was not substantive and should not be considered a separate element. As such, we recognized the initial milestone payment of $5.0 million as revenue ratably over the expected period of research performance of pre-commercial activities, which was the period from February 2010 through June 2012. Since the beginning of 2011, we have received both an option fee and two milestone payments from Merck. Each of these payments was determined to be substantive and at risk at the inception of the agreement and as such have been recognized as revenue in the period received.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4"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our other internal and partnered products are in various stages of clinical and preclinical development, we do not expect to generate any revenue from product sales other than from our share of revenue related to our agreement with uniQure for at least the next several years. We expect that revenue for the next several years will be derived from our agreement with uniQure and our eligibility to receive a share of the compensation received by uniQure relating to the technology or products licensed by us, and FTEs and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10"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We expect that any revenue we generate will fluctuate quarter to quarter as a function of the timing and amount of milestones and other payments from our existing collaborations and any future collaborations.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our deferred revenue for our collaboration and licensing agreements as of December 31, 2011, 2012 and 2013 and</w:t>
      </w:r>
    </w:p>
    <w:p>
      <w:pPr>
        <w:spacing w:after="0"/>
        <w:rPr>
          <w:sz w:val="20"/>
          <w:szCs w:val="20"/>
          <w:color w:val="auto"/>
        </w:rPr>
      </w:pPr>
      <w:r>
        <w:rPr>
          <w:rFonts w:ascii="Arial" w:cs="Arial" w:eastAsia="Arial" w:hAnsi="Arial"/>
          <w:sz w:val="17"/>
          <w:szCs w:val="17"/>
          <w:color w:val="auto"/>
        </w:rPr>
        <w:t>June 30,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JUNE 30,</w:t>
            </w:r>
          </w:p>
        </w:tc>
      </w:tr>
      <w:tr>
        <w:trPr>
          <w:trHeight w:val="135"/>
        </w:trPr>
        <w:tc>
          <w:tcPr>
            <w:tcW w:w="6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5" w:lineRule="exact"/>
              <w:rPr>
                <w:sz w:val="20"/>
                <w:szCs w:val="20"/>
                <w:color w:val="auto"/>
              </w:rPr>
            </w:pPr>
            <w:r>
              <w:rPr>
                <w:rFonts w:ascii="Arial" w:cs="Arial" w:eastAsia="Arial" w:hAnsi="Arial"/>
                <w:sz w:val="13"/>
                <w:szCs w:val="13"/>
                <w:b w:val="1"/>
                <w:bCs w:val="1"/>
                <w:color w:val="auto"/>
              </w:rPr>
              <w:t>2011</w:t>
            </w: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5" w:lineRule="exact"/>
              <w:rPr>
                <w:sz w:val="20"/>
                <w:szCs w:val="20"/>
                <w:color w:val="auto"/>
              </w:rPr>
            </w:pPr>
            <w:r>
              <w:rPr>
                <w:rFonts w:ascii="Arial" w:cs="Arial" w:eastAsia="Arial" w:hAnsi="Arial"/>
                <w:sz w:val="13"/>
                <w:szCs w:val="13"/>
                <w:b w:val="1"/>
                <w:bCs w:val="1"/>
                <w:color w:val="auto"/>
              </w:rPr>
              <w:t>2012</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0"/>
              <w:spacing w:after="0" w:line="135" w:lineRule="exact"/>
              <w:rPr>
                <w:sz w:val="20"/>
                <w:szCs w:val="20"/>
                <w:color w:val="auto"/>
              </w:rPr>
            </w:pPr>
            <w:r>
              <w:rPr>
                <w:rFonts w:ascii="Arial" w:cs="Arial" w:eastAsia="Arial" w:hAnsi="Arial"/>
                <w:sz w:val="13"/>
                <w:szCs w:val="13"/>
                <w:b w:val="1"/>
                <w:bCs w:val="1"/>
                <w:color w:val="auto"/>
              </w:rPr>
              <w:t>2013</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0"/>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6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1"/>
                <w:szCs w:val="11"/>
                <w:color w:val="auto"/>
              </w:rPr>
            </w:pPr>
          </w:p>
        </w:tc>
      </w:tr>
      <w:tr>
        <w:trPr>
          <w:trHeight w:val="194"/>
        </w:trPr>
        <w:tc>
          <w:tcPr>
            <w:tcW w:w="6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Teva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39,907</w:t>
            </w:r>
          </w:p>
        </w:tc>
        <w:tc>
          <w:tcPr>
            <w:tcW w:w="3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24,691</w:t>
            </w:r>
          </w:p>
        </w:tc>
        <w:tc>
          <w:tcPr>
            <w:tcW w:w="42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18,326</w:t>
            </w:r>
          </w:p>
        </w:tc>
      </w:tr>
      <w:tr>
        <w:trPr>
          <w:trHeight w:val="194"/>
        </w:trPr>
        <w:tc>
          <w:tcPr>
            <w:tcW w:w="6860" w:type="dxa"/>
            <w:vAlign w:val="bottom"/>
          </w:tcPr>
          <w:p>
            <w:pPr>
              <w:spacing w:after="0" w:line="194" w:lineRule="exact"/>
              <w:rPr>
                <w:sz w:val="20"/>
                <w:szCs w:val="20"/>
                <w:color w:val="auto"/>
              </w:rPr>
            </w:pPr>
            <w:r>
              <w:rPr>
                <w:rFonts w:ascii="Arial" w:cs="Arial" w:eastAsia="Arial" w:hAnsi="Arial"/>
                <w:sz w:val="17"/>
                <w:szCs w:val="17"/>
                <w:color w:val="auto"/>
              </w:rPr>
              <w:t>Genentech</w:t>
            </w:r>
          </w:p>
        </w:tc>
        <w:tc>
          <w:tcPr>
            <w:tcW w:w="14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9,949</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6,745</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3,115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2,883</w:t>
            </w:r>
          </w:p>
        </w:tc>
        <w:tc>
          <w:tcPr>
            <w:tcW w:w="100" w:type="dxa"/>
            <w:vAlign w:val="bottom"/>
          </w:tcPr>
          <w:p>
            <w:pPr>
              <w:spacing w:after="0"/>
              <w:rPr>
                <w:sz w:val="16"/>
                <w:szCs w:val="16"/>
                <w:color w:val="auto"/>
              </w:rPr>
            </w:pPr>
          </w:p>
        </w:tc>
      </w:tr>
      <w:tr>
        <w:trPr>
          <w:trHeight w:val="194"/>
        </w:trPr>
        <w:tc>
          <w:tcPr>
            <w:tcW w:w="68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Merck</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1,155</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0"/>
        </w:trPr>
        <w:tc>
          <w:tcPr>
            <w:tcW w:w="6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860" w:type="dxa"/>
            <w:vAlign w:val="bottom"/>
          </w:tcPr>
          <w:p>
            <w:pPr>
              <w:spacing w:after="0"/>
              <w:rPr>
                <w:sz w:val="20"/>
                <w:szCs w:val="20"/>
                <w:color w:val="auto"/>
              </w:rPr>
            </w:pPr>
            <w:r>
              <w:rPr>
                <w:rFonts w:ascii="Arial" w:cs="Arial" w:eastAsia="Arial" w:hAnsi="Arial"/>
                <w:sz w:val="17"/>
                <w:szCs w:val="17"/>
                <w:color w:val="auto"/>
              </w:rPr>
              <w:t>Total deferred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11,104</w:t>
            </w:r>
          </w:p>
        </w:tc>
        <w:tc>
          <w:tcPr>
            <w:tcW w:w="5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46,652</w:t>
            </w:r>
          </w:p>
        </w:tc>
        <w:tc>
          <w:tcPr>
            <w:tcW w:w="32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27,806</w:t>
            </w:r>
          </w:p>
        </w:tc>
        <w:tc>
          <w:tcPr>
            <w:tcW w:w="4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21,209</w:t>
            </w:r>
          </w:p>
        </w:tc>
      </w:tr>
      <w:tr>
        <w:trPr>
          <w:trHeight w:val="20"/>
        </w:trPr>
        <w:tc>
          <w:tcPr>
            <w:tcW w:w="6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6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We expect such deferred revenue remaining as of June 30, 2014 to be recognized as revenue in the applicable fiscal years ending December 31, 2014, 2015 and 2016 based on our accounting policy for revenue recognition indicated for each collaboration agreement.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operating expenses for the years ended December 31, 2011, 2012 and 2013 and for the six months ended June 30,</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2013 and 2014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SIX MONTHS ENDED JUNE 30</w:t>
            </w:r>
          </w:p>
        </w:tc>
      </w:tr>
      <w:tr>
        <w:trPr>
          <w:trHeight w:val="135"/>
        </w:trPr>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1"/>
              <w:spacing w:after="0" w:line="135"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1"/>
              <w:spacing w:after="0" w:line="135"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1"/>
              <w:spacing w:after="0" w:line="135" w:lineRule="exact"/>
              <w:rPr>
                <w:sz w:val="20"/>
                <w:szCs w:val="20"/>
                <w:color w:val="auto"/>
              </w:rPr>
            </w:pPr>
            <w:r>
              <w:rPr>
                <w:rFonts w:ascii="Arial" w:cs="Arial" w:eastAsia="Arial" w:hAnsi="Arial"/>
                <w:sz w:val="13"/>
                <w:szCs w:val="13"/>
                <w:b w:val="1"/>
                <w:bCs w:val="1"/>
                <w:color w:val="auto"/>
              </w:rPr>
              <w:t>2013</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6"/>
              <w:spacing w:after="0" w:line="135" w:lineRule="exact"/>
              <w:rPr>
                <w:sz w:val="20"/>
                <w:szCs w:val="20"/>
                <w:color w:val="auto"/>
              </w:rPr>
            </w:pPr>
            <w:r>
              <w:rPr>
                <w:rFonts w:ascii="Arial" w:cs="Arial" w:eastAsia="Arial" w:hAnsi="Arial"/>
                <w:sz w:val="13"/>
                <w:szCs w:val="13"/>
                <w:b w:val="1"/>
                <w:bCs w:val="1"/>
                <w:color w:val="auto"/>
              </w:rPr>
              <w:t>2013</w:t>
            </w:r>
          </w:p>
        </w:tc>
        <w:tc>
          <w:tcPr>
            <w:tcW w:w="6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1"/>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3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12,302</w:t>
            </w:r>
          </w:p>
        </w:tc>
        <w:tc>
          <w:tcPr>
            <w:tcW w:w="7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10,455</w:t>
            </w:r>
          </w:p>
        </w:tc>
        <w:tc>
          <w:tcPr>
            <w:tcW w:w="5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12,303</w:t>
            </w:r>
          </w:p>
        </w:tc>
        <w:tc>
          <w:tcPr>
            <w:tcW w:w="4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6,983</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5,099</w:t>
            </w:r>
          </w:p>
        </w:tc>
        <w:tc>
          <w:tcPr>
            <w:tcW w:w="100" w:type="dxa"/>
            <w:vAlign w:val="bottom"/>
            <w:shd w:val="clear" w:color="auto" w:fill="CCEEFF"/>
          </w:tcPr>
          <w:p>
            <w:pPr>
              <w:spacing w:after="0"/>
              <w:rPr>
                <w:sz w:val="16"/>
                <w:szCs w:val="16"/>
                <w:color w:val="auto"/>
              </w:rPr>
            </w:pPr>
          </w:p>
        </w:tc>
      </w:tr>
      <w:tr>
        <w:trPr>
          <w:trHeight w:val="194"/>
        </w:trPr>
        <w:tc>
          <w:tcPr>
            <w:tcW w:w="3260" w:type="dxa"/>
            <w:vAlign w:val="bottom"/>
          </w:tcPr>
          <w:p>
            <w:pPr>
              <w:spacing w:after="0" w:line="194" w:lineRule="exact"/>
              <w:rPr>
                <w:sz w:val="20"/>
                <w:szCs w:val="20"/>
                <w:color w:val="auto"/>
              </w:rPr>
            </w:pPr>
            <w:r>
              <w:rPr>
                <w:rFonts w:ascii="Arial" w:cs="Arial" w:eastAsia="Arial" w:hAnsi="Arial"/>
                <w:sz w:val="17"/>
                <w:szCs w:val="17"/>
                <w:color w:val="auto"/>
              </w:rPr>
              <w:t>General and administrative</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6,730</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7,006</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5,341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auto"/>
              </w:rPr>
              <w:t>2,828</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2,790</w:t>
            </w:r>
          </w:p>
        </w:tc>
        <w:tc>
          <w:tcPr>
            <w:tcW w:w="100" w:type="dxa"/>
            <w:vAlign w:val="bottom"/>
          </w:tcPr>
          <w:p>
            <w:pPr>
              <w:spacing w:after="0"/>
              <w:rPr>
                <w:sz w:val="16"/>
                <w:szCs w:val="16"/>
                <w:color w:val="auto"/>
              </w:rPr>
            </w:pPr>
          </w:p>
        </w:tc>
      </w:tr>
      <w:tr>
        <w:trPr>
          <w:trHeight w:val="26"/>
        </w:trPr>
        <w:tc>
          <w:tcPr>
            <w:tcW w:w="3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3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operating expenses</w:t>
            </w:r>
          </w:p>
        </w:tc>
        <w:tc>
          <w:tcPr>
            <w:tcW w:w="13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19,032</w:t>
            </w:r>
          </w:p>
        </w:tc>
        <w:tc>
          <w:tcPr>
            <w:tcW w:w="7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17,461</w:t>
            </w:r>
          </w:p>
        </w:tc>
        <w:tc>
          <w:tcPr>
            <w:tcW w:w="5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17,644</w:t>
            </w:r>
          </w:p>
        </w:tc>
        <w:tc>
          <w:tcPr>
            <w:tcW w:w="4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9,811</w:t>
            </w:r>
          </w:p>
        </w:tc>
        <w:tc>
          <w:tcPr>
            <w:tcW w:w="8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7,889</w:t>
            </w:r>
          </w:p>
        </w:tc>
        <w:tc>
          <w:tcPr>
            <w:tcW w:w="100" w:type="dxa"/>
            <w:vAlign w:val="bottom"/>
            <w:shd w:val="clear" w:color="auto" w:fill="CCEEFF"/>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3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42"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Research and development expenses represent costs incurred to conduct research on our product candidates in collaboration with Teva, Genentech and Merck, as well as further research and development of our other proprietary product candidates.</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Research and development expenses consist of costs incurred in performing research and development activities, including salary, related benefits and share-based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costs.</w:t>
      </w:r>
    </w:p>
    <w:p>
      <w:pPr>
        <w:spacing w:after="0" w:line="10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4"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08"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expense all research and development costs as incurred. We expect that our research and development expenses will increase in the future as we advance our proprietary product candidates into clinical development, conduct our development activities under our agreements with Teva and Genentech,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1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General and administrative expenses consist primarily of salary, related benefits and share-based compensation of our executive, finance, business development and administrative functions, travel expenses, allocated facility-related costs not otherwise included in research and development expenses, and professional fees for auditing, tax and legal services, including legal expenses for intellectual property protection.</w:t>
      </w:r>
    </w:p>
    <w:p>
      <w:pPr>
        <w:spacing w:after="0" w:line="108" w:lineRule="exact"/>
        <w:rPr>
          <w:sz w:val="20"/>
          <w:szCs w:val="20"/>
          <w:color w:val="auto"/>
        </w:rPr>
      </w:pPr>
    </w:p>
    <w:p>
      <w:pPr>
        <w:jc w:val="both"/>
        <w:ind w:right="180"/>
        <w:spacing w:after="0" w:line="241" w:lineRule="auto"/>
        <w:rPr>
          <w:sz w:val="20"/>
          <w:szCs w:val="20"/>
          <w:color w:val="auto"/>
        </w:rPr>
      </w:pPr>
      <w:r>
        <w:rPr>
          <w:rFonts w:ascii="Arial" w:cs="Arial" w:eastAsia="Arial" w:hAnsi="Arial"/>
          <w:sz w:val="17"/>
          <w:szCs w:val="17"/>
          <w:color w:val="auto"/>
        </w:rPr>
        <w:t>We expect that general and administrative expenses will increase in the future as we expand our operating activities to support increased research and development activities, and build our commercial infrastructure for the potential option for co-promotion of TV-45070 in the U.S., if and when regulatory approval is received.</w:t>
      </w:r>
    </w:p>
    <w:p>
      <w:pPr>
        <w:spacing w:after="0" w:line="108"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also anticipate incurring additional general and administrative expenses as a public company, including costs of additional personnel, additional professional fees for audit, accounting and legal services, director fees, enhanced business and accounting systems, costs related to investor relations and increased premiums for directors’ and officers’ liability insurance.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consists of income earned on our cash and investment balances. Our interest income has not been significant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8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consists of interest incurred on the note payable held by Isis Pharmaceuticals, Inc., or Isis, related to our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for XEN701. As we fully repaid the note payable to Isis in June 2013 and now have no other debts outstanding, we expect to have little or no interest expense in the future. In the fourth quarter of 2013, we discontinued development of XEN701 as the preclinical data did not support its continued advancement. In the first quarter of 2014, we provided formal notice of termination of the agreement to Isis.</w:t>
      </w:r>
    </w:p>
    <w:p>
      <w:pPr>
        <w:spacing w:after="0" w:line="86"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i w:val="1"/>
          <w:iCs w:val="1"/>
          <w:color w:val="auto"/>
        </w:rPr>
        <w:t>Foreign Exchange Gain (Loss)</w:t>
      </w:r>
      <w:r>
        <w:rPr>
          <w:rFonts w:ascii="Arial" w:cs="Arial" w:eastAsia="Arial" w:hAnsi="Arial"/>
          <w:sz w:val="17"/>
          <w:szCs w:val="17"/>
          <w:color w:val="auto"/>
        </w:rPr>
        <w:t>. Our functional currency is the Canadian dollar. For presentation purposes, our assets and liabilities are translated to U.S.</w:t>
      </w:r>
      <w:r>
        <w:rPr>
          <w:rFonts w:ascii="Arial" w:cs="Arial" w:eastAsia="Arial" w:hAnsi="Arial"/>
          <w:sz w:val="17"/>
          <w:szCs w:val="17"/>
          <w:i w:val="1"/>
          <w:iCs w:val="1"/>
          <w:color w:val="auto"/>
        </w:rPr>
        <w:t xml:space="preserve"> </w:t>
      </w:r>
      <w:r>
        <w:rPr>
          <w:rFonts w:ascii="Arial" w:cs="Arial" w:eastAsia="Arial" w:hAnsi="Arial"/>
          <w:sz w:val="17"/>
          <w:szCs w:val="17"/>
          <w:color w:val="auto"/>
        </w:rPr>
        <w:t>dollars at exchange rates at the reporting date. Any resulting exchange gains and losses resulting from the translation of U.S. denominated transactions are recorded in current operations.</w:t>
      </w:r>
    </w:p>
    <w:p>
      <w:pPr>
        <w:spacing w:after="0" w:line="8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i w:val="1"/>
          <w:iCs w:val="1"/>
          <w:color w:val="auto"/>
        </w:rPr>
        <w:t>Gain (Loss) on Write-off and Disposal of Assets</w:t>
      </w:r>
      <w:r>
        <w:rPr>
          <w:rFonts w:ascii="Arial" w:cs="Arial" w:eastAsia="Arial" w:hAnsi="Arial"/>
          <w:sz w:val="17"/>
          <w:szCs w:val="17"/>
          <w:color w:val="auto"/>
        </w:rPr>
        <w:t>. During the year ended December 31, 2012, we wrote-off leasehold improvements at our leased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had a net book value of $1.0 million in connection with a lease extension and modification agreement made effective April 1, 2012.</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70"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have been prepared in conformity with generally accepted accounting principles in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380"/>
          </w:cols>
          <w:pgMar w:left="240" w:top="444" w:right="2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U.S., or U.S. GAAP. The preparation of our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1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We have generated revenue primarily through collaboration and license agreements.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 these collaboration agreements, we may receive non-refundable upfront payments, funding for research and development services, milestone payments, other contingent payments and royalties based on achieving pre-determined milestones. Research funding is recorded as revenue over the period of the research commitment. Milestone and other contingent payments are recorded as revenue when the underlying milestone is achieved if there is substantive uncertainty at the date the collaboration arrangement is entered into that the event will be achieved. In assessing the appropriate revenue recognition related to a collaboration agreement, we first determine whether an arrangement includes multiple elements, such as the delivery of intellectual property rights and research and development services. Upfront payments are recorded as deferred revenue in the balance sheet and are recognized as collaboration revenue over the estimated period of research performance that is consistent with the terms of the research and development obligations contained in the collaboration agreement. We periodically review the estimated period of performance based on the progress made under each arrangement.</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 xml:space="preserve">In January 2011, the Financial Accounting Standards Board, or FASB, adopted new authoritative guidance on revenue recognition for multiple element arrangements, Accounting Standards Update, or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 or ASU 2009-13. This guidance, which applies to multiple element arrangements entered into or materially modified on or after January 1, 2011, amends the criteria for separating and allocating consideration in a multiple element arrangement by modifying the fair value requirements for revenue recognition and eliminating the use of the residual method. The selling prices of deliverables under an arrangement may be derived using third-party evidence, or TPE, or a best estimate of selling price, or BESP, if vendor-specific objective evidence of fair value, or VSOE, is not available.</w:t>
      </w:r>
    </w:p>
    <w:p>
      <w:pPr>
        <w:spacing w:after="0" w:line="11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Deliverables under the arrangement will be separate units of accounting provided that a delivered item has value to the customer on a stand-alone basis and if the arrangement does not include a general right of return relative to the delivered item and delivery or performance of the undelivered items is considered probably and substantially in the control of the vendor. The update also provided new guidance regarding how to apply the standard to arrangements that are materially modified following adoption of the update. The potential future impact of the adoption of this update will depend on the nature of any new agreements entered into or material modifications to existing arrangements.</w:t>
      </w:r>
    </w:p>
    <w:p>
      <w:pPr>
        <w:spacing w:after="0" w:line="111"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Under a collaboration agreement, a steering committee is sometimes responsible for overseeing the general working relationships, determining the protocols to be followed in the research and development performed, and evaluating the results from the continued development of the product. We intend to evaluate whether our participation in any joint steering committees is a substantive obligation or whether the services are considered inconsequential or perfunctory.</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factors we would consider in determining if our participation in a joint steering committee is a substantive obligation include: (i) which party negotiated or requested the steering committee, (ii) how frequently the steering committee meets, (iii) whether or not there are any penalties or other recourse if we do not attend the steering committee meetings, (iv) which party has decision making authority on the steering committee and (v) whether or not the collaborator has the requisite experience and expertise associated with the research and development of the licensed intellectual property.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4"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Incentive milestone payments may be triggered either by the results of our research efforts or by events external to us, such as regulatory approval to market a product. We recognize consideration that is contingent upon achievement of a milestone in its entirety as revenue in the period in which the milestone is achieved, but only if the consideration earned from the achievement of a milestone meets all the criteria for the milestone to be considered substantive at the inception of the arrangement. For a milestone to be considered substantive, the consideration earned by achieving the milestone must be commensurate with either our performance to achieve the milestone or the enhancement of the value of the item delivered as a result of a specific outcome resulting from our performance to achieve the milestone, relate solely to our past performance and be reasonable relative to all deliverables and payment terms in the collaboration agreement.</w:t>
      </w:r>
    </w:p>
    <w:p>
      <w:pPr>
        <w:spacing w:after="0" w:line="10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generally recognize revenue from upfront payments ratably over the term of our estimated period of performance of research under our collaboration agreements in the event that such arrangements represent a single unit of accounting.</w:t>
      </w:r>
    </w:p>
    <w:p>
      <w:pPr>
        <w:spacing w:after="0" w:line="8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 xml:space="preserve">In January 2012, we also adopted the guidance (ASU No. 2010-17, </w:t>
      </w:r>
      <w:r>
        <w:rPr>
          <w:rFonts w:ascii="Arial" w:cs="Arial" w:eastAsia="Arial" w:hAnsi="Arial"/>
          <w:sz w:val="17"/>
          <w:szCs w:val="17"/>
          <w:i w:val="1"/>
          <w:iCs w:val="1"/>
          <w:color w:val="auto"/>
        </w:rPr>
        <w:t>Milestones Method of Revenue Recognition</w:t>
      </w:r>
      <w:r>
        <w:rPr>
          <w:rFonts w:ascii="Arial" w:cs="Arial" w:eastAsia="Arial" w:hAnsi="Arial"/>
          <w:sz w:val="17"/>
          <w:szCs w:val="17"/>
          <w:color w:val="auto"/>
        </w:rPr>
        <w:t>, or ASU 2010-17) that permits the recognition of revenue contingent upon our achievement of a milestone in its entirety, in the period the milestone is achieved, only if the milestone meets certain criteria and is considered to be substantive.</w:t>
      </w:r>
    </w:p>
    <w:p>
      <w:pPr>
        <w:spacing w:after="0" w:line="99"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We made judgments which affect the periods over which we recognized revenue, including modifying such periods based on any amendments to our collaboration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Expenses</w:t>
      </w:r>
    </w:p>
    <w:p>
      <w:pPr>
        <w:spacing w:after="0" w:line="7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Examples of estimated accrued expenses include:</w:t>
      </w:r>
    </w:p>
    <w:p>
      <w:pPr>
        <w:spacing w:after="0" w:line="27" w:lineRule="exact"/>
        <w:rPr>
          <w:sz w:val="20"/>
          <w:szCs w:val="20"/>
          <w:color w:val="auto"/>
        </w:rPr>
      </w:pPr>
    </w:p>
    <w:p>
      <w:pPr>
        <w:ind w:left="780" w:hanging="441"/>
        <w:spacing w:after="0"/>
        <w:tabs>
          <w:tab w:leader="none" w:pos="780" w:val="left"/>
        </w:tabs>
        <w:numPr>
          <w:ilvl w:val="0"/>
          <w:numId w:val="49"/>
        </w:numPr>
        <w:rPr>
          <w:rFonts w:ascii="Arial" w:cs="Arial" w:eastAsia="Arial" w:hAnsi="Arial"/>
          <w:sz w:val="26"/>
          <w:szCs w:val="26"/>
          <w:color w:val="auto"/>
          <w:vertAlign w:val="superscript"/>
        </w:rPr>
      </w:pPr>
      <w:r>
        <w:rPr>
          <w:rFonts w:ascii="Arial" w:cs="Arial" w:eastAsia="Arial" w:hAnsi="Arial"/>
          <w:sz w:val="17"/>
          <w:szCs w:val="17"/>
          <w:color w:val="auto"/>
        </w:rPr>
        <w:t>fees paid to contract research organizations in connection with preclinical and toxicology studies and clinical trials;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fees paid to investigative sites in connection with clinical trials;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fees paid to contract manufacturers in connection with the production of clinical trial materials;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49"/>
        </w:numPr>
        <w:rPr>
          <w:rFonts w:ascii="Arial" w:cs="Arial" w:eastAsia="Arial" w:hAnsi="Arial"/>
          <w:sz w:val="23"/>
          <w:szCs w:val="23"/>
          <w:color w:val="auto"/>
          <w:vertAlign w:val="superscript"/>
        </w:rPr>
      </w:pPr>
      <w:r>
        <w:rPr>
          <w:rFonts w:ascii="Arial" w:cs="Arial" w:eastAsia="Arial" w:hAnsi="Arial"/>
          <w:sz w:val="15"/>
          <w:szCs w:val="15"/>
          <w:color w:val="auto"/>
        </w:rPr>
        <w:t>fees paid for professional services.</w:t>
      </w:r>
    </w:p>
    <w:p>
      <w:pPr>
        <w:spacing w:after="0" w:line="10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There have been no material adjustments to our estimates of accrued expenses for any of the periods presented herein, and we do not anticipate that our payment of actual expenses will differ materially from our estimates at June 30, 2014.</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4"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Compensation expense related to share-based awards to employees, directors and other service providers is measured and recognized in our financial statements based on the fair value method with a corresponding increase in additional paid-in capital. Any consideration we receive from the exercise of stock options is credited to share capital.</w:t>
      </w:r>
    </w:p>
    <w:p>
      <w:pPr>
        <w:spacing w:after="0" w:line="108"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We measure the fair value of each option awarded to employees on the grant date using the Black-Scholes option-pricing model and a single option award approach for options issued. The fair value of the award determined at grant is amortized over the vesting period.</w:t>
      </w:r>
    </w:p>
    <w:p>
      <w:pPr>
        <w:spacing w:after="0" w:line="104"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We measure the fair value of each option awarded to non-employees on the date of grant and periodically re-measure during the grant period as the options are earned.</w:t>
      </w:r>
    </w:p>
    <w:p>
      <w:pPr>
        <w:spacing w:after="0" w:line="10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expense the value of the options, net of forfeitures, over the vesting periods of the awards, which is typically three to four years. Prior to the completion of this offering, we used the methodology described below to determine fair value. Following completion of this offering, the fair value of our common shares will be determined based on the quoted market price.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0"/>
          </w:cols>
          <w:pgMar w:left="240" w:top="444" w:right="2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Our use of the Black-Scholes option-pricing model requires the input of highly subjective assumptions, including the fair value of the underlying common shares, risk-free interest rates, the expected term of the option, the expected volatility of the price of our common shares and the expected dividend yield of our common shares. The assumptions used in our option-pricing model represent management’s best estimates. These estimates involve inherent uncertainties and the application of management’s judgment. If factors change and different assumptions are used, our share-based compensation expense could be materially different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and estimates are as follows:</w:t>
      </w:r>
    </w:p>
    <w:p>
      <w:pPr>
        <w:spacing w:after="0" w:line="109" w:lineRule="exact"/>
        <w:rPr>
          <w:sz w:val="20"/>
          <w:szCs w:val="20"/>
          <w:color w:val="auto"/>
        </w:rPr>
      </w:pPr>
    </w:p>
    <w:p>
      <w:pPr>
        <w:ind w:left="780" w:right="420" w:hanging="441"/>
        <w:spacing w:after="0" w:line="200" w:lineRule="auto"/>
        <w:tabs>
          <w:tab w:leader="none" w:pos="7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i w:val="1"/>
          <w:iCs w:val="1"/>
          <w:color w:val="auto"/>
        </w:rPr>
        <w:t>Fair Value of Common Shares</w:t>
      </w:r>
      <w:r>
        <w:rPr>
          <w:rFonts w:ascii="Arial" w:cs="Arial" w:eastAsia="Arial" w:hAnsi="Arial"/>
          <w:sz w:val="17"/>
          <w:szCs w:val="17"/>
          <w:color w:val="auto"/>
        </w:rPr>
        <w:t>. Because our common shares are not yet publicly traded, we must estimate their fair value, as discussed in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Valuation of Common Shares</w:t>
      </w:r>
      <w:r>
        <w:rPr>
          <w:rFonts w:ascii="Arial" w:cs="Arial" w:eastAsia="Arial" w:hAnsi="Arial"/>
          <w:sz w:val="17"/>
          <w:szCs w:val="17"/>
          <w:color w:val="auto"/>
        </w:rPr>
        <w:t>” below.</w:t>
      </w:r>
    </w:p>
    <w:p>
      <w:pPr>
        <w:spacing w:after="0" w:line="1" w:lineRule="exact"/>
        <w:rPr>
          <w:rFonts w:ascii="Arial" w:cs="Arial" w:eastAsia="Arial" w:hAnsi="Arial"/>
          <w:sz w:val="26"/>
          <w:szCs w:val="26"/>
          <w:color w:val="auto"/>
          <w:vertAlign w:val="superscript"/>
        </w:rPr>
      </w:pPr>
    </w:p>
    <w:p>
      <w:pPr>
        <w:ind w:left="780" w:right="60" w:hanging="441"/>
        <w:spacing w:after="0" w:line="200" w:lineRule="auto"/>
        <w:tabs>
          <w:tab w:leader="none" w:pos="7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We base the risk-free interest rate used in the Black-Scholes option-pricing model on the implied yield available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U.S. Treasury note rate.</w:t>
      </w:r>
    </w:p>
    <w:p>
      <w:pPr>
        <w:ind w:left="780" w:right="20" w:hanging="441"/>
        <w:spacing w:after="0" w:line="210" w:lineRule="auto"/>
        <w:tabs>
          <w:tab w:leader="none" w:pos="7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is our estimate of when share-based awards are expected to be exercised. We use the simplified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the expected term of options. Under this method the expected term represents the average of the vesting period and the contractual term.</w:t>
      </w:r>
    </w:p>
    <w:p>
      <w:pPr>
        <w:spacing w:after="0" w:line="2" w:lineRule="exact"/>
        <w:rPr>
          <w:rFonts w:ascii="Arial" w:cs="Arial" w:eastAsia="Arial" w:hAnsi="Arial"/>
          <w:sz w:val="26"/>
          <w:szCs w:val="26"/>
          <w:color w:val="auto"/>
          <w:vertAlign w:val="superscript"/>
        </w:rPr>
      </w:pPr>
    </w:p>
    <w:p>
      <w:pPr>
        <w:ind w:left="780" w:right="20" w:hanging="441"/>
        <w:spacing w:after="0" w:line="225" w:lineRule="auto"/>
        <w:tabs>
          <w:tab w:leader="none" w:pos="7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We determine the price volatility factor based on the historical volatilities of our publicly-traded peer group as we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a trading history for our common shares. Industry peers consist of several public companies in the life sciences industry that are similar to us in size, stage of life cycle, and financial leverage. We did not rely on implied volatilities of traded options in our industry peers’ common shares because the volume of activity was relatively low. Following completion of the offering, we intend to continue to consistently apply this process using the same or similar public companies until a sufficient amount of historical information regarding the volatility of our own common shares price becomes available, or unless circumstances change such that the identified companies are no longer similar to us, in which case, more suitable companies whose share prices are publicly available would be utilized in the calculation.</w:t>
      </w:r>
    </w:p>
    <w:p>
      <w:pPr>
        <w:spacing w:after="0" w:line="1" w:lineRule="exact"/>
        <w:rPr>
          <w:rFonts w:ascii="Arial" w:cs="Arial" w:eastAsia="Arial" w:hAnsi="Arial"/>
          <w:sz w:val="26"/>
          <w:szCs w:val="26"/>
          <w:color w:val="auto"/>
          <w:vertAlign w:val="superscript"/>
        </w:rPr>
      </w:pPr>
    </w:p>
    <w:p>
      <w:pPr>
        <w:ind w:left="780" w:right="560" w:hanging="441"/>
        <w:spacing w:after="0" w:line="200" w:lineRule="auto"/>
        <w:tabs>
          <w:tab w:leader="none" w:pos="780" w:val="left"/>
        </w:tabs>
        <w:numPr>
          <w:ilvl w:val="0"/>
          <w:numId w:val="50"/>
        </w:numPr>
        <w:rPr>
          <w:rFonts w:ascii="Arial" w:cs="Arial" w:eastAsia="Arial" w:hAnsi="Arial"/>
          <w:sz w:val="26"/>
          <w:szCs w:val="26"/>
          <w:color w:val="auto"/>
          <w:vertAlign w:val="superscript"/>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have never declared or paid cash dividends and based on our current expectation we do not expect to pay</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in the foreseeable future. Consequently, we used an expected dividend yield of zero.</w:t>
      </w:r>
    </w:p>
    <w:p>
      <w:pPr>
        <w:spacing w:after="0" w:line="109" w:lineRule="exact"/>
        <w:rPr>
          <w:sz w:val="20"/>
          <w:szCs w:val="20"/>
          <w:color w:val="auto"/>
        </w:rPr>
      </w:pPr>
    </w:p>
    <w:p>
      <w:pPr>
        <w:ind w:right="1180"/>
        <w:spacing w:after="0" w:line="245" w:lineRule="auto"/>
        <w:rPr>
          <w:sz w:val="20"/>
          <w:szCs w:val="20"/>
          <w:color w:val="auto"/>
        </w:rPr>
      </w:pPr>
      <w:r>
        <w:rPr>
          <w:rFonts w:ascii="Arial" w:cs="Arial" w:eastAsia="Arial" w:hAnsi="Arial"/>
          <w:sz w:val="17"/>
          <w:szCs w:val="17"/>
          <w:color w:val="auto"/>
        </w:rPr>
        <w:t>The assumptions we used to determine the fair value of stock options granted during the periods presented are as follows, presented on a weighted-average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YEAR ENDED DECEMBER 31,</w:t>
            </w: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SIX MONTHS ENDED JUNE 30</w:t>
            </w:r>
          </w:p>
        </w:tc>
      </w:tr>
      <w:tr>
        <w:trPr>
          <w:trHeight w:val="135"/>
        </w:trPr>
        <w:tc>
          <w:tcPr>
            <w:tcW w:w="548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2011</w:t>
            </w: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2012</w:t>
            </w: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0"/>
              <w:spacing w:after="0" w:line="135" w:lineRule="exact"/>
              <w:rPr>
                <w:sz w:val="20"/>
                <w:szCs w:val="20"/>
                <w:color w:val="auto"/>
              </w:rPr>
            </w:pPr>
            <w:r>
              <w:rPr>
                <w:rFonts w:ascii="Arial" w:cs="Arial" w:eastAsia="Arial" w:hAnsi="Arial"/>
                <w:sz w:val="13"/>
                <w:szCs w:val="13"/>
                <w:b w:val="1"/>
                <w:bCs w:val="1"/>
                <w:color w:val="auto"/>
              </w:rPr>
              <w:t>2013</w:t>
            </w:r>
          </w:p>
        </w:tc>
        <w:tc>
          <w:tcPr>
            <w:tcW w:w="700" w:type="dxa"/>
            <w:vAlign w:val="bottom"/>
          </w:tcPr>
          <w:p>
            <w:pPr>
              <w:spacing w:after="0"/>
              <w:rPr>
                <w:sz w:val="11"/>
                <w:szCs w:val="11"/>
                <w:color w:val="auto"/>
              </w:rPr>
            </w:pPr>
          </w:p>
        </w:tc>
        <w:tc>
          <w:tcPr>
            <w:tcW w:w="1640" w:type="dxa"/>
            <w:vAlign w:val="bottom"/>
            <w:tcBorders>
              <w:top w:val="single" w:sz="8" w:color="auto"/>
              <w:bottom w:val="single" w:sz="8" w:color="auto"/>
            </w:tcBorders>
          </w:tcPr>
          <w:p>
            <w:pPr>
              <w:jc w:val="right"/>
              <w:ind w:right="1084"/>
              <w:spacing w:after="0" w:line="135" w:lineRule="exact"/>
              <w:rPr>
                <w:sz w:val="20"/>
                <w:szCs w:val="20"/>
                <w:color w:val="auto"/>
              </w:rPr>
            </w:pPr>
            <w:r>
              <w:rPr>
                <w:rFonts w:ascii="Arial" w:cs="Arial" w:eastAsia="Arial" w:hAnsi="Arial"/>
                <w:sz w:val="13"/>
                <w:szCs w:val="13"/>
                <w:b w:val="1"/>
                <w:bCs w:val="1"/>
                <w:color w:val="auto"/>
              </w:rPr>
              <w:t>2013</w:t>
            </w:r>
          </w:p>
        </w:tc>
        <w:tc>
          <w:tcPr>
            <w:tcW w:w="640" w:type="dxa"/>
            <w:vAlign w:val="bottom"/>
            <w:tcBorders>
              <w:top w:val="single" w:sz="8" w:color="auto"/>
              <w:bottom w:val="single" w:sz="8" w:color="auto"/>
            </w:tcBorders>
          </w:tcPr>
          <w:p>
            <w:pPr>
              <w:jc w:val="right"/>
              <w:ind w:right="140"/>
              <w:spacing w:after="0" w:line="135"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1"/>
                <w:szCs w:val="11"/>
                <w:color w:val="auto"/>
              </w:rPr>
            </w:pPr>
          </w:p>
        </w:tc>
      </w:tr>
      <w:tr>
        <w:trPr>
          <w:trHeight w:val="135"/>
        </w:trPr>
        <w:tc>
          <w:tcPr>
            <w:tcW w:w="5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tcPr>
          <w:p>
            <w:pPr>
              <w:jc w:val="right"/>
              <w:ind w:right="84"/>
              <w:spacing w:after="0" w:line="135" w:lineRule="exact"/>
              <w:rPr>
                <w:sz w:val="20"/>
                <w:szCs w:val="20"/>
                <w:color w:val="auto"/>
              </w:rPr>
            </w:pPr>
            <w:r>
              <w:rPr>
                <w:rFonts w:ascii="Arial" w:cs="Arial" w:eastAsia="Arial" w:hAnsi="Arial"/>
                <w:sz w:val="13"/>
                <w:szCs w:val="13"/>
                <w:b w:val="1"/>
                <w:bCs w:val="1"/>
                <w:color w:val="auto"/>
              </w:rPr>
              <w:t>(unaudited)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4"/>
        </w:trPr>
        <w:tc>
          <w:tcPr>
            <w:tcW w:w="5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Risk-free interest rate</w:t>
            </w:r>
          </w:p>
        </w:tc>
        <w:tc>
          <w:tcPr>
            <w:tcW w:w="1140" w:type="dxa"/>
            <w:vAlign w:val="bottom"/>
            <w:gridSpan w:val="2"/>
            <w:shd w:val="clear" w:color="auto" w:fill="CCEEFF"/>
          </w:tcPr>
          <w:p>
            <w:pPr>
              <w:jc w:val="right"/>
              <w:ind w:right="495"/>
              <w:spacing w:after="0" w:line="194" w:lineRule="exact"/>
              <w:rPr>
                <w:sz w:val="20"/>
                <w:szCs w:val="20"/>
                <w:color w:val="auto"/>
              </w:rPr>
            </w:pPr>
            <w:r>
              <w:rPr>
                <w:rFonts w:ascii="Arial" w:cs="Arial" w:eastAsia="Arial" w:hAnsi="Arial"/>
                <w:sz w:val="17"/>
                <w:szCs w:val="17"/>
                <w:color w:val="auto"/>
              </w:rPr>
              <w:t>2.36%</w:t>
            </w:r>
          </w:p>
        </w:tc>
        <w:tc>
          <w:tcPr>
            <w:tcW w:w="1160" w:type="dxa"/>
            <w:vAlign w:val="bottom"/>
            <w:gridSpan w:val="2"/>
            <w:shd w:val="clear" w:color="auto" w:fill="CCEEFF"/>
          </w:tcPr>
          <w:p>
            <w:pPr>
              <w:jc w:val="right"/>
              <w:ind w:right="580"/>
              <w:spacing w:after="0" w:line="194" w:lineRule="exact"/>
              <w:rPr>
                <w:sz w:val="20"/>
                <w:szCs w:val="20"/>
                <w:color w:val="auto"/>
              </w:rPr>
            </w:pPr>
            <w:r>
              <w:rPr>
                <w:rFonts w:ascii="Arial" w:cs="Arial" w:eastAsia="Arial" w:hAnsi="Arial"/>
                <w:sz w:val="17"/>
                <w:szCs w:val="17"/>
                <w:color w:val="auto"/>
              </w:rPr>
              <w:t>1.14%</w:t>
            </w:r>
          </w:p>
        </w:tc>
        <w:tc>
          <w:tcPr>
            <w:tcW w:w="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1.03%</w:t>
            </w:r>
          </w:p>
        </w:tc>
        <w:tc>
          <w:tcPr>
            <w:tcW w:w="1640" w:type="dxa"/>
            <w:vAlign w:val="bottom"/>
            <w:shd w:val="clear" w:color="auto" w:fill="CCEEFF"/>
          </w:tcPr>
          <w:p>
            <w:pPr>
              <w:jc w:val="right"/>
              <w:ind w:right="724"/>
              <w:spacing w:after="0" w:line="194" w:lineRule="exact"/>
              <w:rPr>
                <w:sz w:val="20"/>
                <w:szCs w:val="20"/>
                <w:color w:val="auto"/>
              </w:rPr>
            </w:pPr>
            <w:r>
              <w:rPr>
                <w:rFonts w:ascii="Arial" w:cs="Arial" w:eastAsia="Arial" w:hAnsi="Arial"/>
                <w:sz w:val="17"/>
                <w:szCs w:val="17"/>
                <w:color w:val="auto"/>
              </w:rPr>
              <w:t>1.03%</w:t>
            </w:r>
          </w:p>
        </w:tc>
        <w:tc>
          <w:tcPr>
            <w:tcW w:w="8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1.97%</w:t>
            </w:r>
          </w:p>
        </w:tc>
      </w:tr>
      <w:tr>
        <w:trPr>
          <w:trHeight w:val="194"/>
        </w:trPr>
        <w:tc>
          <w:tcPr>
            <w:tcW w:w="5480" w:type="dxa"/>
            <w:vAlign w:val="bottom"/>
          </w:tcPr>
          <w:p>
            <w:pPr>
              <w:spacing w:after="0" w:line="194" w:lineRule="exact"/>
              <w:rPr>
                <w:sz w:val="20"/>
                <w:szCs w:val="20"/>
                <w:color w:val="auto"/>
              </w:rPr>
            </w:pPr>
            <w:r>
              <w:rPr>
                <w:rFonts w:ascii="Arial" w:cs="Arial" w:eastAsia="Arial" w:hAnsi="Arial"/>
                <w:sz w:val="17"/>
                <w:szCs w:val="17"/>
                <w:color w:val="auto"/>
              </w:rPr>
              <w:t>Expected term (in years)</w:t>
            </w:r>
          </w:p>
        </w:tc>
        <w:tc>
          <w:tcPr>
            <w:tcW w:w="1140" w:type="dxa"/>
            <w:vAlign w:val="bottom"/>
            <w:gridSpan w:val="2"/>
          </w:tcPr>
          <w:p>
            <w:pPr>
              <w:jc w:val="right"/>
              <w:ind w:right="635"/>
              <w:spacing w:after="0" w:line="194" w:lineRule="exact"/>
              <w:rPr>
                <w:sz w:val="20"/>
                <w:szCs w:val="20"/>
                <w:color w:val="auto"/>
              </w:rPr>
            </w:pPr>
            <w:r>
              <w:rPr>
                <w:rFonts w:ascii="Arial" w:cs="Arial" w:eastAsia="Arial" w:hAnsi="Arial"/>
                <w:sz w:val="17"/>
                <w:szCs w:val="17"/>
                <w:color w:val="auto"/>
              </w:rPr>
              <w:t>6.2</w:t>
            </w:r>
          </w:p>
        </w:tc>
        <w:tc>
          <w:tcPr>
            <w:tcW w:w="1160" w:type="dxa"/>
            <w:vAlign w:val="bottom"/>
            <w:gridSpan w:val="2"/>
          </w:tcPr>
          <w:p>
            <w:pPr>
              <w:jc w:val="right"/>
              <w:ind w:right="740"/>
              <w:spacing w:after="0" w:line="194" w:lineRule="exact"/>
              <w:rPr>
                <w:sz w:val="20"/>
                <w:szCs w:val="20"/>
                <w:color w:val="auto"/>
              </w:rPr>
            </w:pPr>
            <w:r>
              <w:rPr>
                <w:rFonts w:ascii="Arial" w:cs="Arial" w:eastAsia="Arial" w:hAnsi="Arial"/>
                <w:sz w:val="17"/>
                <w:szCs w:val="17"/>
                <w:color w:val="auto"/>
              </w:rPr>
              <w:t>6.2</w:t>
            </w:r>
          </w:p>
        </w:tc>
        <w:tc>
          <w:tcPr>
            <w:tcW w:w="40" w:type="dxa"/>
            <w:vAlign w:val="bottom"/>
          </w:tcPr>
          <w:p>
            <w:pPr>
              <w:spacing w:after="0"/>
              <w:rPr>
                <w:sz w:val="16"/>
                <w:szCs w:val="16"/>
                <w:color w:val="auto"/>
              </w:rPr>
            </w:pPr>
          </w:p>
        </w:tc>
        <w:tc>
          <w:tcPr>
            <w:tcW w:w="1120" w:type="dxa"/>
            <w:vAlign w:val="bottom"/>
            <w:gridSpan w:val="2"/>
          </w:tcPr>
          <w:p>
            <w:pPr>
              <w:jc w:val="right"/>
              <w:ind w:right="700"/>
              <w:spacing w:after="0" w:line="194" w:lineRule="exact"/>
              <w:rPr>
                <w:sz w:val="20"/>
                <w:szCs w:val="20"/>
                <w:color w:val="auto"/>
              </w:rPr>
            </w:pPr>
            <w:r>
              <w:rPr>
                <w:rFonts w:ascii="Arial" w:cs="Arial" w:eastAsia="Arial" w:hAnsi="Arial"/>
                <w:sz w:val="17"/>
                <w:szCs w:val="17"/>
                <w:color w:val="auto"/>
              </w:rPr>
              <w:t>6.2</w:t>
            </w:r>
          </w:p>
        </w:tc>
        <w:tc>
          <w:tcPr>
            <w:tcW w:w="1640" w:type="dxa"/>
            <w:vAlign w:val="bottom"/>
          </w:tcPr>
          <w:p>
            <w:pPr>
              <w:jc w:val="right"/>
              <w:ind w:right="864"/>
              <w:spacing w:after="0" w:line="194" w:lineRule="exact"/>
              <w:rPr>
                <w:sz w:val="20"/>
                <w:szCs w:val="20"/>
                <w:color w:val="auto"/>
              </w:rPr>
            </w:pPr>
            <w:r>
              <w:rPr>
                <w:rFonts w:ascii="Arial" w:cs="Arial" w:eastAsia="Arial" w:hAnsi="Arial"/>
                <w:sz w:val="17"/>
                <w:szCs w:val="17"/>
                <w:color w:val="auto"/>
              </w:rPr>
              <w:t>6.2</w:t>
            </w:r>
          </w:p>
        </w:tc>
        <w:tc>
          <w:tcPr>
            <w:tcW w:w="84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6.2</w:t>
            </w:r>
          </w:p>
        </w:tc>
      </w:tr>
      <w:tr>
        <w:trPr>
          <w:trHeight w:val="194"/>
        </w:trPr>
        <w:tc>
          <w:tcPr>
            <w:tcW w:w="5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1140" w:type="dxa"/>
            <w:vAlign w:val="bottom"/>
            <w:gridSpan w:val="2"/>
            <w:shd w:val="clear" w:color="auto" w:fill="CCEEFF"/>
          </w:tcPr>
          <w:p>
            <w:pPr>
              <w:jc w:val="right"/>
              <w:ind w:right="495"/>
              <w:spacing w:after="0" w:line="194" w:lineRule="exact"/>
              <w:rPr>
                <w:sz w:val="20"/>
                <w:szCs w:val="20"/>
                <w:color w:val="auto"/>
              </w:rPr>
            </w:pPr>
            <w:r>
              <w:rPr>
                <w:rFonts w:ascii="Arial" w:cs="Arial" w:eastAsia="Arial" w:hAnsi="Arial"/>
                <w:sz w:val="17"/>
                <w:szCs w:val="17"/>
                <w:color w:val="auto"/>
              </w:rPr>
              <w:t>70%</w:t>
            </w:r>
          </w:p>
        </w:tc>
        <w:tc>
          <w:tcPr>
            <w:tcW w:w="1160" w:type="dxa"/>
            <w:vAlign w:val="bottom"/>
            <w:gridSpan w:val="2"/>
            <w:shd w:val="clear" w:color="auto" w:fill="CCEEFF"/>
          </w:tcPr>
          <w:p>
            <w:pPr>
              <w:jc w:val="right"/>
              <w:ind w:right="580"/>
              <w:spacing w:after="0" w:line="194" w:lineRule="exact"/>
              <w:rPr>
                <w:sz w:val="20"/>
                <w:szCs w:val="20"/>
                <w:color w:val="auto"/>
              </w:rPr>
            </w:pPr>
            <w:r>
              <w:rPr>
                <w:rFonts w:ascii="Arial" w:cs="Arial" w:eastAsia="Arial" w:hAnsi="Arial"/>
                <w:sz w:val="17"/>
                <w:szCs w:val="17"/>
                <w:color w:val="auto"/>
              </w:rPr>
              <w:t>70%</w:t>
            </w:r>
          </w:p>
        </w:tc>
        <w:tc>
          <w:tcPr>
            <w:tcW w:w="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70%</w:t>
            </w:r>
          </w:p>
        </w:tc>
        <w:tc>
          <w:tcPr>
            <w:tcW w:w="1640" w:type="dxa"/>
            <w:vAlign w:val="bottom"/>
            <w:shd w:val="clear" w:color="auto" w:fill="CCEEFF"/>
          </w:tcPr>
          <w:p>
            <w:pPr>
              <w:jc w:val="right"/>
              <w:ind w:right="724"/>
              <w:spacing w:after="0" w:line="194" w:lineRule="exact"/>
              <w:rPr>
                <w:sz w:val="20"/>
                <w:szCs w:val="20"/>
                <w:color w:val="auto"/>
              </w:rPr>
            </w:pPr>
            <w:r>
              <w:rPr>
                <w:rFonts w:ascii="Arial" w:cs="Arial" w:eastAsia="Arial" w:hAnsi="Arial"/>
                <w:sz w:val="17"/>
                <w:szCs w:val="17"/>
                <w:color w:val="auto"/>
              </w:rPr>
              <w:t>70%</w:t>
            </w:r>
          </w:p>
        </w:tc>
        <w:tc>
          <w:tcPr>
            <w:tcW w:w="8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74%</w:t>
            </w:r>
          </w:p>
        </w:tc>
      </w:tr>
      <w:tr>
        <w:trPr>
          <w:trHeight w:val="205"/>
        </w:trPr>
        <w:tc>
          <w:tcPr>
            <w:tcW w:w="54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140" w:type="dxa"/>
            <w:vAlign w:val="bottom"/>
            <w:gridSpan w:val="2"/>
          </w:tcPr>
          <w:p>
            <w:pPr>
              <w:jc w:val="right"/>
              <w:ind w:right="635"/>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7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86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to the assumptions used in the Black-Scholes option-pricing model, we must also estimate a forfeiture rate to calculate the share-based compensation expense for our awards. Our forfeiture rate is based on an analysis of our actual forfeitures. We will continue to evaluate the appropriateness of the forfeiture rate based on actual forfeiture experience, analysis of employee turnover, and other factors, such as historical experience with option exercises. Quarterly changes in the estimated forfeiture rate can have a significant impact on our share-based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share-based compensation expense recognized in the financial statements. If a revised forfeiture rate is lower than the previously estimated forfeiture rate, an adjustment is made that will result in an increase to the share-based compensation expense recognized in the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4"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We will continue to use judgment in evaluating the assumptions related to our share-based compensation on a prospective basis. As we continue to accumulate additional data related to our common shares, we may have refinements to our estimates, which could impact our future share-based compensation expense.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Common Shares</w:t>
      </w:r>
    </w:p>
    <w:p>
      <w:pPr>
        <w:spacing w:after="0" w:line="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are required to estimate the fair value of the common shares underlying our share-based awards when performing the fair value calculations with the Black-Scholes option-pricing model. The fair value of our common shares was determined by our board of directors, with input from management, and takes into account our most recently available valuation of common shares and our assessment of additional objective and subjective factors we believed were relevant and which may have changed between the date of the most recent valuation and the date of the grant. We believe that our audit committee, or the Committee, and our board of directors have the relevant experience and expertise to determine the fair value of our common shares.</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Because there has been no public market for our common shares, the Committee and our board of directors considers numerous objective and subjective factors to determine its best estimate of the fair value of our common shares as of each grant date, including, among other thing, the following:</w:t>
      </w:r>
    </w:p>
    <w:p>
      <w:pPr>
        <w:ind w:left="780" w:hanging="441"/>
        <w:spacing w:after="0" w:line="237" w:lineRule="auto"/>
        <w:tabs>
          <w:tab w:leader="none" w:pos="78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the lack of marketability of our common shares;</w:t>
      </w:r>
    </w:p>
    <w:p>
      <w:pPr>
        <w:spacing w:after="0" w:line="18"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the rights of the preferred shares and the common shares in a liquidation scenario;</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current market conditions applicable at the time of the assessment;</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our financial condition;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our business performance;</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the latest sales and issuances of our preferred shares to third parties;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prevailing industry trends;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the stage of development of our product candidates;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1"/>
        </w:numPr>
        <w:rPr>
          <w:rFonts w:ascii="Arial" w:cs="Arial" w:eastAsia="Arial" w:hAnsi="Arial"/>
          <w:sz w:val="23"/>
          <w:szCs w:val="23"/>
          <w:color w:val="auto"/>
          <w:vertAlign w:val="superscript"/>
        </w:rPr>
      </w:pPr>
      <w:r>
        <w:rPr>
          <w:rFonts w:ascii="Arial" w:cs="Arial" w:eastAsia="Arial" w:hAnsi="Arial"/>
          <w:sz w:val="15"/>
          <w:szCs w:val="15"/>
          <w:color w:val="auto"/>
        </w:rPr>
        <w:t>with respect to grants made on or following January 1, 2013, valuation reports prepared by an independent third-party valuation firm.</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Grants</w:t>
      </w:r>
    </w:p>
    <w:p>
      <w:pPr>
        <w:spacing w:after="0" w:line="2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Excluding 36,008 common shares issuable at an exercise price equal to the initial public offering price pursuant to options granted to our non-management directors on the date of this prospectus, the following table summarizes by grant date the number of shares subject to options granted between January 1, 2013 and the date of this prospectus, the per share exercise price of the options and the fair value of common shares underlying the options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NUMBER OF</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99"/>
              </w:rPr>
              <w:t>COMMON SHARES</w:t>
            </w: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GRANT DATE</w:t>
            </w:r>
          </w:p>
        </w:tc>
        <w:tc>
          <w:tcPr>
            <w:tcW w:w="1320" w:type="dxa"/>
            <w:vAlign w:val="bottom"/>
            <w:gridSpan w:val="2"/>
          </w:tcPr>
          <w:p>
            <w:pPr>
              <w:jc w:val="center"/>
              <w:ind w:right="80"/>
              <w:spacing w:after="0" w:line="142" w:lineRule="exact"/>
              <w:rPr>
                <w:sz w:val="20"/>
                <w:szCs w:val="20"/>
                <w:color w:val="auto"/>
              </w:rPr>
            </w:pPr>
            <w:r>
              <w:rPr>
                <w:rFonts w:ascii="Arial" w:cs="Arial" w:eastAsia="Arial" w:hAnsi="Arial"/>
                <w:sz w:val="13"/>
                <w:szCs w:val="13"/>
                <w:b w:val="1"/>
                <w:bCs w:val="1"/>
                <w:color w:val="auto"/>
                <w:w w:val="97"/>
              </w:rPr>
              <w:t>UNDERLYING</w:t>
            </w:r>
          </w:p>
        </w:tc>
        <w:tc>
          <w:tcPr>
            <w:tcW w:w="720" w:type="dxa"/>
            <w:vAlign w:val="bottom"/>
          </w:tcPr>
          <w:p>
            <w:pPr>
              <w:spacing w:after="0"/>
              <w:rPr>
                <w:sz w:val="12"/>
                <w:szCs w:val="12"/>
                <w:color w:val="auto"/>
              </w:rPr>
            </w:pPr>
          </w:p>
        </w:tc>
        <w:tc>
          <w:tcPr>
            <w:tcW w:w="1980" w:type="dxa"/>
            <w:vAlign w:val="bottom"/>
            <w:gridSpan w:val="2"/>
          </w:tcPr>
          <w:p>
            <w:pPr>
              <w:jc w:val="center"/>
              <w:ind w:right="760"/>
              <w:spacing w:after="0" w:line="142" w:lineRule="exact"/>
              <w:rPr>
                <w:sz w:val="20"/>
                <w:szCs w:val="20"/>
                <w:color w:val="auto"/>
              </w:rPr>
            </w:pPr>
            <w:r>
              <w:rPr>
                <w:rFonts w:ascii="Arial" w:cs="Arial" w:eastAsia="Arial" w:hAnsi="Arial"/>
                <w:sz w:val="13"/>
                <w:szCs w:val="13"/>
                <w:b w:val="1"/>
                <w:bCs w:val="1"/>
                <w:color w:val="auto"/>
                <w:w w:val="98"/>
              </w:rPr>
              <w:t>OPTION EXERCISE</w:t>
            </w:r>
          </w:p>
        </w:tc>
        <w:tc>
          <w:tcPr>
            <w:tcW w:w="2000" w:type="dxa"/>
            <w:vAlign w:val="bottom"/>
            <w:gridSpan w:val="2"/>
          </w:tcPr>
          <w:p>
            <w:pPr>
              <w:jc w:val="center"/>
              <w:ind w:right="820"/>
              <w:spacing w:after="0" w:line="142" w:lineRule="exact"/>
              <w:rPr>
                <w:sz w:val="20"/>
                <w:szCs w:val="20"/>
                <w:color w:val="auto"/>
              </w:rPr>
            </w:pPr>
            <w:r>
              <w:rPr>
                <w:rFonts w:ascii="Arial" w:cs="Arial" w:eastAsia="Arial" w:hAnsi="Arial"/>
                <w:sz w:val="13"/>
                <w:szCs w:val="13"/>
                <w:b w:val="1"/>
                <w:bCs w:val="1"/>
                <w:color w:val="auto"/>
                <w:w w:val="98"/>
              </w:rPr>
              <w:t>OPTION EXERCISE</w:t>
            </w: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w w:val="95"/>
              </w:rPr>
              <w:t>FAIR VALUE PER</w:t>
            </w:r>
          </w:p>
        </w:tc>
        <w:tc>
          <w:tcPr>
            <w:tcW w:w="0" w:type="dxa"/>
            <w:vAlign w:val="bottom"/>
          </w:tcPr>
          <w:p>
            <w:pPr>
              <w:spacing w:after="0"/>
              <w:rPr>
                <w:sz w:val="1"/>
                <w:szCs w:val="1"/>
                <w:color w:val="auto"/>
              </w:rPr>
            </w:pPr>
          </w:p>
        </w:tc>
      </w:tr>
      <w:tr>
        <w:trPr>
          <w:trHeight w:val="146"/>
        </w:trPr>
        <w:tc>
          <w:tcPr>
            <w:tcW w:w="4240" w:type="dxa"/>
            <w:vAlign w:val="bottom"/>
            <w:gridSpan w:val="2"/>
            <w:vMerge w:val="continue"/>
          </w:tcPr>
          <w:p>
            <w:pPr>
              <w:spacing w:after="0"/>
              <w:rPr>
                <w:sz w:val="12"/>
                <w:szCs w:val="12"/>
                <w:color w:val="auto"/>
              </w:rPr>
            </w:pPr>
          </w:p>
        </w:tc>
        <w:tc>
          <w:tcPr>
            <w:tcW w:w="132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9"/>
              </w:rPr>
              <w:t>OPTIONS GRANTED</w:t>
            </w:r>
          </w:p>
        </w:tc>
        <w:tc>
          <w:tcPr>
            <w:tcW w:w="720" w:type="dxa"/>
            <w:vAlign w:val="bottom"/>
          </w:tcPr>
          <w:p>
            <w:pPr>
              <w:spacing w:after="0"/>
              <w:rPr>
                <w:sz w:val="12"/>
                <w:szCs w:val="12"/>
                <w:color w:val="auto"/>
              </w:rPr>
            </w:pPr>
          </w:p>
        </w:tc>
        <w:tc>
          <w:tcPr>
            <w:tcW w:w="1980" w:type="dxa"/>
            <w:vAlign w:val="bottom"/>
            <w:gridSpan w:val="2"/>
          </w:tcPr>
          <w:p>
            <w:pPr>
              <w:jc w:val="center"/>
              <w:ind w:right="780"/>
              <w:spacing w:after="0" w:line="146" w:lineRule="exact"/>
              <w:rPr>
                <w:sz w:val="20"/>
                <w:szCs w:val="20"/>
                <w:color w:val="auto"/>
              </w:rPr>
            </w:pPr>
            <w:r>
              <w:rPr>
                <w:rFonts w:ascii="Arial" w:cs="Arial" w:eastAsia="Arial" w:hAnsi="Arial"/>
                <w:sz w:val="13"/>
                <w:szCs w:val="13"/>
                <w:b w:val="1"/>
                <w:bCs w:val="1"/>
                <w:color w:val="auto"/>
              </w:rPr>
              <w:t>PRICE (CAD$)</w:t>
            </w:r>
          </w:p>
        </w:tc>
        <w:tc>
          <w:tcPr>
            <w:tcW w:w="2000" w:type="dxa"/>
            <w:vAlign w:val="bottom"/>
            <w:gridSpan w:val="2"/>
          </w:tcPr>
          <w:p>
            <w:pPr>
              <w:jc w:val="center"/>
              <w:ind w:right="800"/>
              <w:spacing w:after="0" w:line="146" w:lineRule="exact"/>
              <w:rPr>
                <w:sz w:val="20"/>
                <w:szCs w:val="20"/>
                <w:color w:val="auto"/>
              </w:rPr>
            </w:pPr>
            <w:r>
              <w:rPr>
                <w:rFonts w:ascii="Arial" w:cs="Arial" w:eastAsia="Arial" w:hAnsi="Arial"/>
                <w:sz w:val="13"/>
                <w:szCs w:val="13"/>
                <w:b w:val="1"/>
                <w:bCs w:val="1"/>
                <w:color w:val="auto"/>
                <w:w w:val="99"/>
              </w:rPr>
              <w:t>PRICE (U.S. $)</w:t>
            </w:r>
          </w:p>
        </w:tc>
        <w:tc>
          <w:tcPr>
            <w:tcW w:w="1160" w:type="dxa"/>
            <w:vAlign w:val="bottom"/>
            <w:gridSpan w:val="2"/>
          </w:tcPr>
          <w:p>
            <w:pPr>
              <w:jc w:val="right"/>
              <w:ind w:right="160"/>
              <w:spacing w:after="0" w:line="146" w:lineRule="exact"/>
              <w:rPr>
                <w:sz w:val="20"/>
                <w:szCs w:val="20"/>
                <w:color w:val="auto"/>
              </w:rPr>
            </w:pPr>
            <w:r>
              <w:rPr>
                <w:rFonts w:ascii="Arial" w:cs="Arial" w:eastAsia="Arial" w:hAnsi="Arial"/>
                <w:sz w:val="13"/>
                <w:szCs w:val="13"/>
                <w:b w:val="1"/>
                <w:bCs w:val="1"/>
                <w:color w:val="auto"/>
              </w:rPr>
              <w:t>SHARE (U.S. $)</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January 1, 2013</w:t>
            </w:r>
          </w:p>
        </w:tc>
        <w:tc>
          <w:tcPr>
            <w:tcW w:w="12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169,379</w:t>
            </w:r>
          </w:p>
        </w:tc>
        <w:tc>
          <w:tcPr>
            <w:tcW w:w="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800"/>
              <w:spacing w:after="0" w:line="180" w:lineRule="exact"/>
              <w:rPr>
                <w:sz w:val="20"/>
                <w:szCs w:val="20"/>
                <w:color w:val="auto"/>
              </w:rPr>
            </w:pPr>
            <w:r>
              <w:rPr>
                <w:rFonts w:ascii="Arial" w:cs="Arial" w:eastAsia="Arial" w:hAnsi="Arial"/>
                <w:sz w:val="17"/>
                <w:szCs w:val="17"/>
                <w:color w:val="auto"/>
              </w:rPr>
              <w:t>2.67</w:t>
            </w:r>
          </w:p>
        </w:tc>
        <w:tc>
          <w:tcPr>
            <w:tcW w:w="116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January 2, 2013</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307</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2.67</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January 7, 2013</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2.72</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January 14, 2013</w:t>
            </w:r>
          </w:p>
        </w:tc>
        <w:tc>
          <w:tcPr>
            <w:tcW w:w="13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41,152</w:t>
            </w: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2.72</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January 28, 2013</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616</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2.67</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February 10, 2013</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617</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2.67</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February 11, 2013</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1,028</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2.67</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March 10, 2013</w:t>
            </w:r>
          </w:p>
        </w:tc>
        <w:tc>
          <w:tcPr>
            <w:tcW w:w="13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30,864</w:t>
            </w: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2.62</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April 1, 2013</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154</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2.62</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April 25, 2013</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4,115</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2.62</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April 28, 2013</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1,028</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2.62</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June 16, 2013</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411</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2.67</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2.62</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August 1, 2013</w:t>
            </w:r>
          </w:p>
        </w:tc>
        <w:tc>
          <w:tcPr>
            <w:tcW w:w="13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42,592</w:t>
            </w: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9.76</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9.42</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January 14, 2014</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157,148</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10.78</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9.86</w:t>
            </w:r>
          </w:p>
        </w:tc>
        <w:tc>
          <w:tcPr>
            <w:tcW w:w="11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9.86</w:t>
            </w: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February 2, 2014</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411</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10.78</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9.72</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194"/>
        </w:trPr>
        <w:tc>
          <w:tcPr>
            <w:tcW w:w="4240" w:type="dxa"/>
            <w:vAlign w:val="bottom"/>
            <w:gridSpan w:val="2"/>
          </w:tcPr>
          <w:p>
            <w:pPr>
              <w:spacing w:after="0" w:line="194" w:lineRule="exact"/>
              <w:rPr>
                <w:sz w:val="20"/>
                <w:szCs w:val="20"/>
                <w:color w:val="auto"/>
              </w:rPr>
            </w:pPr>
            <w:r>
              <w:rPr>
                <w:rFonts w:ascii="Arial" w:cs="Arial" w:eastAsia="Arial" w:hAnsi="Arial"/>
                <w:sz w:val="17"/>
                <w:szCs w:val="17"/>
                <w:color w:val="auto"/>
              </w:rPr>
              <w:t>July 28, 2014</w:t>
            </w:r>
          </w:p>
        </w:tc>
        <w:tc>
          <w:tcPr>
            <w:tcW w:w="1260" w:type="dxa"/>
            <w:vAlign w:val="bottom"/>
          </w:tcPr>
          <w:p>
            <w:pPr>
              <w:jc w:val="right"/>
              <w:spacing w:after="0" w:line="194" w:lineRule="exact"/>
              <w:rPr>
                <w:sz w:val="20"/>
                <w:szCs w:val="20"/>
                <w:color w:val="auto"/>
              </w:rPr>
            </w:pPr>
            <w:r>
              <w:rPr>
                <w:rFonts w:ascii="Arial" w:cs="Arial" w:eastAsia="Arial" w:hAnsi="Arial"/>
                <w:sz w:val="17"/>
                <w:szCs w:val="17"/>
                <w:color w:val="auto"/>
              </w:rPr>
              <w:t>3,701</w:t>
            </w:r>
          </w:p>
        </w:tc>
        <w:tc>
          <w:tcPr>
            <w:tcW w:w="60" w:type="dxa"/>
            <w:vAlign w:val="bottom"/>
          </w:tcPr>
          <w:p>
            <w:pPr>
              <w:spacing w:after="0"/>
              <w:rPr>
                <w:sz w:val="16"/>
                <w:szCs w:val="16"/>
                <w:color w:val="auto"/>
              </w:rPr>
            </w:pPr>
          </w:p>
        </w:tc>
        <w:tc>
          <w:tcPr>
            <w:tcW w:w="19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11.22</w:t>
            </w:r>
          </w:p>
        </w:tc>
        <w:tc>
          <w:tcPr>
            <w:tcW w:w="780" w:type="dxa"/>
            <w:vAlign w:val="bottom"/>
          </w:tcPr>
          <w:p>
            <w:pPr>
              <w:spacing w:after="0"/>
              <w:rPr>
                <w:sz w:val="16"/>
                <w:szCs w:val="16"/>
                <w:color w:val="auto"/>
              </w:rPr>
            </w:pPr>
          </w:p>
        </w:tc>
        <w:tc>
          <w:tcPr>
            <w:tcW w:w="2000" w:type="dxa"/>
            <w:vAlign w:val="bottom"/>
            <w:gridSpan w:val="2"/>
          </w:tcPr>
          <w:p>
            <w:pPr>
              <w:jc w:val="right"/>
              <w:ind w:right="800"/>
              <w:spacing w:after="0" w:line="194" w:lineRule="exact"/>
              <w:rPr>
                <w:sz w:val="20"/>
                <w:szCs w:val="20"/>
                <w:color w:val="auto"/>
              </w:rPr>
            </w:pPr>
            <w:r>
              <w:rPr>
                <w:rFonts w:ascii="Arial" w:cs="Arial" w:eastAsia="Arial" w:hAnsi="Arial"/>
                <w:sz w:val="17"/>
                <w:szCs w:val="17"/>
                <w:color w:val="auto"/>
              </w:rPr>
              <w:t>10.40</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10.40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August 5, 2014</w:t>
            </w: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2,572</w:t>
            </w: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11.22</w:t>
            </w:r>
          </w:p>
        </w:tc>
        <w:tc>
          <w:tcPr>
            <w:tcW w:w="7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0"/>
              <w:spacing w:after="0" w:line="194" w:lineRule="exact"/>
              <w:rPr>
                <w:sz w:val="20"/>
                <w:szCs w:val="20"/>
                <w:color w:val="auto"/>
              </w:rPr>
            </w:pPr>
            <w:r>
              <w:rPr>
                <w:rFonts w:ascii="Arial" w:cs="Arial" w:eastAsia="Arial" w:hAnsi="Arial"/>
                <w:sz w:val="17"/>
                <w:szCs w:val="17"/>
                <w:color w:val="auto"/>
              </w:rPr>
              <w:t>10.25</w:t>
            </w:r>
          </w:p>
        </w:tc>
        <w:tc>
          <w:tcPr>
            <w:tcW w:w="10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396"/>
              <w:spacing w:after="0"/>
              <w:rPr>
                <w:sz w:val="20"/>
                <w:szCs w:val="20"/>
                <w:color w:val="auto"/>
              </w:rPr>
            </w:pPr>
            <w:r>
              <w:rPr>
                <w:rFonts w:ascii="Arial" w:cs="Arial" w:eastAsia="Arial" w:hAnsi="Arial"/>
                <w:sz w:val="17"/>
                <w:szCs w:val="17"/>
                <w:color w:val="auto"/>
              </w:rPr>
              <w:t>71</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The exercise prices of our options are denominated in Canadian dollars. Except as indicated above, the exercise prices in the chart above have been translated to U.S. dollars at the exchange rate in effect on the applicable grant date.</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The fair value determinations as of January 1, 2013 and June 30, 2013 were determined retrospectively by the Committee and our board of directors having considered and with reference to a report prepared by an independent third-party valuation firm utilizing the option pricing method, or OPM. In connection with the assessment, we performed a probability-weighted analysis of the different valuations expected for the common shares in the event that we complete an IPO as well as in the alternative. Such an analysis may be considered to be part of the Probability-Weighted Expected Return Method, or PWERM, methodology.</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OPM analyzes the value of each class of security by treating it as a call option on a portion of the future value of a business. Under this method, the common shares have value only if the funds available for distribution to shareholders exceed the value of the liquidation preference at the time of a liquidity event (for example, in a merger or sale), assuming the enterprise has funds available to make a liquidation preference meaningful and collectible by the shareholders. OPM values each equity class by creating a series of call options on our equity value, with exercise prices based on the liquidation preferences, participation rights, and strike prices of derivatives. This method is generally preferred when future outcomes are difficult to predict and dissolution or liquidation is not imminent.</w:t>
      </w:r>
    </w:p>
    <w:p>
      <w:pPr>
        <w:spacing w:after="0" w:line="11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With respect to our determination of fair value as of January 1, 2013, our board of directors determined the fair value with reference to the valuation report, which was prepared based on a blend of the income and market approach with a two-thirds weighting for the income approach and a one-third weighting for the market approach. We considered this weighting appropriate given our stage of development as it considers our projected growth rate and financial projections while considering the enterprise value for similar public companies. In the report, the equity value was allocated using a time to sale event of three years and time to IPO of one year, using a discount rate of 33.8%, determined, in part, with reference to a company-specific risk premium accounting for the fact that we had not, among other things: (i) completed clinical trials for our product candidates, (ii) received needed regulatory approvals for commercial sale in important markets and (iii) demonstrated large-scale commercial viability of our products. The report assumed volatility of 70% based on historical trading volatility for our peer group of companies. A discount for lack of marketability, to account for the illiquidity of the common shares, was applied to the indicated common share value to determine the fair value of the shares. The discount was 35% for the sale scenario and 10% for the IPO scenario. The discount for lack of marketability was determined based on qualitative factors such as our expectation of the timing of the liquidity event under both the sale and IPO scenarios, our ability to access additional capital and the resulting dilution, and the degree of risk in the biotechnology industry. Based on these factors, our board of directors concluded that our common shares had a fair value of $5.20 (CAD$5.15) per share on January 1, 2013.</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For our June 30, 2013 determination of fair value, we and our valuation firm considered a number of factors including:</w:t>
      </w:r>
    </w:p>
    <w:p>
      <w:pPr>
        <w:ind w:left="780" w:hanging="441"/>
        <w:spacing w:after="0" w:line="222" w:lineRule="auto"/>
        <w:tabs>
          <w:tab w:leader="none" w:pos="780" w:val="left"/>
        </w:tabs>
        <w:numPr>
          <w:ilvl w:val="0"/>
          <w:numId w:val="52"/>
        </w:numPr>
        <w:rPr>
          <w:rFonts w:ascii="Arial" w:cs="Arial" w:eastAsia="Arial" w:hAnsi="Arial"/>
          <w:sz w:val="26"/>
          <w:szCs w:val="26"/>
          <w:color w:val="auto"/>
          <w:vertAlign w:val="superscript"/>
        </w:rPr>
      </w:pPr>
      <w:r>
        <w:rPr>
          <w:rFonts w:ascii="Arial" w:cs="Arial" w:eastAsia="Arial" w:hAnsi="Arial"/>
          <w:sz w:val="17"/>
          <w:szCs w:val="17"/>
          <w:color w:val="auto"/>
        </w:rPr>
        <w:t>the improving market receptivity for early-stage biotechnology companies, which caused us to consider an IPO;</w:t>
      </w:r>
    </w:p>
    <w:p>
      <w:pPr>
        <w:spacing w:after="0" w:line="18"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the grant by the FDA of orphan drug designation to TV-45070;</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our decision to exercise our license option on XEN701 and commence IND-enabling studies for this product candidate;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2"/>
        </w:numPr>
        <w:rPr>
          <w:rFonts w:ascii="Arial" w:cs="Arial" w:eastAsia="Arial" w:hAnsi="Arial"/>
          <w:sz w:val="23"/>
          <w:szCs w:val="23"/>
          <w:color w:val="auto"/>
          <w:vertAlign w:val="superscript"/>
        </w:rPr>
      </w:pPr>
      <w:r>
        <w:rPr>
          <w:rFonts w:ascii="Arial" w:cs="Arial" w:eastAsia="Arial" w:hAnsi="Arial"/>
          <w:sz w:val="15"/>
          <w:szCs w:val="15"/>
          <w:color w:val="auto"/>
        </w:rPr>
        <w:t>progress towards our IPO, including engagement of investment bankers, lawyers and accountants and our initial organizational meeting.</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our June 30, 2013 valuation, we estimated enterprise value using a blend of the income and market approaches with a two-thirds weighting for the income approach and a one-third weighting for the market approach, as in our January 1, 2013 valuation. We adjusted our valuation model to increase the probability of an IPO from 30% to 50% to account for an increased probability of an IPO scenario, in light of continued favorable market conditions and the progress we achieved towards a potential initial public offering of our common shares. Additionally, we discounted the common shares using a discount rate of 24.3% and reduced the discount for lack of marketability for the IPO scenario from 10% to 5% given that we believed that we were moving close to a potential exit event through an IPO. We believe that the reduction in discount rate for lack of marketability from the valuation as at January 1, 2013 was consistent with the reduction of the risk and other qualitative factors. We reduced the expected time to IPO from 12</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4"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months to 6 months for this valuation while maintaining the expected time to sale scenario at three years. We assumed volatility remained at 70% as in the prior valuation.</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Based on the revised assumptions underlying the valuation model and the changes in our business and in the market values of early-stage biotechnology companies, as well as the impact of an increasing enterprise value on the relative value of our common shares as compared to our convertible preferred shares, the Committee and our board of directors, together with management input, determined that the fair value of our common shares had increased to $9.28 (CAD$9.76) per share as of June 30, 2013. For financial reporting purposes, given the lack of company milestones in the second quarter of 2013 that would be expected to materially influence common share value, and given the fact that the concentration of IPO preparation activities and market receptivity improvement occurred in the second quarter of 2013, we conservatively applied this $9.28 (CAD$9.76) value for computation of stock-based compensation expense to our option grants between April 1, 2013 and June 30, 2013. In connection with the stock option grant on August 1, 2013, our board of directors determined that there had been no material change to the fair value of our common shares as of such date.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option grants from August 2, 2013 to December 31, 2013.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For our December 31, 2013 determination of fair value, we and our valuation firm considered a number of factors including:</w:t>
      </w:r>
    </w:p>
    <w:p>
      <w:pPr>
        <w:spacing w:after="0" w:line="30" w:lineRule="exact"/>
        <w:rPr>
          <w:sz w:val="20"/>
          <w:szCs w:val="20"/>
          <w:color w:val="auto"/>
        </w:rPr>
      </w:pPr>
    </w:p>
    <w:p>
      <w:pPr>
        <w:ind w:left="780" w:hanging="441"/>
        <w:spacing w:after="0"/>
        <w:tabs>
          <w:tab w:leader="none" w:pos="780" w:val="left"/>
        </w:tabs>
        <w:numPr>
          <w:ilvl w:val="0"/>
          <w:numId w:val="53"/>
        </w:numPr>
        <w:rPr>
          <w:rFonts w:ascii="Arial" w:cs="Arial" w:eastAsia="Arial" w:hAnsi="Arial"/>
          <w:sz w:val="26"/>
          <w:szCs w:val="26"/>
          <w:color w:val="auto"/>
          <w:vertAlign w:val="superscript"/>
        </w:rPr>
      </w:pPr>
      <w:r>
        <w:rPr>
          <w:rFonts w:ascii="Arial" w:cs="Arial" w:eastAsia="Arial" w:hAnsi="Arial"/>
          <w:sz w:val="17"/>
          <w:szCs w:val="17"/>
          <w:color w:val="auto"/>
        </w:rPr>
        <w:t>the general market receptivity for early-stage biotechnology companies;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3"/>
        </w:numPr>
        <w:rPr>
          <w:rFonts w:ascii="Arial" w:cs="Arial" w:eastAsia="Arial" w:hAnsi="Arial"/>
          <w:sz w:val="23"/>
          <w:szCs w:val="23"/>
          <w:color w:val="auto"/>
          <w:vertAlign w:val="superscript"/>
        </w:rPr>
      </w:pPr>
      <w:r>
        <w:rPr>
          <w:rFonts w:ascii="Arial" w:cs="Arial" w:eastAsia="Arial" w:hAnsi="Arial"/>
          <w:sz w:val="15"/>
          <w:szCs w:val="15"/>
          <w:color w:val="auto"/>
        </w:rPr>
        <w:t>Teva filing an IND with the FDA for the commencement of Phase 2b study for OA;</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3"/>
        </w:numPr>
        <w:rPr>
          <w:rFonts w:ascii="Arial" w:cs="Arial" w:eastAsia="Arial" w:hAnsi="Arial"/>
          <w:sz w:val="23"/>
          <w:szCs w:val="23"/>
          <w:color w:val="auto"/>
          <w:vertAlign w:val="superscript"/>
        </w:rPr>
      </w:pPr>
      <w:r>
        <w:rPr>
          <w:rFonts w:ascii="Arial" w:cs="Arial" w:eastAsia="Arial" w:hAnsi="Arial"/>
          <w:sz w:val="15"/>
          <w:szCs w:val="15"/>
          <w:color w:val="auto"/>
        </w:rPr>
        <w:t>Genentech advancing GDC-0276 into IND-enabling studies;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3"/>
        </w:numPr>
        <w:rPr>
          <w:rFonts w:ascii="Arial" w:cs="Arial" w:eastAsia="Arial" w:hAnsi="Arial"/>
          <w:sz w:val="23"/>
          <w:szCs w:val="23"/>
          <w:color w:val="auto"/>
          <w:vertAlign w:val="superscript"/>
        </w:rPr>
      </w:pPr>
      <w:r>
        <w:rPr>
          <w:rFonts w:ascii="Arial" w:cs="Arial" w:eastAsia="Arial" w:hAnsi="Arial"/>
          <w:sz w:val="15"/>
          <w:szCs w:val="15"/>
          <w:color w:val="auto"/>
        </w:rPr>
        <w:t>a decision to discontinue the development of XEN701;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3"/>
        </w:numPr>
        <w:rPr>
          <w:rFonts w:ascii="Arial" w:cs="Arial" w:eastAsia="Arial" w:hAnsi="Arial"/>
          <w:sz w:val="23"/>
          <w:szCs w:val="23"/>
          <w:color w:val="auto"/>
          <w:vertAlign w:val="superscript"/>
        </w:rPr>
      </w:pPr>
      <w:r>
        <w:rPr>
          <w:rFonts w:ascii="Arial" w:cs="Arial" w:eastAsia="Arial" w:hAnsi="Arial"/>
          <w:sz w:val="15"/>
          <w:szCs w:val="15"/>
          <w:color w:val="auto"/>
        </w:rPr>
        <w:t>progress towards our IPO.</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our December 31, 2013 valuation, we estimated enterprise value using a blend of the income and market approaches. The probability of an IPO increased from 50% to 60% from the June 30, 2013 valuation. We discounted the common shares using a discount rate of 25.7% and increased the discount for lack of marketability for the IPO scenario from 5% to 10%, given that we had increased the expected time to IPO from six months to nine months from the valuation date and feedback from our advisors that IPO market conditions were not as strong as earlier in the year. We assumed volatility remained at 70% as in the prior valuation. The expected time to sale scenario remained at three years.</w:t>
      </w:r>
    </w:p>
    <w:p>
      <w:pPr>
        <w:spacing w:after="0" w:line="11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Based on the revised assumptions underlying the valuation model and the changes in our business and in the market values of early-stage biotechnology companies, the Committee and our board of directors, together with management input, determined that the fair value of our common shares was equal to $10.15 (CAD$10.78) per share as of December 31, 2013. We applied this $10.15 (CAD$10.78) value for computation of stock-based compensation expense to our option grants between December 31, 2013 and February 2, 2014, as our board of directors determined that there had been no material change to the fair value of our common shares between December 31, 2013 and the dates of the option grants.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option grants from February 3, 2014 to June 30, 2014.</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For our June 30, 2014 determination of fair value, we and our valuation firm considered a number of factors including:</w:t>
      </w:r>
    </w:p>
    <w:p>
      <w:pPr>
        <w:ind w:left="780" w:hanging="441"/>
        <w:spacing w:after="0" w:line="181" w:lineRule="auto"/>
        <w:tabs>
          <w:tab w:leader="none" w:pos="780" w:val="left"/>
        </w:tabs>
        <w:numPr>
          <w:ilvl w:val="0"/>
          <w:numId w:val="54"/>
        </w:numPr>
        <w:rPr>
          <w:rFonts w:ascii="Arial" w:cs="Arial" w:eastAsia="Arial" w:hAnsi="Arial"/>
          <w:sz w:val="26"/>
          <w:szCs w:val="26"/>
          <w:color w:val="auto"/>
          <w:vertAlign w:val="superscript"/>
        </w:rPr>
      </w:pPr>
      <w:r>
        <w:rPr>
          <w:rFonts w:ascii="Arial" w:cs="Arial" w:eastAsia="Arial" w:hAnsi="Arial"/>
          <w:sz w:val="17"/>
          <w:szCs w:val="17"/>
          <w:color w:val="auto"/>
        </w:rPr>
        <w:t>the general market receptivity for early-stage biotechnology companies and the IPO market in general;</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Teva commencing the Phase 2b study for OA;</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Genentech advancing GDC-0276 towards an IND filing;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54"/>
        </w:numPr>
        <w:rPr>
          <w:rFonts w:ascii="Arial" w:cs="Arial" w:eastAsia="Arial" w:hAnsi="Arial"/>
          <w:sz w:val="23"/>
          <w:szCs w:val="23"/>
          <w:color w:val="auto"/>
          <w:vertAlign w:val="superscript"/>
        </w:rPr>
      </w:pPr>
      <w:r>
        <w:rPr>
          <w:rFonts w:ascii="Arial" w:cs="Arial" w:eastAsia="Arial" w:hAnsi="Arial"/>
          <w:sz w:val="15"/>
          <w:szCs w:val="15"/>
          <w:color w:val="auto"/>
        </w:rPr>
        <w:t>progress towards our IPO.</w:t>
      </w:r>
    </w:p>
    <w:p>
      <w:pPr>
        <w:spacing w:after="0" w:line="10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For our June 30, 2014 valuation, we estimated enterprise value using a blend of the income and market approaches. The probability of an IPO remained unchanged from the December 30, 2013 valuation at 60%. We discounted the common shares using a discount rate of 19.4% and decreased the discount for lack of marketability for the IPO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4"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scenario from 10% to 5%, given that we had decreased the expected time to IPO from nine months to five months from the valuation date. We assumed volatility remained at 70% as in the prior valuation. The expected time to sale scenario remained at three years.</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Based on the revised assumptions underlying the valuation model and the changes in our business and in the market values of early-stage biotechnology companies, the Committee and our board of directors, together with management input, determined that the fair value of our common shares was equal to $10.54 (CAD$11.22) per share as of June 30, 2014.</w:t>
      </w:r>
    </w:p>
    <w:p>
      <w:pPr>
        <w:spacing w:after="0" w:line="108"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Based on the initial public offering price of $9.00 per common share, the aggregate intrinsic value of stock options outstanding as of June 30, 2014 was $6.7 million, of which $5.6 million relate to vested options and $1.1 million to unvested options.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share-based compensation expense recorded for the periods shown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SIX MONTHS ENDED JUNE 30</w:t>
            </w:r>
          </w:p>
        </w:tc>
      </w:tr>
      <w:tr>
        <w:trPr>
          <w:trHeight w:val="135"/>
        </w:trPr>
        <w:tc>
          <w:tcPr>
            <w:tcW w:w="3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4"/>
              <w:spacing w:after="0" w:line="135"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1"/>
              <w:spacing w:after="0" w:line="135" w:lineRule="exact"/>
              <w:rPr>
                <w:sz w:val="20"/>
                <w:szCs w:val="20"/>
                <w:color w:val="auto"/>
              </w:rPr>
            </w:pPr>
            <w:r>
              <w:rPr>
                <w:rFonts w:ascii="Arial" w:cs="Arial" w:eastAsia="Arial" w:hAnsi="Arial"/>
                <w:sz w:val="13"/>
                <w:szCs w:val="13"/>
                <w:b w:val="1"/>
                <w:bCs w:val="1"/>
                <w:color w:val="auto"/>
              </w:rPr>
              <w:t>2012</w:t>
            </w: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1"/>
              <w:spacing w:after="0" w:line="135" w:lineRule="exact"/>
              <w:rPr>
                <w:sz w:val="20"/>
                <w:szCs w:val="20"/>
                <w:color w:val="auto"/>
              </w:rPr>
            </w:pPr>
            <w:r>
              <w:rPr>
                <w:rFonts w:ascii="Arial" w:cs="Arial" w:eastAsia="Arial" w:hAnsi="Arial"/>
                <w:sz w:val="13"/>
                <w:szCs w:val="13"/>
                <w:b w:val="1"/>
                <w:bCs w:val="1"/>
                <w:color w:val="auto"/>
              </w:rPr>
              <w:t>2013</w:t>
            </w:r>
          </w:p>
        </w:tc>
        <w:tc>
          <w:tcPr>
            <w:tcW w:w="6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6"/>
              <w:spacing w:after="0" w:line="135" w:lineRule="exact"/>
              <w:rPr>
                <w:sz w:val="20"/>
                <w:szCs w:val="20"/>
                <w:color w:val="auto"/>
              </w:rPr>
            </w:pPr>
            <w:r>
              <w:rPr>
                <w:rFonts w:ascii="Arial" w:cs="Arial" w:eastAsia="Arial" w:hAnsi="Arial"/>
                <w:sz w:val="13"/>
                <w:szCs w:val="13"/>
                <w:b w:val="1"/>
                <w:bCs w:val="1"/>
                <w:color w:val="auto"/>
              </w:rPr>
              <w:t>2013</w:t>
            </w:r>
          </w:p>
        </w:tc>
        <w:tc>
          <w:tcPr>
            <w:tcW w:w="6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81"/>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3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rPr>
              <w:t>(unaudited)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37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18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145</w:t>
            </w:r>
          </w:p>
        </w:tc>
        <w:tc>
          <w:tcPr>
            <w:tcW w:w="4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w:t>
            </w:r>
          </w:p>
        </w:tc>
        <w:tc>
          <w:tcPr>
            <w:tcW w:w="7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147</w:t>
            </w:r>
          </w:p>
        </w:tc>
        <w:tc>
          <w:tcPr>
            <w:tcW w:w="7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96</w:t>
            </w:r>
          </w:p>
        </w:tc>
      </w:tr>
      <w:tr>
        <w:trPr>
          <w:trHeight w:val="194"/>
        </w:trPr>
        <w:tc>
          <w:tcPr>
            <w:tcW w:w="3740" w:type="dxa"/>
            <w:vAlign w:val="bottom"/>
          </w:tcPr>
          <w:p>
            <w:pPr>
              <w:spacing w:after="0" w:line="194" w:lineRule="exact"/>
              <w:rPr>
                <w:sz w:val="20"/>
                <w:szCs w:val="20"/>
                <w:color w:val="auto"/>
              </w:rPr>
            </w:pPr>
            <w:r>
              <w:rPr>
                <w:rFonts w:ascii="Arial" w:cs="Arial" w:eastAsia="Arial" w:hAnsi="Arial"/>
                <w:sz w:val="17"/>
                <w:szCs w:val="17"/>
                <w:color w:val="auto"/>
              </w:rPr>
              <w:t>General and administrative</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290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294</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428</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203</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277</w:t>
            </w:r>
          </w:p>
        </w:tc>
        <w:tc>
          <w:tcPr>
            <w:tcW w:w="100" w:type="dxa"/>
            <w:vAlign w:val="bottom"/>
          </w:tcPr>
          <w:p>
            <w:pPr>
              <w:spacing w:after="0"/>
              <w:rPr>
                <w:sz w:val="16"/>
                <w:szCs w:val="16"/>
                <w:color w:val="auto"/>
              </w:rPr>
            </w:pPr>
          </w:p>
        </w:tc>
      </w:tr>
      <w:tr>
        <w:trPr>
          <w:trHeight w:val="26"/>
        </w:trPr>
        <w:tc>
          <w:tcPr>
            <w:tcW w:w="3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374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435</w:t>
            </w:r>
          </w:p>
        </w:tc>
        <w:tc>
          <w:tcPr>
            <w:tcW w:w="4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406</w:t>
            </w:r>
          </w:p>
        </w:tc>
        <w:tc>
          <w:tcPr>
            <w:tcW w:w="7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575</w:t>
            </w:r>
          </w:p>
        </w:tc>
        <w:tc>
          <w:tcPr>
            <w:tcW w:w="7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273</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6"/>
                <w:szCs w:val="16"/>
                <w:color w:val="auto"/>
              </w:rPr>
            </w:pPr>
          </w:p>
        </w:tc>
      </w:tr>
      <w:tr>
        <w:trPr>
          <w:trHeight w:val="20"/>
        </w:trPr>
        <w:tc>
          <w:tcPr>
            <w:tcW w:w="3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37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Six Months Ended June 30, 2013 and 2014</w:t>
      </w:r>
    </w:p>
    <w:p>
      <w:pPr>
        <w:spacing w:after="0" w:line="4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following table summarizes the results of our operations for the six months ended June 30, 2013 and 2014, together with changes in those items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gridSpan w:val="6"/>
            <w:vMerge w:val="restart"/>
          </w:tcPr>
          <w:p>
            <w:pPr>
              <w:jc w:val="right"/>
              <w:ind w:right="1300"/>
              <w:spacing w:after="0"/>
              <w:rPr>
                <w:sz w:val="20"/>
                <w:szCs w:val="20"/>
                <w:color w:val="auto"/>
              </w:rPr>
            </w:pPr>
            <w:r>
              <w:rPr>
                <w:rFonts w:ascii="Arial" w:cs="Arial" w:eastAsia="Arial" w:hAnsi="Arial"/>
                <w:sz w:val="13"/>
                <w:szCs w:val="13"/>
                <w:b w:val="1"/>
                <w:bCs w:val="1"/>
                <w:color w:val="auto"/>
              </w:rPr>
              <w:t>SIX MONTHS ENDED JUNE 30,</w:t>
            </w:r>
          </w:p>
        </w:tc>
        <w:tc>
          <w:tcPr>
            <w:tcW w:w="20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2013 VS. 2014</w:t>
            </w: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20"/>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8"/>
              <w:spacing w:after="0"/>
              <w:rPr>
                <w:sz w:val="20"/>
                <w:szCs w:val="20"/>
                <w:color w:val="auto"/>
              </w:rPr>
            </w:pPr>
            <w:r>
              <w:rPr>
                <w:rFonts w:ascii="Arial" w:cs="Arial" w:eastAsia="Arial" w:hAnsi="Arial"/>
                <w:sz w:val="13"/>
                <w:szCs w:val="13"/>
                <w:b w:val="1"/>
                <w:bCs w:val="1"/>
                <w:color w:val="auto"/>
              </w:rPr>
              <w:t>2014</w:t>
            </w:r>
          </w:p>
        </w:tc>
        <w:tc>
          <w:tcPr>
            <w:tcW w:w="9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INCREASE/(DECREASE)</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(unaudited)</w:t>
            </w:r>
          </w:p>
        </w:tc>
        <w:tc>
          <w:tcPr>
            <w:tcW w:w="6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Collaboration revenue</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10,985</w:t>
            </w:r>
          </w:p>
        </w:tc>
        <w:tc>
          <w:tcPr>
            <w:tcW w:w="10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920"/>
              <w:spacing w:after="0" w:line="194" w:lineRule="exact"/>
              <w:rPr>
                <w:sz w:val="20"/>
                <w:szCs w:val="20"/>
                <w:color w:val="auto"/>
              </w:rPr>
            </w:pPr>
            <w:r>
              <w:rPr>
                <w:rFonts w:ascii="Arial" w:cs="Arial" w:eastAsia="Arial" w:hAnsi="Arial"/>
                <w:sz w:val="17"/>
                <w:szCs w:val="17"/>
                <w:color w:val="auto"/>
              </w:rPr>
              <w:t>10,297</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Arial" w:cs="Arial" w:eastAsia="Arial" w:hAnsi="Arial"/>
                <w:sz w:val="17"/>
                <w:szCs w:val="17"/>
                <w:color w:val="auto"/>
              </w:rPr>
              <w:t>Royalties</w:t>
            </w:r>
          </w:p>
        </w:tc>
        <w:tc>
          <w:tcPr>
            <w:tcW w:w="200" w:type="dxa"/>
            <w:vAlign w:val="bottom"/>
          </w:tcPr>
          <w:p>
            <w:pPr>
              <w:spacing w:after="0"/>
              <w:rPr>
                <w:sz w:val="16"/>
                <w:szCs w:val="16"/>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920"/>
              <w:spacing w:after="0" w:line="194" w:lineRule="exact"/>
              <w:rPr>
                <w:sz w:val="20"/>
                <w:szCs w:val="20"/>
                <w:color w:val="auto"/>
              </w:rPr>
            </w:pPr>
            <w:r>
              <w:rPr>
                <w:rFonts w:ascii="Arial" w:cs="Arial" w:eastAsia="Arial" w:hAnsi="Arial"/>
                <w:sz w:val="17"/>
                <w:szCs w:val="17"/>
                <w:color w:val="auto"/>
              </w:rPr>
              <w:t>2</w:t>
            </w:r>
          </w:p>
        </w:tc>
        <w:tc>
          <w:tcPr>
            <w:tcW w:w="200" w:type="dxa"/>
            <w:vAlign w:val="bottom"/>
          </w:tcPr>
          <w:p>
            <w:pPr>
              <w:spacing w:after="0"/>
              <w:rPr>
                <w:sz w:val="16"/>
                <w:szCs w:val="16"/>
                <w:color w:val="auto"/>
              </w:rPr>
            </w:pPr>
          </w:p>
        </w:tc>
        <w:tc>
          <w:tcPr>
            <w:tcW w:w="14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 expenses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6,983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5,099</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2,828</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2,790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300"/>
              <w:spacing w:after="0" w:line="194" w:lineRule="exact"/>
              <w:rPr>
                <w:sz w:val="20"/>
                <w:szCs w:val="20"/>
                <w:color w:val="auto"/>
              </w:rPr>
            </w:pPr>
            <w:r>
              <w:rPr>
                <w:rFonts w:ascii="Arial" w:cs="Arial" w:eastAsia="Arial" w:hAnsi="Arial"/>
                <w:sz w:val="17"/>
                <w:szCs w:val="17"/>
                <w:color w:val="auto"/>
              </w:rPr>
              <w:t>Interest income</w:t>
            </w:r>
          </w:p>
        </w:tc>
        <w:tc>
          <w:tcPr>
            <w:tcW w:w="200" w:type="dxa"/>
            <w:vAlign w:val="bottom"/>
          </w:tcPr>
          <w:p>
            <w:pPr>
              <w:spacing w:after="0"/>
              <w:rPr>
                <w:sz w:val="16"/>
                <w:szCs w:val="16"/>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76</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920"/>
              <w:spacing w:after="0" w:line="194" w:lineRule="exact"/>
              <w:rPr>
                <w:sz w:val="20"/>
                <w:szCs w:val="20"/>
                <w:color w:val="auto"/>
              </w:rPr>
            </w:pPr>
            <w:r>
              <w:rPr>
                <w:rFonts w:ascii="Arial" w:cs="Arial" w:eastAsia="Arial" w:hAnsi="Arial"/>
                <w:sz w:val="17"/>
                <w:szCs w:val="17"/>
                <w:color w:val="auto"/>
              </w:rPr>
              <w:t>278</w:t>
            </w: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202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Interest (expense)</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(41)</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9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94"/>
        </w:trPr>
        <w:tc>
          <w:tcPr>
            <w:tcW w:w="6240" w:type="dxa"/>
            <w:vAlign w:val="bottom"/>
          </w:tcPr>
          <w:p>
            <w:pPr>
              <w:ind w:left="300"/>
              <w:spacing w:after="0" w:line="194" w:lineRule="exact"/>
              <w:rPr>
                <w:sz w:val="20"/>
                <w:szCs w:val="20"/>
                <w:color w:val="auto"/>
              </w:rPr>
            </w:pPr>
            <w:r>
              <w:rPr>
                <w:rFonts w:ascii="Arial" w:cs="Arial" w:eastAsia="Arial" w:hAnsi="Arial"/>
                <w:sz w:val="17"/>
                <w:szCs w:val="17"/>
                <w:color w:val="auto"/>
              </w:rPr>
              <w:t>Foreign exchange gain (loss)</w:t>
            </w: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1,920</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860"/>
              <w:spacing w:after="0" w:line="194" w:lineRule="exact"/>
              <w:rPr>
                <w:sz w:val="20"/>
                <w:szCs w:val="20"/>
                <w:color w:val="auto"/>
              </w:rPr>
            </w:pPr>
            <w:r>
              <w:rPr>
                <w:rFonts w:ascii="Arial" w:cs="Arial" w:eastAsia="Arial" w:hAnsi="Arial"/>
                <w:sz w:val="17"/>
                <w:szCs w:val="17"/>
                <w:color w:val="auto"/>
              </w:rPr>
              <w:t>(85)</w:t>
            </w: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Gain (loss) on write-off and disposal of assets</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92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40" w:type="dxa"/>
            <w:vAlign w:val="bottom"/>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3,140</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2,603</w:t>
            </w:r>
          </w:p>
        </w:tc>
        <w:tc>
          <w:tcPr>
            <w:tcW w:w="9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42"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recognized revenue of $10.3 million for the six months ended June 30, 2014 compared to $11.0 million for the six months ended June 30, 2013, a decrease of $0.7 million. The decrease was primarily attributable to a $0.6 million decrease resulting from the change in the foreign exchange rate between the U.S. and Canadian dollar, a $0.2 million decrease in research funding from Genome BC as the agreement with Genome BC expired in late 2013 and a $0.1 million decrease in FTE funding from Teva. This was partially offset by the recognition of $0.2 million of the upfront payment received from Genentech for the pain genetics collaboration entered into in March 2014.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44"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42"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The following table summarizes our research and development expenses for the six months ended June 30, 2013 and 2014,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vMerge w:val="restart"/>
          </w:tcPr>
          <w:p>
            <w:pPr>
              <w:jc w:val="right"/>
              <w:ind w:right="299"/>
              <w:spacing w:after="0"/>
              <w:rPr>
                <w:sz w:val="20"/>
                <w:szCs w:val="20"/>
                <w:color w:val="auto"/>
              </w:rPr>
            </w:pPr>
            <w:r>
              <w:rPr>
                <w:rFonts w:ascii="Arial" w:cs="Arial" w:eastAsia="Arial" w:hAnsi="Arial"/>
                <w:sz w:val="13"/>
                <w:szCs w:val="13"/>
                <w:b w:val="1"/>
                <w:bCs w:val="1"/>
                <w:color w:val="auto"/>
              </w:rPr>
              <w:t>SIX MONTHS ENDED JUNE 30,</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gridSpan w:val="5"/>
            <w:vMerge w:val="continue"/>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2013 VS. 2014</w:t>
            </w:r>
          </w:p>
        </w:tc>
        <w:tc>
          <w:tcPr>
            <w:tcW w:w="0" w:type="dxa"/>
            <w:vAlign w:val="bottom"/>
          </w:tcPr>
          <w:p>
            <w:pPr>
              <w:spacing w:after="0"/>
              <w:rPr>
                <w:sz w:val="1"/>
                <w:szCs w:val="1"/>
                <w:color w:val="auto"/>
              </w:rPr>
            </w:pPr>
          </w:p>
        </w:tc>
      </w:tr>
      <w:tr>
        <w:trPr>
          <w:trHeight w:val="54"/>
        </w:trPr>
        <w:tc>
          <w:tcPr>
            <w:tcW w:w="6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22"/>
              <w:spacing w:after="0"/>
              <w:rPr>
                <w:sz w:val="20"/>
                <w:szCs w:val="20"/>
                <w:color w:val="auto"/>
              </w:rPr>
            </w:pPr>
            <w:r>
              <w:rPr>
                <w:rFonts w:ascii="Arial" w:cs="Arial" w:eastAsia="Arial" w:hAnsi="Arial"/>
                <w:sz w:val="13"/>
                <w:szCs w:val="13"/>
                <w:b w:val="1"/>
                <w:bCs w:val="1"/>
                <w:color w:val="auto"/>
              </w:rPr>
              <w:t>2013</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rPr>
                <w:sz w:val="20"/>
                <w:szCs w:val="20"/>
                <w:color w:val="auto"/>
              </w:rPr>
            </w:pPr>
            <w:r>
              <w:rPr>
                <w:rFonts w:ascii="Arial" w:cs="Arial" w:eastAsia="Arial" w:hAnsi="Arial"/>
                <w:sz w:val="13"/>
                <w:szCs w:val="13"/>
                <w:b w:val="1"/>
                <w:bCs w:val="1"/>
                <w:color w:val="auto"/>
              </w:rPr>
              <w:t>2014</w:t>
            </w:r>
          </w:p>
        </w:tc>
        <w:tc>
          <w:tcPr>
            <w:tcW w:w="92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INCREASE/(DECREASE)</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(unaudited)</w:t>
            </w:r>
          </w:p>
        </w:tc>
        <w:tc>
          <w:tcPr>
            <w:tcW w:w="6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Teva collaboration (TV-45070) expenses</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482</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534</w:t>
            </w:r>
          </w:p>
        </w:tc>
        <w:tc>
          <w:tcPr>
            <w:tcW w:w="1120" w:type="dxa"/>
            <w:vAlign w:val="bottom"/>
            <w:gridSpan w:val="2"/>
            <w:shd w:val="clear" w:color="auto" w:fill="CCEEFF"/>
          </w:tcPr>
          <w:p>
            <w:pPr>
              <w:ind w:left="920"/>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Arial" w:cs="Arial" w:eastAsia="Arial" w:hAnsi="Arial"/>
                <w:sz w:val="17"/>
                <w:szCs w:val="17"/>
                <w:color w:val="auto"/>
              </w:rPr>
              <w:t>Genentech collaboration (GDC-0276 and Genetics) expenses</w:t>
            </w: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2,358</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2,571</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213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collaboration expenses</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89</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Arial" w:cs="Arial" w:eastAsia="Arial" w:hAnsi="Arial"/>
                <w:sz w:val="17"/>
                <w:szCs w:val="17"/>
                <w:color w:val="auto"/>
              </w:rPr>
              <w:t>Preclinical and discovery program expenses</w:t>
            </w:r>
          </w:p>
        </w:tc>
        <w:tc>
          <w:tcPr>
            <w:tcW w:w="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4,054</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1,994</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(2,060)</w:t>
            </w: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research and development expenses</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6,983</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5,099</w:t>
            </w:r>
          </w:p>
        </w:tc>
        <w:tc>
          <w:tcPr>
            <w:tcW w:w="1120" w:type="dxa"/>
            <w:vAlign w:val="bottom"/>
            <w:gridSpan w:val="2"/>
            <w:shd w:val="clear" w:color="auto" w:fill="CCEEFF"/>
          </w:tcPr>
          <w:p>
            <w:pPr>
              <w:ind w:left="920"/>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Research and development expenses were $5.1 million for the six months ended June 30, 2014 as compared to $7.0 million for the six months ended June 30, 2013. The decrease of $1.9 million was primarily attributable to a $2.1 million decrease in preclinical and discovery program expenses consisting of a decrease of $3.0 million for XEN701 which was discontinued in late 2013, partially offset by an increase in spending of $0.9 million for our other early stage research programs. This decrease was partially offset by Genentech collaboration expenses which increased by $0.2 million primarily resulting from costs incurred for the pain genetics collaboration entered into in March 2014.</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42"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The following table summarizes our general and administrative expenses for the six months ended June 30, 2013 and 2014, together with changes in those items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vMerge w:val="restart"/>
          </w:tcPr>
          <w:p>
            <w:pPr>
              <w:jc w:val="center"/>
              <w:ind w:right="106"/>
              <w:spacing w:after="0"/>
              <w:rPr>
                <w:sz w:val="20"/>
                <w:szCs w:val="20"/>
                <w:color w:val="auto"/>
              </w:rPr>
            </w:pPr>
            <w:r>
              <w:rPr>
                <w:rFonts w:ascii="Arial" w:cs="Arial" w:eastAsia="Arial" w:hAnsi="Arial"/>
                <w:sz w:val="13"/>
                <w:szCs w:val="13"/>
                <w:b w:val="1"/>
                <w:bCs w:val="1"/>
                <w:color w:val="auto"/>
                <w:w w:val="98"/>
              </w:rPr>
              <w:t>SIX MONTHS ENDED JUNE 30,</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c>
          <w:tcPr>
            <w:tcW w:w="0" w:type="dxa"/>
            <w:vAlign w:val="bottom"/>
          </w:tcPr>
          <w:p>
            <w:pPr>
              <w:spacing w:after="0"/>
              <w:rPr>
                <w:sz w:val="1"/>
                <w:szCs w:val="1"/>
                <w:color w:val="auto"/>
              </w:rPr>
            </w:pPr>
          </w:p>
        </w:tc>
      </w:tr>
      <w:tr>
        <w:trPr>
          <w:trHeight w:val="68"/>
        </w:trPr>
        <w:tc>
          <w:tcPr>
            <w:tcW w:w="6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2013 VS. 2014</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89"/>
              <w:spacing w:after="0"/>
              <w:rPr>
                <w:sz w:val="20"/>
                <w:szCs w:val="20"/>
                <w:color w:val="auto"/>
              </w:rPr>
            </w:pPr>
            <w:r>
              <w:rPr>
                <w:rFonts w:ascii="Arial" w:cs="Arial" w:eastAsia="Arial" w:hAnsi="Arial"/>
                <w:sz w:val="13"/>
                <w:szCs w:val="13"/>
                <w:b w:val="1"/>
                <w:bCs w:val="1"/>
                <w:color w:val="auto"/>
              </w:rPr>
              <w:t>2013</w:t>
            </w:r>
          </w:p>
        </w:tc>
        <w:tc>
          <w:tcPr>
            <w:tcW w:w="110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Arial" w:cs="Arial" w:eastAsia="Arial" w:hAnsi="Arial"/>
                <w:sz w:val="13"/>
                <w:szCs w:val="13"/>
                <w:b w:val="1"/>
                <w:bCs w:val="1"/>
                <w:color w:val="auto"/>
              </w:rPr>
              <w:t>2014</w:t>
            </w:r>
          </w:p>
        </w:tc>
        <w:tc>
          <w:tcPr>
            <w:tcW w:w="980" w:type="dxa"/>
            <w:vAlign w:val="bottom"/>
          </w:tcPr>
          <w:p>
            <w:pPr>
              <w:spacing w:after="0"/>
              <w:rPr>
                <w:sz w:val="13"/>
                <w:szCs w:val="13"/>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INCREASE/(DECREASE)</w:t>
            </w:r>
          </w:p>
        </w:tc>
        <w:tc>
          <w:tcPr>
            <w:tcW w:w="0" w:type="dxa"/>
            <w:vAlign w:val="bottom"/>
          </w:tcPr>
          <w:p>
            <w:pPr>
              <w:spacing w:after="0"/>
              <w:rPr>
                <w:sz w:val="1"/>
                <w:szCs w:val="1"/>
                <w:color w:val="auto"/>
              </w:rPr>
            </w:pPr>
          </w:p>
        </w:tc>
      </w:tr>
      <w:tr>
        <w:trPr>
          <w:trHeight w:val="135"/>
        </w:trPr>
        <w:tc>
          <w:tcPr>
            <w:tcW w:w="6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06"/>
              <w:spacing w:after="0" w:line="135" w:lineRule="exact"/>
              <w:rPr>
                <w:sz w:val="20"/>
                <w:szCs w:val="20"/>
                <w:color w:val="auto"/>
              </w:rPr>
            </w:pPr>
            <w:r>
              <w:rPr>
                <w:rFonts w:ascii="Arial" w:cs="Arial" w:eastAsia="Arial" w:hAnsi="Arial"/>
                <w:sz w:val="13"/>
                <w:szCs w:val="13"/>
                <w:b w:val="1"/>
                <w:bCs w:val="1"/>
                <w:color w:val="auto"/>
                <w:w w:val="98"/>
              </w:rPr>
              <w:t>(unaudited)</w:t>
            </w:r>
          </w:p>
        </w:tc>
        <w:tc>
          <w:tcPr>
            <w:tcW w:w="66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General and administrative expenses</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2,828</w:t>
            </w:r>
          </w:p>
        </w:tc>
        <w:tc>
          <w:tcPr>
            <w:tcW w:w="1100" w:type="dxa"/>
            <w:vAlign w:val="bottom"/>
            <w:shd w:val="clear" w:color="auto" w:fill="CCEEFF"/>
          </w:tcPr>
          <w:p>
            <w:pPr>
              <w:jc w:val="right"/>
              <w:ind w:right="26"/>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2,790</w:t>
            </w:r>
          </w:p>
        </w:tc>
        <w:tc>
          <w:tcPr>
            <w:tcW w:w="1180" w:type="dxa"/>
            <w:vAlign w:val="bottom"/>
            <w:gridSpan w:val="2"/>
            <w:shd w:val="clear" w:color="auto" w:fill="CCEEFF"/>
          </w:tcPr>
          <w:p>
            <w:pPr>
              <w:jc w:val="right"/>
              <w:ind w:right="55"/>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29"/>
        </w:trPr>
        <w:tc>
          <w:tcPr>
            <w:tcW w:w="6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860"/>
        <w:spacing w:after="0" w:line="324" w:lineRule="auto"/>
        <w:rPr>
          <w:sz w:val="20"/>
          <w:szCs w:val="20"/>
          <w:color w:val="auto"/>
        </w:rPr>
      </w:pPr>
      <w:r>
        <w:rPr>
          <w:rFonts w:ascii="Arial" w:cs="Arial" w:eastAsia="Arial" w:hAnsi="Arial"/>
          <w:sz w:val="17"/>
          <w:szCs w:val="17"/>
          <w:color w:val="auto"/>
        </w:rPr>
        <w:t xml:space="preserve">General and administrative expenses were $2.8 million for both the six months ended June 30, 2014 and the six months ended June 30, 2013. </w:t>
      </w:r>
      <w:r>
        <w:rPr>
          <w:rFonts w:ascii="Arial" w:cs="Arial" w:eastAsia="Arial" w:hAnsi="Arial"/>
          <w:sz w:val="17"/>
          <w:szCs w:val="17"/>
          <w:i w:val="1"/>
          <w:iCs w:val="1"/>
          <w:color w:val="auto"/>
        </w:rPr>
        <w:t>Other Income (Expense)</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 summarizes our other income (expense) for the six months ended June 30, 2013 and 2014,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SIX MONTHS ENDED JUNE 30,</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c>
          <w:tcPr>
            <w:tcW w:w="0" w:type="dxa"/>
            <w:vAlign w:val="bottom"/>
          </w:tcPr>
          <w:p>
            <w:pPr>
              <w:spacing w:after="0"/>
              <w:rPr>
                <w:sz w:val="1"/>
                <w:szCs w:val="1"/>
                <w:color w:val="auto"/>
              </w:rPr>
            </w:pPr>
          </w:p>
        </w:tc>
      </w:tr>
      <w:tr>
        <w:trPr>
          <w:trHeight w:val="68"/>
        </w:trPr>
        <w:tc>
          <w:tcPr>
            <w:tcW w:w="6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2013 VS. 2014</w:t>
            </w: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69"/>
              <w:spacing w:after="0"/>
              <w:rPr>
                <w:sz w:val="20"/>
                <w:szCs w:val="20"/>
                <w:color w:val="auto"/>
              </w:rPr>
            </w:pPr>
            <w:r>
              <w:rPr>
                <w:rFonts w:ascii="Arial" w:cs="Arial" w:eastAsia="Arial" w:hAnsi="Arial"/>
                <w:sz w:val="13"/>
                <w:szCs w:val="13"/>
                <w:b w:val="1"/>
                <w:bCs w:val="1"/>
                <w:color w:val="auto"/>
              </w:rPr>
              <w:t>2013</w:t>
            </w: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2014</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INCREASE/(DECREASE)</w:t>
            </w: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649"/>
              <w:spacing w:after="0" w:line="135" w:lineRule="exact"/>
              <w:rPr>
                <w:sz w:val="20"/>
                <w:szCs w:val="20"/>
                <w:color w:val="auto"/>
              </w:rPr>
            </w:pPr>
            <w:r>
              <w:rPr>
                <w:rFonts w:ascii="Arial" w:cs="Arial" w:eastAsia="Arial" w:hAnsi="Arial"/>
                <w:sz w:val="13"/>
                <w:szCs w:val="13"/>
                <w:b w:val="1"/>
                <w:bCs w:val="1"/>
                <w:color w:val="auto"/>
              </w:rPr>
              <w:t>(unaudited)</w:t>
            </w:r>
          </w:p>
        </w:tc>
        <w:tc>
          <w:tcPr>
            <w:tcW w:w="28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income (expense):</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1,966</w:t>
            </w:r>
          </w:p>
        </w:tc>
        <w:tc>
          <w:tcPr>
            <w:tcW w:w="1520" w:type="dxa"/>
            <w:vAlign w:val="bottom"/>
            <w:shd w:val="clear" w:color="auto" w:fill="CCEEFF"/>
          </w:tcPr>
          <w:p>
            <w:pPr>
              <w:jc w:val="right"/>
              <w:ind w:right="409"/>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193</w:t>
            </w:r>
          </w:p>
        </w:tc>
        <w:tc>
          <w:tcPr>
            <w:tcW w:w="1200" w:type="dxa"/>
            <w:vAlign w:val="bottom"/>
            <w:gridSpan w:val="2"/>
            <w:shd w:val="clear" w:color="auto" w:fill="CCEEFF"/>
          </w:tcPr>
          <w:p>
            <w:pPr>
              <w:jc w:val="right"/>
              <w:ind w:right="55"/>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(1,773)</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60"/>
        <w:spacing w:after="0" w:line="245" w:lineRule="auto"/>
        <w:rPr>
          <w:sz w:val="20"/>
          <w:szCs w:val="20"/>
          <w:color w:val="auto"/>
        </w:rPr>
      </w:pPr>
      <w:r>
        <w:rPr>
          <w:rFonts w:ascii="Arial" w:cs="Arial" w:eastAsia="Arial" w:hAnsi="Arial"/>
          <w:sz w:val="17"/>
          <w:szCs w:val="17"/>
          <w:color w:val="auto"/>
        </w:rPr>
        <w:t>Interest income was $0.3 million for the six months ended June 30, 2014 as compared to $0.1 million for the six months ended June 30, 2013, an increase of $0.2 million. This increase was primarily attributable to an increase in interest rates and balances of savings accounts.</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recognized a foreign exchange loss of $0.1 million for the six months ended June 30, 2014 as compared to a foreign exchange gain of $1.9 million for the six months ended June 30, 2013. The foreign exchange gain in 2013 was due to the increased Canadian dollar to U.S. dollar exchange 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4"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2012 and 2013</w:t>
      </w:r>
    </w:p>
    <w:p>
      <w:pPr>
        <w:spacing w:after="0" w:line="44"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 summarizes the results of our operations for the years ended December 31, 2012 and 2013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gridSpan w:val="5"/>
            <w:vMerge w:val="restart"/>
          </w:tcPr>
          <w:p>
            <w:pPr>
              <w:jc w:val="right"/>
              <w:ind w:right="108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6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4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2012 VS. 2013</w:t>
            </w:r>
          </w:p>
        </w:tc>
        <w:tc>
          <w:tcPr>
            <w:tcW w:w="0" w:type="dxa"/>
            <w:vAlign w:val="bottom"/>
          </w:tcPr>
          <w:p>
            <w:pPr>
              <w:spacing w:after="0"/>
              <w:rPr>
                <w:sz w:val="1"/>
                <w:szCs w:val="1"/>
                <w:color w:val="auto"/>
              </w:rPr>
            </w:pPr>
          </w:p>
        </w:tc>
      </w:tr>
      <w:tr>
        <w:trPr>
          <w:trHeight w:val="54"/>
        </w:trPr>
        <w:tc>
          <w:tcPr>
            <w:tcW w:w="66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6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2012</w:t>
            </w:r>
          </w:p>
        </w:tc>
        <w:tc>
          <w:tcPr>
            <w:tcW w:w="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2013</w:t>
            </w:r>
          </w:p>
        </w:tc>
        <w:tc>
          <w:tcPr>
            <w:tcW w:w="7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6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Collaboration revenue</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780"/>
              <w:spacing w:after="0" w:line="186" w:lineRule="exact"/>
              <w:rPr>
                <w:sz w:val="20"/>
                <w:szCs w:val="20"/>
                <w:color w:val="auto"/>
              </w:rPr>
            </w:pPr>
            <w:r>
              <w:rPr>
                <w:rFonts w:ascii="Arial" w:cs="Arial" w:eastAsia="Arial" w:hAnsi="Arial"/>
                <w:sz w:val="17"/>
                <w:szCs w:val="17"/>
                <w:color w:val="auto"/>
              </w:rPr>
              <w:t>14,300</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760"/>
              <w:spacing w:after="0" w:line="186" w:lineRule="exact"/>
              <w:rPr>
                <w:sz w:val="20"/>
                <w:szCs w:val="20"/>
                <w:color w:val="auto"/>
              </w:rPr>
            </w:pPr>
            <w:r>
              <w:rPr>
                <w:rFonts w:ascii="Arial" w:cs="Arial" w:eastAsia="Arial" w:hAnsi="Arial"/>
                <w:sz w:val="17"/>
                <w:szCs w:val="17"/>
                <w:color w:val="auto"/>
              </w:rPr>
              <w:t>27,352</w:t>
            </w:r>
          </w:p>
        </w:tc>
        <w:tc>
          <w:tcPr>
            <w:tcW w:w="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13,052</w:t>
            </w:r>
          </w:p>
        </w:tc>
        <w:tc>
          <w:tcPr>
            <w:tcW w:w="0" w:type="dxa"/>
            <w:vAlign w:val="bottom"/>
          </w:tcPr>
          <w:p>
            <w:pPr>
              <w:spacing w:after="0"/>
              <w:rPr>
                <w:sz w:val="1"/>
                <w:szCs w:val="1"/>
                <w:color w:val="auto"/>
              </w:rPr>
            </w:pPr>
          </w:p>
        </w:tc>
      </w:tr>
      <w:tr>
        <w:trPr>
          <w:trHeight w:val="194"/>
        </w:trPr>
        <w:tc>
          <w:tcPr>
            <w:tcW w:w="6600" w:type="dxa"/>
            <w:vAlign w:val="bottom"/>
          </w:tcPr>
          <w:p>
            <w:pPr>
              <w:spacing w:after="0" w:line="194" w:lineRule="exact"/>
              <w:rPr>
                <w:sz w:val="20"/>
                <w:szCs w:val="20"/>
                <w:color w:val="auto"/>
              </w:rPr>
            </w:pPr>
            <w:r>
              <w:rPr>
                <w:rFonts w:ascii="Arial" w:cs="Arial" w:eastAsia="Arial" w:hAnsi="Arial"/>
                <w:sz w:val="17"/>
                <w:szCs w:val="17"/>
                <w:color w:val="auto"/>
              </w:rPr>
              <w:t>Royalties</w:t>
            </w:r>
          </w:p>
        </w:tc>
        <w:tc>
          <w:tcPr>
            <w:tcW w:w="180" w:type="dxa"/>
            <w:vAlign w:val="bottom"/>
          </w:tcPr>
          <w:p>
            <w:pPr>
              <w:spacing w:after="0"/>
              <w:rPr>
                <w:sz w:val="16"/>
                <w:szCs w:val="16"/>
                <w:color w:val="auto"/>
              </w:rPr>
            </w:pPr>
          </w:p>
        </w:tc>
        <w:tc>
          <w:tcPr>
            <w:tcW w:w="1420" w:type="dxa"/>
            <w:vAlign w:val="bottom"/>
            <w:gridSpan w:val="2"/>
          </w:tcPr>
          <w:p>
            <w:pPr>
              <w:jc w:val="right"/>
              <w:ind w:right="780"/>
              <w:spacing w:after="0" w:line="194" w:lineRule="exact"/>
              <w:rPr>
                <w:sz w:val="20"/>
                <w:szCs w:val="20"/>
                <w:color w:val="auto"/>
              </w:rPr>
            </w:pPr>
            <w:r>
              <w:rPr>
                <w:rFonts w:ascii="Arial" w:cs="Arial" w:eastAsia="Arial" w:hAnsi="Arial"/>
                <w:sz w:val="17"/>
                <w:szCs w:val="17"/>
                <w:color w:val="auto"/>
              </w:rPr>
              <w:t>8</w:t>
            </w:r>
          </w:p>
        </w:tc>
        <w:tc>
          <w:tcPr>
            <w:tcW w:w="180" w:type="dxa"/>
            <w:vAlign w:val="bottom"/>
          </w:tcPr>
          <w:p>
            <w:pPr>
              <w:spacing w:after="0"/>
              <w:rPr>
                <w:sz w:val="16"/>
                <w:szCs w:val="16"/>
                <w:color w:val="auto"/>
              </w:rPr>
            </w:pPr>
          </w:p>
        </w:tc>
        <w:tc>
          <w:tcPr>
            <w:tcW w:w="1440" w:type="dxa"/>
            <w:vAlign w:val="bottom"/>
            <w:gridSpan w:val="2"/>
          </w:tcPr>
          <w:p>
            <w:pPr>
              <w:jc w:val="right"/>
              <w:ind w:right="760"/>
              <w:spacing w:after="0" w:line="194"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4"/>
        </w:trPr>
        <w:tc>
          <w:tcPr>
            <w:tcW w:w="6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 expenses</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80"/>
              <w:spacing w:after="0" w:line="194" w:lineRule="exact"/>
              <w:rPr>
                <w:sz w:val="20"/>
                <w:szCs w:val="20"/>
                <w:color w:val="auto"/>
              </w:rPr>
            </w:pPr>
            <w:r>
              <w:rPr>
                <w:rFonts w:ascii="Arial" w:cs="Arial" w:eastAsia="Arial" w:hAnsi="Arial"/>
                <w:sz w:val="17"/>
                <w:szCs w:val="17"/>
                <w:color w:val="auto"/>
              </w:rPr>
              <w:t>10,455</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760"/>
              <w:spacing w:after="0" w:line="194" w:lineRule="exact"/>
              <w:rPr>
                <w:sz w:val="20"/>
                <w:szCs w:val="20"/>
                <w:color w:val="auto"/>
              </w:rPr>
            </w:pPr>
            <w:r>
              <w:rPr>
                <w:rFonts w:ascii="Arial" w:cs="Arial" w:eastAsia="Arial" w:hAnsi="Arial"/>
                <w:sz w:val="17"/>
                <w:szCs w:val="17"/>
                <w:color w:val="auto"/>
              </w:rPr>
              <w:t>12,303</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0" w:type="dxa"/>
            <w:vAlign w:val="bottom"/>
          </w:tcPr>
          <w:p>
            <w:pPr>
              <w:spacing w:after="0" w:line="194" w:lineRule="exact"/>
              <w:rPr>
                <w:sz w:val="20"/>
                <w:szCs w:val="20"/>
                <w:color w:val="auto"/>
              </w:rPr>
            </w:pPr>
            <w:r>
              <w:rPr>
                <w:rFonts w:ascii="Arial" w:cs="Arial" w:eastAsia="Arial" w:hAnsi="Arial"/>
                <w:sz w:val="17"/>
                <w:szCs w:val="17"/>
                <w:color w:val="auto"/>
              </w:rPr>
              <w:t>General and administrative expenses</w:t>
            </w:r>
          </w:p>
        </w:tc>
        <w:tc>
          <w:tcPr>
            <w:tcW w:w="18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7,006</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5,341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194"/>
        </w:trPr>
        <w:tc>
          <w:tcPr>
            <w:tcW w:w="6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0" w:type="dxa"/>
            <w:vAlign w:val="bottom"/>
          </w:tcPr>
          <w:p>
            <w:pPr>
              <w:ind w:left="300"/>
              <w:spacing w:after="0" w:line="194" w:lineRule="exact"/>
              <w:rPr>
                <w:sz w:val="20"/>
                <w:szCs w:val="20"/>
                <w:color w:val="auto"/>
              </w:rPr>
            </w:pPr>
            <w:r>
              <w:rPr>
                <w:rFonts w:ascii="Arial" w:cs="Arial" w:eastAsia="Arial" w:hAnsi="Arial"/>
                <w:sz w:val="17"/>
                <w:szCs w:val="17"/>
                <w:color w:val="auto"/>
              </w:rPr>
              <w:t>Interest income</w:t>
            </w:r>
          </w:p>
        </w:tc>
        <w:tc>
          <w:tcPr>
            <w:tcW w:w="18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Arial" w:cs="Arial" w:eastAsia="Arial" w:hAnsi="Arial"/>
                <w:sz w:val="17"/>
                <w:szCs w:val="17"/>
                <w:color w:val="auto"/>
              </w:rPr>
              <w:t>144</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338</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line="194" w:lineRule="exact"/>
              <w:rPr>
                <w:sz w:val="20"/>
                <w:szCs w:val="20"/>
                <w:color w:val="auto"/>
              </w:rPr>
            </w:pPr>
            <w:r>
              <w:rPr>
                <w:rFonts w:ascii="Arial" w:cs="Arial" w:eastAsia="Arial" w:hAnsi="Arial"/>
                <w:sz w:val="17"/>
                <w:szCs w:val="17"/>
                <w:color w:val="auto"/>
              </w:rPr>
              <w:t>(93)</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(64)</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4"/>
        </w:trPr>
        <w:tc>
          <w:tcPr>
            <w:tcW w:w="6600" w:type="dxa"/>
            <w:vAlign w:val="bottom"/>
          </w:tcPr>
          <w:p>
            <w:pPr>
              <w:ind w:left="300"/>
              <w:spacing w:after="0" w:line="194" w:lineRule="exact"/>
              <w:rPr>
                <w:sz w:val="20"/>
                <w:szCs w:val="20"/>
                <w:color w:val="auto"/>
              </w:rPr>
            </w:pPr>
            <w:r>
              <w:rPr>
                <w:rFonts w:ascii="Arial" w:cs="Arial" w:eastAsia="Arial" w:hAnsi="Arial"/>
                <w:sz w:val="17"/>
                <w:szCs w:val="17"/>
                <w:color w:val="auto"/>
              </w:rPr>
              <w:t>Foreign exchange gain (loss)</w:t>
            </w:r>
          </w:p>
        </w:tc>
        <w:tc>
          <w:tcPr>
            <w:tcW w:w="180" w:type="dxa"/>
            <w:vAlign w:val="bottom"/>
          </w:tcPr>
          <w:p>
            <w:pPr>
              <w:spacing w:after="0"/>
              <w:rPr>
                <w:sz w:val="16"/>
                <w:szCs w:val="16"/>
                <w:color w:val="auto"/>
              </w:rPr>
            </w:pPr>
          </w:p>
        </w:tc>
        <w:tc>
          <w:tcPr>
            <w:tcW w:w="1420" w:type="dxa"/>
            <w:vAlign w:val="bottom"/>
            <w:gridSpan w:val="2"/>
          </w:tcPr>
          <w:p>
            <w:pPr>
              <w:jc w:val="right"/>
              <w:ind w:right="740"/>
              <w:spacing w:after="0" w:line="194" w:lineRule="exact"/>
              <w:rPr>
                <w:sz w:val="20"/>
                <w:szCs w:val="20"/>
                <w:color w:val="auto"/>
              </w:rPr>
            </w:pPr>
            <w:r>
              <w:rPr>
                <w:rFonts w:ascii="Arial" w:cs="Arial" w:eastAsia="Arial" w:hAnsi="Arial"/>
                <w:sz w:val="17"/>
                <w:szCs w:val="17"/>
                <w:color w:val="auto"/>
              </w:rPr>
              <w:t>(169)</w:t>
            </w: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2,035</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2,204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Gain (loss) on write-off and disposal of assets</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740"/>
              <w:spacing w:after="0" w:line="194" w:lineRule="exact"/>
              <w:rPr>
                <w:sz w:val="20"/>
                <w:szCs w:val="20"/>
                <w:color w:val="auto"/>
              </w:rPr>
            </w:pPr>
            <w:r>
              <w:rPr>
                <w:rFonts w:ascii="Arial" w:cs="Arial" w:eastAsia="Arial" w:hAnsi="Arial"/>
                <w:sz w:val="17"/>
                <w:szCs w:val="17"/>
                <w:color w:val="auto"/>
              </w:rPr>
              <w:t>(1,030)</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760"/>
              <w:spacing w:after="0" w:line="194" w:lineRule="exact"/>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00" w:type="dxa"/>
            <w:vAlign w:val="bottom"/>
          </w:tcPr>
          <w:p>
            <w:pPr>
              <w:spacing w:after="0"/>
              <w:rPr>
                <w:sz w:val="20"/>
                <w:szCs w:val="20"/>
                <w:color w:val="auto"/>
              </w:rPr>
            </w:pPr>
            <w:r>
              <w:rPr>
                <w:rFonts w:ascii="Arial" w:cs="Arial" w:eastAsia="Arial" w:hAnsi="Arial"/>
                <w:sz w:val="17"/>
                <w:szCs w:val="17"/>
                <w:color w:val="auto"/>
              </w:rPr>
              <w:t>Net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740"/>
              <w:spacing w:after="0"/>
              <w:rPr>
                <w:sz w:val="20"/>
                <w:szCs w:val="20"/>
                <w:color w:val="auto"/>
              </w:rPr>
            </w:pPr>
            <w:r>
              <w:rPr>
                <w:rFonts w:ascii="Arial" w:cs="Arial" w:eastAsia="Arial" w:hAnsi="Arial"/>
                <w:sz w:val="17"/>
                <w:szCs w:val="17"/>
                <w:color w:val="auto"/>
              </w:rPr>
              <w:t>(4,301)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760"/>
              <w:spacing w:after="0"/>
              <w:rPr>
                <w:sz w:val="20"/>
                <w:szCs w:val="20"/>
                <w:color w:val="auto"/>
              </w:rPr>
            </w:pPr>
            <w:r>
              <w:rPr>
                <w:rFonts w:ascii="Arial" w:cs="Arial" w:eastAsia="Arial" w:hAnsi="Arial"/>
                <w:sz w:val="17"/>
                <w:szCs w:val="17"/>
                <w:color w:val="auto"/>
              </w:rPr>
              <w:t>12,032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16,333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We recognized revenue of $27.4 million for the year ended December 31, 2013 compared to $14.3 million for the year ended December 31, 2012, an</w:t>
      </w:r>
    </w:p>
    <w:p>
      <w:pPr>
        <w:spacing w:after="0" w:line="237" w:lineRule="auto"/>
        <w:rPr>
          <w:sz w:val="20"/>
          <w:szCs w:val="20"/>
          <w:color w:val="auto"/>
        </w:rPr>
      </w:pPr>
      <w:r>
        <w:rPr>
          <w:rFonts w:ascii="Arial" w:cs="Arial" w:eastAsia="Arial" w:hAnsi="Arial"/>
          <w:sz w:val="17"/>
          <w:szCs w:val="17"/>
          <w:color w:val="auto"/>
        </w:rPr>
        <w:t>increase of $13.1 million. The increase was primarily attributable to the recognition of $12.8 million of the upfront payment and research funding from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Teva, a $5.1 million milestone payment received from Genentech, $1.0 million in additional FTE funding we received from Genentech, and $0.3 million in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non-royalty compensation (related to a payment) from uniQure. This was offset by a $0.5 million decrease in research funding from Genome BC and</w:t>
      </w:r>
    </w:p>
    <w:p>
      <w:pPr>
        <w:spacing w:after="0"/>
        <w:rPr>
          <w:sz w:val="20"/>
          <w:szCs w:val="20"/>
          <w:color w:val="auto"/>
        </w:rPr>
      </w:pPr>
      <w:r>
        <w:rPr>
          <w:rFonts w:ascii="Arial" w:cs="Arial" w:eastAsia="Arial" w:hAnsi="Arial"/>
          <w:sz w:val="16"/>
          <w:szCs w:val="16"/>
          <w:color w:val="auto"/>
        </w:rPr>
        <w:t>$5.6 million decrease in revenue from Merck for an option fee, recognition of an upfront payment, and FTE funding related to the research agreement that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ended in December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42"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 summarizes research and development expenses for the years ended December 31, 2012 and 2013 together with changes in those items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gridSpan w:val="6"/>
            <w:vMerge w:val="restart"/>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6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8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2012 VS. 2013</w:t>
            </w:r>
          </w:p>
        </w:tc>
        <w:tc>
          <w:tcPr>
            <w:tcW w:w="0" w:type="dxa"/>
            <w:vAlign w:val="bottom"/>
          </w:tcPr>
          <w:p>
            <w:pPr>
              <w:spacing w:after="0"/>
              <w:rPr>
                <w:sz w:val="1"/>
                <w:szCs w:val="1"/>
                <w:color w:val="auto"/>
              </w:rPr>
            </w:pPr>
          </w:p>
        </w:tc>
      </w:tr>
      <w:tr>
        <w:trPr>
          <w:trHeight w:val="54"/>
        </w:trPr>
        <w:tc>
          <w:tcPr>
            <w:tcW w:w="64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2013</w:t>
            </w:r>
          </w:p>
        </w:tc>
        <w:tc>
          <w:tcPr>
            <w:tcW w:w="8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Teva collaboration (TV-45070) expenses</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1,951</w:t>
            </w:r>
          </w:p>
        </w:tc>
        <w:tc>
          <w:tcPr>
            <w:tcW w:w="4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1,005</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r>
        <w:trPr>
          <w:trHeight w:val="194"/>
        </w:trPr>
        <w:tc>
          <w:tcPr>
            <w:tcW w:w="6460" w:type="dxa"/>
            <w:vAlign w:val="bottom"/>
          </w:tcPr>
          <w:p>
            <w:pPr>
              <w:spacing w:after="0" w:line="194" w:lineRule="exact"/>
              <w:rPr>
                <w:sz w:val="20"/>
                <w:szCs w:val="20"/>
                <w:color w:val="auto"/>
              </w:rPr>
            </w:pPr>
            <w:r>
              <w:rPr>
                <w:rFonts w:ascii="Arial" w:cs="Arial" w:eastAsia="Arial" w:hAnsi="Arial"/>
                <w:sz w:val="17"/>
                <w:szCs w:val="17"/>
                <w:color w:val="auto"/>
              </w:rPr>
              <w:t>Genentech collaboration (GDC-0276) expenses</w:t>
            </w:r>
          </w:p>
        </w:tc>
        <w:tc>
          <w:tcPr>
            <w:tcW w:w="1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3,652</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5,072</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1,420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collaboration expenses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1,717</w:t>
            </w: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133</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(1,584)</w:t>
            </w:r>
          </w:p>
        </w:tc>
        <w:tc>
          <w:tcPr>
            <w:tcW w:w="0" w:type="dxa"/>
            <w:vAlign w:val="bottom"/>
          </w:tcPr>
          <w:p>
            <w:pPr>
              <w:spacing w:after="0"/>
              <w:rPr>
                <w:sz w:val="1"/>
                <w:szCs w:val="1"/>
                <w:color w:val="auto"/>
              </w:rPr>
            </w:pPr>
          </w:p>
        </w:tc>
      </w:tr>
      <w:tr>
        <w:trPr>
          <w:trHeight w:val="199"/>
        </w:trPr>
        <w:tc>
          <w:tcPr>
            <w:tcW w:w="6460" w:type="dxa"/>
            <w:vAlign w:val="bottom"/>
          </w:tcPr>
          <w:p>
            <w:pPr>
              <w:spacing w:after="0" w:line="194" w:lineRule="exact"/>
              <w:rPr>
                <w:sz w:val="20"/>
                <w:szCs w:val="20"/>
                <w:color w:val="auto"/>
              </w:rPr>
            </w:pPr>
            <w:r>
              <w:rPr>
                <w:rFonts w:ascii="Arial" w:cs="Arial" w:eastAsia="Arial" w:hAnsi="Arial"/>
                <w:sz w:val="17"/>
                <w:szCs w:val="17"/>
                <w:color w:val="auto"/>
              </w:rPr>
              <w:t>Preclinical and discovery program expenses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3,135</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6,093</w:t>
            </w:r>
          </w:p>
        </w:tc>
        <w:tc>
          <w:tcPr>
            <w:tcW w:w="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Total research and development expenses</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10,455</w:t>
            </w: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840"/>
              <w:spacing w:after="0" w:line="194" w:lineRule="exact"/>
              <w:rPr>
                <w:sz w:val="20"/>
                <w:szCs w:val="20"/>
                <w:color w:val="auto"/>
              </w:rPr>
            </w:pPr>
            <w:r>
              <w:rPr>
                <w:rFonts w:ascii="Arial" w:cs="Arial" w:eastAsia="Arial" w:hAnsi="Arial"/>
                <w:sz w:val="17"/>
                <w:szCs w:val="17"/>
                <w:color w:val="auto"/>
              </w:rPr>
              <w:t>12,303</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Research and development expenses were $12.3 million for the year ended December 31, 2013 as compared to $10.5 million for the year ended December 31, 2012. The increase of $1.8 million was primarily attributable to a $3.0 million increase in preclinical and discovery program expenses consisting of a $1.5 million increase in spending for XEN701 and a $1.5 million increase in spending for our other early stage research programs. There was also a $1.4 million increase in Genentech collaboration expenses due to an increase in the number of FTEs dedicated to this collaboration. The increases were offset in part by a $1.6 million decrease in other collaboration expenses primarily due to the Merck collaborative research program ending in December 2012 and a $0.9 million decrease in spending for TV-45070 related to Teva’s assumption of the development costs of that product candidate as of January 1, 2013.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44"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68"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summarizes general and administrative expenses for the years ended December 31, 2012 and 2013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4"/>
            <w:vMerge w:val="restart"/>
          </w:tcPr>
          <w:p>
            <w:pPr>
              <w:jc w:val="right"/>
              <w:ind w:right="266"/>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c>
          <w:tcPr>
            <w:tcW w:w="0" w:type="dxa"/>
            <w:vAlign w:val="bottom"/>
          </w:tcPr>
          <w:p>
            <w:pPr>
              <w:spacing w:after="0"/>
              <w:rPr>
                <w:sz w:val="1"/>
                <w:szCs w:val="1"/>
                <w:color w:val="auto"/>
              </w:rPr>
            </w:pPr>
          </w:p>
        </w:tc>
      </w:tr>
      <w:tr>
        <w:trPr>
          <w:trHeight w:val="68"/>
        </w:trPr>
        <w:tc>
          <w:tcPr>
            <w:tcW w:w="46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2012 VS. 2013</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62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2012</w:t>
            </w:r>
          </w:p>
        </w:tc>
        <w:tc>
          <w:tcPr>
            <w:tcW w:w="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2013</w:t>
            </w:r>
          </w:p>
        </w:tc>
        <w:tc>
          <w:tcPr>
            <w:tcW w:w="8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General and administrative expenses</w:t>
            </w:r>
          </w:p>
        </w:tc>
        <w:tc>
          <w:tcPr>
            <w:tcW w:w="204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7,006</w:t>
            </w:r>
          </w:p>
        </w:tc>
        <w:tc>
          <w:tcPr>
            <w:tcW w:w="106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5,341</w:t>
            </w:r>
          </w:p>
        </w:tc>
        <w:tc>
          <w:tcPr>
            <w:tcW w:w="1040" w:type="dxa"/>
            <w:vAlign w:val="bottom"/>
            <w:gridSpan w:val="2"/>
            <w:shd w:val="clear" w:color="auto" w:fill="CCEEFF"/>
          </w:tcPr>
          <w:p>
            <w:pPr>
              <w:jc w:val="right"/>
              <w:ind w:right="55"/>
              <w:spacing w:after="0" w:line="186"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129"/>
        </w:trPr>
        <w:tc>
          <w:tcPr>
            <w:tcW w:w="46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color w:val="auto"/>
        </w:rPr>
        <w:t>General and administrative expenses were $5.3 million for the year ended December 31, 2013 compared to $7.0 million for the year ended December 31, 2012. This decrease was primarily due to a reduction in intellectual property expenses, the majority of which have been assumed by our collaborators.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68"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summarizes our other income (expense) for the years ended December 31, 2012 and 2013 together with changes in those items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2540" w:type="dxa"/>
            <w:vAlign w:val="bottom"/>
            <w:gridSpan w:val="5"/>
            <w:vMerge w:val="restart"/>
          </w:tcPr>
          <w:p>
            <w:pPr>
              <w:jc w:val="right"/>
              <w:ind w:right="286"/>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c>
          <w:tcPr>
            <w:tcW w:w="0" w:type="dxa"/>
            <w:vAlign w:val="bottom"/>
          </w:tcPr>
          <w:p>
            <w:pPr>
              <w:spacing w:after="0"/>
              <w:rPr>
                <w:sz w:val="1"/>
                <w:szCs w:val="1"/>
                <w:color w:val="auto"/>
              </w:rPr>
            </w:pPr>
          </w:p>
        </w:tc>
      </w:tr>
      <w:tr>
        <w:trPr>
          <w:trHeight w:val="73"/>
        </w:trPr>
        <w:tc>
          <w:tcPr>
            <w:tcW w:w="6440" w:type="dxa"/>
            <w:vAlign w:val="bottom"/>
          </w:tcPr>
          <w:p>
            <w:pPr>
              <w:spacing w:after="0"/>
              <w:rPr>
                <w:sz w:val="5"/>
                <w:szCs w:val="5"/>
                <w:color w:val="auto"/>
              </w:rPr>
            </w:pPr>
          </w:p>
        </w:tc>
        <w:tc>
          <w:tcPr>
            <w:tcW w:w="2540" w:type="dxa"/>
            <w:vAlign w:val="bottom"/>
            <w:tcBorders>
              <w:bottom w:val="single" w:sz="8" w:color="auto"/>
            </w:tcBorders>
            <w:gridSpan w:val="5"/>
            <w:vMerge w:val="continue"/>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2012 VS. 2013</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4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2012</w:t>
            </w:r>
          </w:p>
        </w:tc>
        <w:tc>
          <w:tcPr>
            <w:tcW w:w="4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2013</w:t>
            </w:r>
          </w:p>
        </w:tc>
        <w:tc>
          <w:tcPr>
            <w:tcW w:w="8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4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Other income (expense):</w:t>
            </w:r>
          </w:p>
        </w:tc>
        <w:tc>
          <w:tcPr>
            <w:tcW w:w="1280" w:type="dxa"/>
            <w:vAlign w:val="bottom"/>
            <w:gridSpan w:val="2"/>
            <w:shd w:val="clear" w:color="auto" w:fill="CCEEFF"/>
          </w:tcPr>
          <w:p>
            <w:pPr>
              <w:jc w:val="right"/>
              <w:ind w:right="400"/>
              <w:spacing w:after="0" w:line="186" w:lineRule="exact"/>
              <w:rPr>
                <w:sz w:val="20"/>
                <w:szCs w:val="20"/>
                <w:color w:val="auto"/>
              </w:rPr>
            </w:pPr>
            <w:r>
              <w:rPr>
                <w:rFonts w:ascii="Arial" w:cs="Arial" w:eastAsia="Arial" w:hAnsi="Arial"/>
                <w:sz w:val="17"/>
                <w:szCs w:val="17"/>
                <w:color w:val="auto"/>
              </w:rPr>
              <w:t>$   (1,148)</w:t>
            </w:r>
          </w:p>
        </w:tc>
        <w:tc>
          <w:tcPr>
            <w:tcW w:w="60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2,320</w:t>
            </w:r>
          </w:p>
        </w:tc>
        <w:tc>
          <w:tcPr>
            <w:tcW w:w="1040" w:type="dxa"/>
            <w:vAlign w:val="bottom"/>
            <w:gridSpan w:val="2"/>
            <w:shd w:val="clear" w:color="auto" w:fill="CCEEFF"/>
          </w:tcPr>
          <w:p>
            <w:pPr>
              <w:jc w:val="right"/>
              <w:ind w:right="55"/>
              <w:spacing w:after="0" w:line="186"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3,468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right="60"/>
        <w:spacing w:after="0" w:line="241" w:lineRule="auto"/>
        <w:rPr>
          <w:sz w:val="20"/>
          <w:szCs w:val="20"/>
          <w:color w:val="auto"/>
        </w:rPr>
      </w:pPr>
      <w:r>
        <w:rPr>
          <w:rFonts w:ascii="Arial" w:cs="Arial" w:eastAsia="Arial" w:hAnsi="Arial"/>
          <w:sz w:val="17"/>
          <w:szCs w:val="17"/>
          <w:color w:val="auto"/>
        </w:rPr>
        <w:t>Interest income was $0.3 million for the year ended December 31, 2013 as compared to $0.1 million for the year ended December 31, 2012, an increase of $0.2 million. The increase was primarily attributable to our increased cash and investment balances from our receipt of $41.0 million in December 2012 from Teva.</w:t>
      </w:r>
    </w:p>
    <w:p>
      <w:pPr>
        <w:spacing w:after="0" w:line="108"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recognized a foreign exchange gain of $2.0 million for the year ended December 31, 2013 as compared to a foreign exchange loss of $0.2 million for the year ended December 31, 2012. The foreign exchange gain in 2013 was due to the increased Canadian dollar to U.S. dollar exchange rate.</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We wrote-off leasehold improvements with a net book value of $1.0 million for the year ended December 31, 2012 in connection with a lease extension and modification agreement made effective April 1, 2012. No such item was recorded in the year ended December 31, 2013.</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2011 and 2012</w:t>
      </w:r>
    </w:p>
    <w:p>
      <w:pPr>
        <w:spacing w:after="0" w:line="44"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 summarizes the results of our operations for the years ended December 31, 2011 and 2012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6"/>
            <w:vMerge w:val="restart"/>
          </w:tcPr>
          <w:p>
            <w:pPr>
              <w:jc w:val="right"/>
              <w:ind w:right="134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2011 VS. 2012</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66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2012</w:t>
            </w:r>
          </w:p>
        </w:tc>
        <w:tc>
          <w:tcPr>
            <w:tcW w:w="9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Collaboration revenue</w:t>
            </w:r>
          </w:p>
        </w:tc>
        <w:tc>
          <w:tcPr>
            <w:tcW w:w="176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6,915</w:t>
            </w:r>
          </w:p>
        </w:tc>
        <w:tc>
          <w:tcPr>
            <w:tcW w:w="4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940"/>
              <w:spacing w:after="0" w:line="186" w:lineRule="exact"/>
              <w:rPr>
                <w:sz w:val="20"/>
                <w:szCs w:val="20"/>
                <w:color w:val="auto"/>
              </w:rPr>
            </w:pPr>
            <w:r>
              <w:rPr>
                <w:rFonts w:ascii="Arial" w:cs="Arial" w:eastAsia="Arial" w:hAnsi="Arial"/>
                <w:sz w:val="17"/>
                <w:szCs w:val="17"/>
                <w:color w:val="auto"/>
              </w:rPr>
              <w:t>14,300</w:t>
            </w:r>
          </w:p>
        </w:tc>
        <w:tc>
          <w:tcPr>
            <w:tcW w:w="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7,385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Arial" w:cs="Arial" w:eastAsia="Arial" w:hAnsi="Arial"/>
                <w:sz w:val="17"/>
                <w:szCs w:val="17"/>
                <w:color w:val="auto"/>
              </w:rPr>
              <w:t>Royalties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3</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940"/>
              <w:spacing w:after="0" w:line="194" w:lineRule="exact"/>
              <w:rPr>
                <w:sz w:val="20"/>
                <w:szCs w:val="20"/>
                <w:color w:val="auto"/>
              </w:rPr>
            </w:pPr>
            <w:r>
              <w:rPr>
                <w:rFonts w:ascii="Arial" w:cs="Arial" w:eastAsia="Arial" w:hAnsi="Arial"/>
                <w:sz w:val="17"/>
                <w:szCs w:val="17"/>
                <w:color w:val="auto"/>
              </w:rPr>
              <w:t>8</w:t>
            </w:r>
          </w:p>
        </w:tc>
        <w:tc>
          <w:tcPr>
            <w:tcW w:w="200" w:type="dxa"/>
            <w:vAlign w:val="bottom"/>
          </w:tcPr>
          <w:p>
            <w:pPr>
              <w:spacing w:after="0"/>
              <w:rPr>
                <w:sz w:val="16"/>
                <w:szCs w:val="16"/>
                <w:color w:val="auto"/>
              </w:rPr>
            </w:pPr>
          </w:p>
        </w:tc>
        <w:tc>
          <w:tcPr>
            <w:tcW w:w="14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 expenses</w:t>
            </w: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12,302</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940"/>
              <w:spacing w:after="0" w:line="194" w:lineRule="exact"/>
              <w:rPr>
                <w:sz w:val="20"/>
                <w:szCs w:val="20"/>
                <w:color w:val="auto"/>
              </w:rPr>
            </w:pPr>
            <w:r>
              <w:rPr>
                <w:rFonts w:ascii="Arial" w:cs="Arial" w:eastAsia="Arial" w:hAnsi="Arial"/>
                <w:sz w:val="17"/>
                <w:szCs w:val="17"/>
                <w:color w:val="auto"/>
              </w:rPr>
              <w:t>10,455</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(1,847)</w:t>
            </w: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Arial" w:cs="Arial" w:eastAsia="Arial" w:hAnsi="Arial"/>
                <w:sz w:val="17"/>
                <w:szCs w:val="17"/>
                <w:color w:val="auto"/>
              </w:rPr>
              <w:t>General and administrative expenses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6,730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7,006</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7"/>
                <w:szCs w:val="17"/>
                <w:color w:val="auto"/>
              </w:rPr>
              <w:t>276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300"/>
              <w:spacing w:after="0" w:line="194" w:lineRule="exact"/>
              <w:rPr>
                <w:sz w:val="20"/>
                <w:szCs w:val="20"/>
                <w:color w:val="auto"/>
              </w:rPr>
            </w:pPr>
            <w:r>
              <w:rPr>
                <w:rFonts w:ascii="Arial" w:cs="Arial" w:eastAsia="Arial" w:hAnsi="Arial"/>
                <w:sz w:val="17"/>
                <w:szCs w:val="17"/>
                <w:color w:val="auto"/>
              </w:rPr>
              <w:t>Interest income</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153</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144</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Interest (expense)</w:t>
            </w: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(91)</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(93)</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4"/>
        </w:trPr>
        <w:tc>
          <w:tcPr>
            <w:tcW w:w="4660" w:type="dxa"/>
            <w:vAlign w:val="bottom"/>
          </w:tcPr>
          <w:p>
            <w:pPr>
              <w:ind w:left="300"/>
              <w:spacing w:after="0" w:line="194" w:lineRule="exact"/>
              <w:rPr>
                <w:sz w:val="20"/>
                <w:szCs w:val="20"/>
                <w:color w:val="auto"/>
              </w:rPr>
            </w:pPr>
            <w:r>
              <w:rPr>
                <w:rFonts w:ascii="Arial" w:cs="Arial" w:eastAsia="Arial" w:hAnsi="Arial"/>
                <w:sz w:val="17"/>
                <w:szCs w:val="17"/>
                <w:color w:val="auto"/>
              </w:rPr>
              <w:t>Foreign exchange gain (loss)</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80"/>
              <w:spacing w:after="0" w:line="194" w:lineRule="exact"/>
              <w:rPr>
                <w:sz w:val="20"/>
                <w:szCs w:val="20"/>
                <w:color w:val="auto"/>
              </w:rPr>
            </w:pPr>
            <w:r>
              <w:rPr>
                <w:rFonts w:ascii="Arial" w:cs="Arial" w:eastAsia="Arial" w:hAnsi="Arial"/>
                <w:sz w:val="17"/>
                <w:szCs w:val="17"/>
                <w:color w:val="auto"/>
              </w:rPr>
              <w:t>60</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880"/>
              <w:spacing w:after="0" w:line="194" w:lineRule="exact"/>
              <w:rPr>
                <w:sz w:val="20"/>
                <w:szCs w:val="20"/>
                <w:color w:val="auto"/>
              </w:rPr>
            </w:pPr>
            <w:r>
              <w:rPr>
                <w:rFonts w:ascii="Arial" w:cs="Arial" w:eastAsia="Arial" w:hAnsi="Arial"/>
                <w:sz w:val="17"/>
                <w:szCs w:val="17"/>
                <w:color w:val="auto"/>
              </w:rPr>
              <w:t>(169)</w:t>
            </w: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Gain (loss) on write-off and disposal of assets</w:t>
            </w: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(1,030)</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60" w:type="dxa"/>
            <w:vAlign w:val="bottom"/>
          </w:tcPr>
          <w:p>
            <w:pPr>
              <w:ind w:left="300"/>
              <w:spacing w:after="0"/>
              <w:rPr>
                <w:sz w:val="20"/>
                <w:szCs w:val="20"/>
                <w:color w:val="auto"/>
              </w:rPr>
            </w:pPr>
            <w:r>
              <w:rPr>
                <w:rFonts w:ascii="Arial" w:cs="Arial" w:eastAsia="Arial" w:hAnsi="Arial"/>
                <w:sz w:val="17"/>
                <w:szCs w:val="17"/>
                <w:color w:val="auto"/>
              </w:rPr>
              <w:t>Net income (loss)</w:t>
            </w:r>
          </w:p>
        </w:tc>
        <w:tc>
          <w:tcPr>
            <w:tcW w:w="1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(11,992)</w:t>
            </w: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880"/>
              <w:spacing w:after="0"/>
              <w:rPr>
                <w:sz w:val="20"/>
                <w:szCs w:val="20"/>
                <w:color w:val="auto"/>
              </w:rPr>
            </w:pPr>
            <w:r>
              <w:rPr>
                <w:rFonts w:ascii="Arial" w:cs="Arial" w:eastAsia="Arial" w:hAnsi="Arial"/>
                <w:sz w:val="17"/>
                <w:szCs w:val="17"/>
                <w:color w:val="auto"/>
              </w:rPr>
              <w:t>(4,301)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80" w:type="dxa"/>
            <w:vAlign w:val="bottom"/>
            <w:vMerge w:val="restart"/>
          </w:tcPr>
          <w:p>
            <w:pPr>
              <w:jc w:val="right"/>
              <w:ind w:right="356"/>
              <w:spacing w:after="0"/>
              <w:rPr>
                <w:sz w:val="20"/>
                <w:szCs w:val="20"/>
                <w:color w:val="auto"/>
              </w:rPr>
            </w:pPr>
            <w:r>
              <w:rPr>
                <w:rFonts w:ascii="Arial" w:cs="Arial" w:eastAsia="Arial" w:hAnsi="Arial"/>
                <w:sz w:val="17"/>
                <w:szCs w:val="17"/>
                <w:color w:val="auto"/>
              </w:rPr>
              <w:t>77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6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recognized revenue of $14.3 million for the year ended December 31, 2012 as compared to $6.9 million for the year ended December 31, 2011, an increase of $7.4 million. The increase during 2012 was primarily due to an upfront payment and research funding pursuant to our collaboration agreement with Genentech.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42"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 summarizes research and development expenses for the years ended December 31, 2011 and 2012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restart"/>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6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right"/>
              <w:ind w:right="420"/>
              <w:spacing w:after="0" w:line="142" w:lineRule="exact"/>
              <w:rPr>
                <w:sz w:val="20"/>
                <w:szCs w:val="20"/>
                <w:color w:val="auto"/>
              </w:rPr>
            </w:pPr>
            <w:r>
              <w:rPr>
                <w:rFonts w:ascii="Arial" w:cs="Arial" w:eastAsia="Arial" w:hAnsi="Arial"/>
                <w:sz w:val="13"/>
                <w:szCs w:val="13"/>
                <w:b w:val="1"/>
                <w:bCs w:val="1"/>
                <w:color w:val="auto"/>
              </w:rPr>
              <w:t>2011 VS. 2012</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9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2011</w:t>
            </w:r>
          </w:p>
        </w:tc>
        <w:tc>
          <w:tcPr>
            <w:tcW w:w="4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2012</w:t>
            </w:r>
          </w:p>
        </w:tc>
        <w:tc>
          <w:tcPr>
            <w:tcW w:w="86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Teva collaboration (TV-45070) expenses</w:t>
            </w:r>
          </w:p>
        </w:tc>
        <w:tc>
          <w:tcPr>
            <w:tcW w:w="160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2,455</w:t>
            </w:r>
          </w:p>
        </w:tc>
        <w:tc>
          <w:tcPr>
            <w:tcW w:w="4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860"/>
              <w:spacing w:after="0" w:line="186" w:lineRule="exact"/>
              <w:rPr>
                <w:sz w:val="20"/>
                <w:szCs w:val="20"/>
                <w:color w:val="auto"/>
              </w:rPr>
            </w:pPr>
            <w:r>
              <w:rPr>
                <w:rFonts w:ascii="Arial" w:cs="Arial" w:eastAsia="Arial" w:hAnsi="Arial"/>
                <w:sz w:val="17"/>
                <w:szCs w:val="17"/>
                <w:color w:val="auto"/>
              </w:rPr>
              <w:t>1,951</w:t>
            </w:r>
          </w:p>
        </w:tc>
        <w:tc>
          <w:tcPr>
            <w:tcW w:w="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194"/>
        </w:trPr>
        <w:tc>
          <w:tcPr>
            <w:tcW w:w="4960" w:type="dxa"/>
            <w:vAlign w:val="bottom"/>
          </w:tcPr>
          <w:p>
            <w:pPr>
              <w:spacing w:after="0" w:line="194" w:lineRule="exact"/>
              <w:rPr>
                <w:sz w:val="20"/>
                <w:szCs w:val="20"/>
                <w:color w:val="auto"/>
              </w:rPr>
            </w:pPr>
            <w:r>
              <w:rPr>
                <w:rFonts w:ascii="Arial" w:cs="Arial" w:eastAsia="Arial" w:hAnsi="Arial"/>
                <w:sz w:val="17"/>
                <w:szCs w:val="17"/>
                <w:color w:val="auto"/>
              </w:rPr>
              <w:t>Genentech collaboration (GDC-0276) expenses</w:t>
            </w: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3,794</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860"/>
              <w:spacing w:after="0" w:line="194" w:lineRule="exact"/>
              <w:rPr>
                <w:sz w:val="20"/>
                <w:szCs w:val="20"/>
                <w:color w:val="auto"/>
              </w:rPr>
            </w:pPr>
            <w:r>
              <w:rPr>
                <w:rFonts w:ascii="Arial" w:cs="Arial" w:eastAsia="Arial" w:hAnsi="Arial"/>
                <w:sz w:val="17"/>
                <w:szCs w:val="17"/>
                <w:color w:val="auto"/>
              </w:rPr>
              <w:t>3,652</w:t>
            </w:r>
          </w:p>
        </w:tc>
        <w:tc>
          <w:tcPr>
            <w:tcW w:w="200" w:type="dxa"/>
            <w:vAlign w:val="bottom"/>
          </w:tcPr>
          <w:p>
            <w:pPr>
              <w:spacing w:after="0"/>
              <w:rPr>
                <w:sz w:val="16"/>
                <w:szCs w:val="16"/>
                <w:color w:val="auto"/>
              </w:rPr>
            </w:pPr>
          </w:p>
        </w:tc>
        <w:tc>
          <w:tcPr>
            <w:tcW w:w="140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94"/>
        </w:trPr>
        <w:tc>
          <w:tcPr>
            <w:tcW w:w="4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collaboration expenses</w:t>
            </w: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3,301</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860"/>
              <w:spacing w:after="0" w:line="194" w:lineRule="exact"/>
              <w:rPr>
                <w:sz w:val="20"/>
                <w:szCs w:val="20"/>
                <w:color w:val="auto"/>
              </w:rPr>
            </w:pPr>
            <w:r>
              <w:rPr>
                <w:rFonts w:ascii="Arial" w:cs="Arial" w:eastAsia="Arial" w:hAnsi="Arial"/>
                <w:sz w:val="17"/>
                <w:szCs w:val="17"/>
                <w:color w:val="auto"/>
              </w:rPr>
              <w:t>1,717</w:t>
            </w:r>
          </w:p>
        </w:tc>
        <w:tc>
          <w:tcPr>
            <w:tcW w:w="2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(1,584)</w:t>
            </w:r>
          </w:p>
        </w:tc>
        <w:tc>
          <w:tcPr>
            <w:tcW w:w="0" w:type="dxa"/>
            <w:vAlign w:val="bottom"/>
          </w:tcPr>
          <w:p>
            <w:pPr>
              <w:spacing w:after="0"/>
              <w:rPr>
                <w:sz w:val="1"/>
                <w:szCs w:val="1"/>
                <w:color w:val="auto"/>
              </w:rPr>
            </w:pPr>
          </w:p>
        </w:tc>
      </w:tr>
      <w:tr>
        <w:trPr>
          <w:trHeight w:val="199"/>
        </w:trPr>
        <w:tc>
          <w:tcPr>
            <w:tcW w:w="4960" w:type="dxa"/>
            <w:vAlign w:val="bottom"/>
          </w:tcPr>
          <w:p>
            <w:pPr>
              <w:spacing w:after="0" w:line="194" w:lineRule="exact"/>
              <w:rPr>
                <w:sz w:val="20"/>
                <w:szCs w:val="20"/>
                <w:color w:val="auto"/>
              </w:rPr>
            </w:pPr>
            <w:r>
              <w:rPr>
                <w:rFonts w:ascii="Arial" w:cs="Arial" w:eastAsia="Arial" w:hAnsi="Arial"/>
                <w:sz w:val="17"/>
                <w:szCs w:val="17"/>
                <w:color w:val="auto"/>
              </w:rPr>
              <w:t>Preclinical and discovery program expenses</w:t>
            </w:r>
          </w:p>
        </w:tc>
        <w:tc>
          <w:tcPr>
            <w:tcW w:w="1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2,752</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3,135</w:t>
            </w:r>
          </w:p>
        </w:tc>
        <w:tc>
          <w:tcPr>
            <w:tcW w:w="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research and development expenses</w:t>
            </w:r>
          </w:p>
        </w:tc>
        <w:tc>
          <w:tcPr>
            <w:tcW w:w="160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12,302</w:t>
            </w: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860"/>
              <w:spacing w:after="0" w:line="194" w:lineRule="exact"/>
              <w:rPr>
                <w:sz w:val="20"/>
                <w:szCs w:val="20"/>
                <w:color w:val="auto"/>
              </w:rPr>
            </w:pPr>
            <w:r>
              <w:rPr>
                <w:rFonts w:ascii="Arial" w:cs="Arial" w:eastAsia="Arial" w:hAnsi="Arial"/>
                <w:sz w:val="17"/>
                <w:szCs w:val="17"/>
                <w:color w:val="auto"/>
              </w:rPr>
              <w:t>10,455</w:t>
            </w: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(1,847)</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Research and development expenses were $10.5 million for the year ended December 31, 2012 compared to $12.3 million for the year ended December 31, 2011. The decrease was primarily due to a $1.6 million decrease in other collaboration expenses related to the Genome BC and Merck collaborations which ended in December 2011 and 2012, respectively. There was also a $0.5 million decrease for TV-45070 related to Teva’s assumption of the development costs of that product candidate as of January 1, 2013.</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4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summarizes general and administrative expenses for the years ended December 31, 2011 and 2012 together with changes in those items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c>
          <w:tcPr>
            <w:tcW w:w="0" w:type="dxa"/>
            <w:vAlign w:val="bottom"/>
          </w:tcPr>
          <w:p>
            <w:pPr>
              <w:spacing w:after="0"/>
              <w:rPr>
                <w:sz w:val="1"/>
                <w:szCs w:val="1"/>
                <w:color w:val="auto"/>
              </w:rPr>
            </w:pPr>
          </w:p>
        </w:tc>
      </w:tr>
      <w:tr>
        <w:trPr>
          <w:trHeight w:val="68"/>
        </w:trPr>
        <w:tc>
          <w:tcPr>
            <w:tcW w:w="63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gridSpan w:val="4"/>
            <w:vMerge w:val="continue"/>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gridSpan w:val="2"/>
            <w:vMerge w:val="restart"/>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2011 VS. 2012</w:t>
            </w:r>
          </w:p>
        </w:tc>
        <w:tc>
          <w:tcPr>
            <w:tcW w:w="0" w:type="dxa"/>
            <w:vAlign w:val="bottom"/>
          </w:tcPr>
          <w:p>
            <w:pPr>
              <w:spacing w:after="0"/>
              <w:rPr>
                <w:sz w:val="1"/>
                <w:szCs w:val="1"/>
                <w:color w:val="auto"/>
              </w:rPr>
            </w:pPr>
          </w:p>
        </w:tc>
      </w:tr>
      <w:tr>
        <w:trPr>
          <w:trHeight w:val="54"/>
        </w:trPr>
        <w:tc>
          <w:tcPr>
            <w:tcW w:w="6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3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2011</w:t>
            </w:r>
          </w:p>
        </w:tc>
        <w:tc>
          <w:tcPr>
            <w:tcW w:w="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2012</w:t>
            </w:r>
          </w:p>
        </w:tc>
        <w:tc>
          <w:tcPr>
            <w:tcW w:w="9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INCREASE/(DECREASE)</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General and administrative expenses</w:t>
            </w: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w w:val="93"/>
              </w:rPr>
              <w:t>6,730</w:t>
            </w:r>
          </w:p>
        </w:tc>
        <w:tc>
          <w:tcPr>
            <w:tcW w:w="114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7,006</w:t>
            </w:r>
          </w:p>
        </w:tc>
        <w:tc>
          <w:tcPr>
            <w:tcW w:w="1120" w:type="dxa"/>
            <w:vAlign w:val="bottom"/>
            <w:gridSpan w:val="2"/>
            <w:shd w:val="clear" w:color="auto" w:fill="CCEEFF"/>
          </w:tcPr>
          <w:p>
            <w:pPr>
              <w:jc w:val="right"/>
              <w:ind w:right="55"/>
              <w:spacing w:after="0" w:line="186"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General and administrative expenses were $7.0 million for the year ended December 31, 2012 compared to $6.7 million for the year ended December 31, 2011, an increase of $0.3 million. The increase was primarily due to an increase in intellectual property expenses associated with our discovery and development programs.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4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summarizes our other income (expense) for the years ended December 31, 2011 and 2012 together with changes in those items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2"/>
                <w:szCs w:val="12"/>
                <w:color w:val="auto"/>
              </w:rPr>
            </w:pPr>
          </w:p>
        </w:tc>
        <w:tc>
          <w:tcPr>
            <w:tcW w:w="272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CHANGE</w:t>
            </w:r>
          </w:p>
        </w:tc>
      </w:tr>
      <w:tr>
        <w:trPr>
          <w:trHeight w:val="155"/>
        </w:trPr>
        <w:tc>
          <w:tcPr>
            <w:tcW w:w="7100" w:type="dxa"/>
            <w:vAlign w:val="bottom"/>
          </w:tcPr>
          <w:p>
            <w:pPr>
              <w:spacing w:after="0"/>
              <w:rPr>
                <w:sz w:val="13"/>
                <w:szCs w:val="13"/>
                <w:color w:val="auto"/>
              </w:rPr>
            </w:pPr>
          </w:p>
        </w:tc>
        <w:tc>
          <w:tcPr>
            <w:tcW w:w="272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97"/>
              </w:rPr>
              <w:t>DECEMBER 31,</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2011 VS. 2012</w:t>
            </w:r>
          </w:p>
        </w:tc>
      </w:tr>
      <w:tr>
        <w:trPr>
          <w:trHeight w:val="135"/>
        </w:trPr>
        <w:tc>
          <w:tcPr>
            <w:tcW w:w="71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1"/>
              <w:spacing w:after="0" w:line="135" w:lineRule="exact"/>
              <w:rPr>
                <w:sz w:val="20"/>
                <w:szCs w:val="20"/>
                <w:color w:val="auto"/>
              </w:rPr>
            </w:pPr>
            <w:r>
              <w:rPr>
                <w:rFonts w:ascii="Arial" w:cs="Arial" w:eastAsia="Arial" w:hAnsi="Arial"/>
                <w:sz w:val="13"/>
                <w:szCs w:val="13"/>
                <w:b w:val="1"/>
                <w:bCs w:val="1"/>
                <w:color w:val="auto"/>
              </w:rPr>
              <w:t>2011</w:t>
            </w:r>
          </w:p>
        </w:tc>
        <w:tc>
          <w:tcPr>
            <w:tcW w:w="78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5"/>
              <w:spacing w:after="0" w:line="135" w:lineRule="exact"/>
              <w:rPr>
                <w:sz w:val="20"/>
                <w:szCs w:val="20"/>
                <w:color w:val="auto"/>
              </w:rPr>
            </w:pPr>
            <w:r>
              <w:rPr>
                <w:rFonts w:ascii="Arial" w:cs="Arial" w:eastAsia="Arial" w:hAnsi="Arial"/>
                <w:sz w:val="13"/>
                <w:szCs w:val="13"/>
                <w:b w:val="1"/>
                <w:bCs w:val="1"/>
                <w:color w:val="auto"/>
              </w:rPr>
              <w:t>2012</w:t>
            </w:r>
          </w:p>
        </w:tc>
        <w:tc>
          <w:tcPr>
            <w:tcW w:w="78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INCREASE/(DECREASE)</w:t>
            </w:r>
          </w:p>
        </w:tc>
        <w:tc>
          <w:tcPr>
            <w:tcW w:w="100" w:type="dxa"/>
            <w:vAlign w:val="bottom"/>
            <w:tcBorders>
              <w:bottom w:val="single" w:sz="8" w:color="CCEEFF"/>
            </w:tcBorders>
          </w:tcPr>
          <w:p>
            <w:pPr>
              <w:spacing w:after="0"/>
              <w:rPr>
                <w:sz w:val="11"/>
                <w:szCs w:val="11"/>
                <w:color w:val="auto"/>
              </w:rPr>
            </w:pPr>
          </w:p>
        </w:tc>
      </w:tr>
      <w:tr>
        <w:trPr>
          <w:trHeight w:val="186"/>
        </w:trPr>
        <w:tc>
          <w:tcPr>
            <w:tcW w:w="71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Other income (expense):</w:t>
            </w: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  122</w:t>
            </w:r>
          </w:p>
        </w:tc>
        <w:tc>
          <w:tcPr>
            <w:tcW w:w="2140" w:type="dxa"/>
            <w:vAlign w:val="bottom"/>
            <w:gridSpan w:val="3"/>
            <w:shd w:val="clear" w:color="auto" w:fill="CCEEFF"/>
          </w:tcPr>
          <w:p>
            <w:pPr>
              <w:jc w:val="right"/>
              <w:ind w:right="720"/>
              <w:spacing w:after="0" w:line="186" w:lineRule="exact"/>
              <w:rPr>
                <w:sz w:val="20"/>
                <w:szCs w:val="20"/>
                <w:color w:val="auto"/>
              </w:rPr>
            </w:pPr>
            <w:r>
              <w:rPr>
                <w:rFonts w:ascii="Arial" w:cs="Arial" w:eastAsia="Arial" w:hAnsi="Arial"/>
                <w:sz w:val="17"/>
                <w:szCs w:val="17"/>
                <w:color w:val="auto"/>
              </w:rPr>
              <w:t>$(1,148)</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0"/>
              <w:spacing w:after="0" w:line="186" w:lineRule="exact"/>
              <w:rPr>
                <w:sz w:val="20"/>
                <w:szCs w:val="20"/>
                <w:color w:val="auto"/>
              </w:rPr>
            </w:pPr>
            <w:r>
              <w:rPr>
                <w:rFonts w:ascii="Arial" w:cs="Arial" w:eastAsia="Arial" w:hAnsi="Arial"/>
                <w:sz w:val="17"/>
                <w:szCs w:val="17"/>
                <w:color w:val="auto"/>
              </w:rPr>
              <w:t>(1,270)</w:t>
            </w:r>
          </w:p>
        </w:tc>
      </w:tr>
    </w:tbl>
    <w:p>
      <w:pPr>
        <w:spacing w:after="0" w:line="248"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Interest income for the year ended December 31, 2012 was comparable to interest income for the year ended December 31, 2011 due to similar levels of cash and investment balances for both years.</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Interest expense for the year ended December 31, 2012 was comparable to interest expense for the year ended December 31, 2011 due to the similar amount of principal of the note payable to our collaborator, Isis, pursuant to our agreement with them.</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recognized a foreign exchange loss of $0.2 million for the year ended December 31, 2012 compared to a foreign exchange gain of $0.1 million for the year ended December 31, 2011 due to unfavorable exchange rate fluctuation.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4"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740"/>
        <w:spacing w:after="0" w:line="245" w:lineRule="auto"/>
        <w:rPr>
          <w:sz w:val="20"/>
          <w:szCs w:val="20"/>
          <w:color w:val="auto"/>
        </w:rPr>
      </w:pPr>
      <w:r>
        <w:rPr>
          <w:rFonts w:ascii="Arial" w:cs="Arial" w:eastAsia="Arial" w:hAnsi="Arial"/>
          <w:sz w:val="17"/>
          <w:szCs w:val="17"/>
          <w:color w:val="auto"/>
        </w:rPr>
        <w:t>We wrote-off leasehold improvements with a net book value of $1.0 million during the year ended December 31, 2012 in connection with a lease extension and modification agreement made effective April 1, 2012. No such item was recorded in the year ended December 31, 2011.</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7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To date, we have financed our operations primarily through funding received from collaboration and license agreements and private placements of our common and preferred shares, as well as through the receipt of government funding. Through June 30, 2014, we have received an aggregate of approximately $265.2 million to fund our operations, of which approximately $145.7 million was non-equity funding pursuant to collaboration and license agreements, approximately $17.0 million was pursuant to government funding, and approximately $102.5 million was pursuant to the sale of our preferred shares. As of June 30, 2014, we had cash, cash equivalents and marketable securities of $44.7 million.</w:t>
      </w:r>
    </w:p>
    <w:p>
      <w:pPr>
        <w:spacing w:after="0" w:line="11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incurred significant operating losses since inception. Our net loss was $12.0 million and $4.3 million for the years ended December 31, 2011 and 2012, respectively. Although we had $12.0 million in net income for the year ended December 31, 2013, and $2.6 million in net income for the six months ended June 30, 2014, we had an accumulated deficit of $114.1 million from inception through June 30, 2014.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clinical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as a public company and our product development and planned future commercialization efforts; and experience any delays or encounter issues with any of the above.</w:t>
      </w:r>
    </w:p>
    <w:p>
      <w:pPr>
        <w:spacing w:after="0" w:line="11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upon completion of this offering, we will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are difficult to forecast and will depend on many factors, including:</w:t>
      </w:r>
    </w:p>
    <w:p>
      <w:pPr>
        <w:spacing w:after="0" w:line="30" w:lineRule="exact"/>
        <w:rPr>
          <w:sz w:val="20"/>
          <w:szCs w:val="20"/>
          <w:color w:val="auto"/>
        </w:rPr>
      </w:pPr>
    </w:p>
    <w:p>
      <w:pPr>
        <w:ind w:left="780" w:hanging="441"/>
        <w:spacing w:after="0"/>
        <w:tabs>
          <w:tab w:leader="none" w:pos="78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whether our existing collaborations continue to generate research funding, milestone payments and royalties to us;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the number and stage of development of future product candidates that we choose to pursue;</w:t>
      </w:r>
    </w:p>
    <w:p>
      <w:pPr>
        <w:spacing w:after="0" w:line="17" w:lineRule="exact"/>
        <w:rPr>
          <w:rFonts w:ascii="Arial" w:cs="Arial" w:eastAsia="Arial" w:hAnsi="Arial"/>
          <w:sz w:val="23"/>
          <w:szCs w:val="23"/>
          <w:color w:val="auto"/>
          <w:vertAlign w:val="superscript"/>
        </w:rPr>
      </w:pPr>
    </w:p>
    <w:p>
      <w:pPr>
        <w:ind w:left="780" w:right="80" w:hanging="441"/>
        <w:spacing w:after="0" w:line="191" w:lineRule="auto"/>
        <w:tabs>
          <w:tab w:leader="none" w:pos="78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the scope, progress, results and costs of research and development of our future product candidates independently, and conducting preclinical research and clinical studies;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5"/>
        </w:numPr>
        <w:rPr>
          <w:rFonts w:ascii="Arial" w:cs="Arial" w:eastAsia="Arial" w:hAnsi="Arial"/>
          <w:sz w:val="25"/>
          <w:szCs w:val="25"/>
          <w:color w:val="auto"/>
          <w:vertAlign w:val="superscript"/>
        </w:rPr>
      </w:pPr>
      <w:r>
        <w:rPr>
          <w:rFonts w:ascii="Arial" w:cs="Arial" w:eastAsia="Arial" w:hAnsi="Arial"/>
          <w:sz w:val="16"/>
          <w:szCs w:val="16"/>
          <w:color w:val="auto"/>
        </w:rPr>
        <w:t>the timing and costs involved in obtaining regulatory approvals for any future product candidates we develop independently;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4"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19" w:lineRule="exact"/>
        <w:rPr>
          <w:sz w:val="20"/>
          <w:szCs w:val="20"/>
          <w:color w:val="auto"/>
        </w:rPr>
      </w:pPr>
    </w:p>
    <w:p>
      <w:pPr>
        <w:ind w:left="780" w:hanging="441"/>
        <w:spacing w:after="0"/>
        <w:tabs>
          <w:tab w:leader="none" w:pos="78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the cost associated with exercising our co-promotion option for TV-45070 in the U.S., should the opportunity arise and we choose to do so;</w:t>
      </w:r>
    </w:p>
    <w:p>
      <w:pPr>
        <w:spacing w:after="0" w:line="17" w:lineRule="exact"/>
        <w:rPr>
          <w:rFonts w:ascii="Arial" w:cs="Arial" w:eastAsia="Arial" w:hAnsi="Arial"/>
          <w:sz w:val="26"/>
          <w:szCs w:val="26"/>
          <w:color w:val="auto"/>
          <w:vertAlign w:val="superscript"/>
        </w:rPr>
      </w:pPr>
    </w:p>
    <w:p>
      <w:pPr>
        <w:ind w:left="780" w:right="120" w:hanging="441"/>
        <w:spacing w:after="0" w:line="191" w:lineRule="auto"/>
        <w:tabs>
          <w:tab w:leader="none" w:pos="78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the cost of commercialization activities, if any, of any future product candidates we develop independently that are approved for sale, including marketing, sales and distribution costs;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the cost of manufacturing our future product candidates and any products we successfully commercialize independently;</w:t>
      </w:r>
    </w:p>
    <w:p>
      <w:pPr>
        <w:spacing w:after="0" w:line="17" w:lineRule="exact"/>
        <w:rPr>
          <w:rFonts w:ascii="Arial" w:cs="Arial" w:eastAsia="Arial" w:hAnsi="Arial"/>
          <w:sz w:val="25"/>
          <w:szCs w:val="25"/>
          <w:color w:val="auto"/>
          <w:vertAlign w:val="superscript"/>
        </w:rPr>
      </w:pPr>
    </w:p>
    <w:p>
      <w:pPr>
        <w:ind w:left="780" w:right="320" w:hanging="441"/>
        <w:spacing w:after="0" w:line="191" w:lineRule="auto"/>
        <w:tabs>
          <w:tab w:leader="none" w:pos="78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our ability to maintain existing collaborations and to establish new collaborations, licensing or other arrangements and the financial terms of such arrangements;</w:t>
      </w:r>
    </w:p>
    <w:p>
      <w:pPr>
        <w:spacing w:after="0" w:line="19" w:lineRule="exact"/>
        <w:rPr>
          <w:rFonts w:ascii="Arial" w:cs="Arial" w:eastAsia="Arial" w:hAnsi="Arial"/>
          <w:sz w:val="26"/>
          <w:szCs w:val="26"/>
          <w:color w:val="auto"/>
          <w:vertAlign w:val="superscript"/>
        </w:rPr>
      </w:pPr>
    </w:p>
    <w:p>
      <w:pPr>
        <w:ind w:left="780" w:right="440" w:hanging="441"/>
        <w:spacing w:after="0" w:line="191" w:lineRule="auto"/>
        <w:tabs>
          <w:tab w:leader="none" w:pos="78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the costs of preparing, filing, prosecuting, maintaining, defending and enforcing patents, including litigation costs and the outcome of such litigation;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the timing, receipt and amount of sales, or royalties on Glybera, TV-45070, GDC-0276 and our future product candidates, if any.</w:t>
      </w:r>
    </w:p>
    <w:p>
      <w:pPr>
        <w:spacing w:after="0" w:line="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we expect that the net proceeds from this offering, together with our existing cash, cash equivalents and marketable securities as of the date of this prospectus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summary of our cash flows for the years ended December 31, 2011, 2012 and 2013 and for the six months ended June 30,</w:t>
      </w:r>
    </w:p>
    <w:p>
      <w:pPr>
        <w:spacing w:after="0"/>
        <w:rPr>
          <w:sz w:val="20"/>
          <w:szCs w:val="20"/>
          <w:color w:val="auto"/>
        </w:rPr>
      </w:pPr>
      <w:r>
        <w:rPr>
          <w:rFonts w:ascii="Arial" w:cs="Arial" w:eastAsia="Arial" w:hAnsi="Arial"/>
          <w:sz w:val="17"/>
          <w:szCs w:val="17"/>
          <w:color w:val="auto"/>
        </w:rPr>
        <w:t>2013 and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520" w:type="dxa"/>
            <w:vAlign w:val="bottom"/>
            <w:gridSpan w:val="7"/>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8"/>
              </w:rPr>
              <w:t>SIX MONTHS ENDED JUNE 30,</w:t>
            </w:r>
          </w:p>
        </w:tc>
      </w:tr>
      <w:tr>
        <w:trPr>
          <w:trHeight w:val="135"/>
        </w:trPr>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Borders>
              <w:top w:val="single" w:sz="8" w:color="auto"/>
            </w:tcBorders>
          </w:tcPr>
          <w:p>
            <w:pPr>
              <w:jc w:val="right"/>
              <w:ind w:right="155"/>
              <w:spacing w:after="0" w:line="135" w:lineRule="exact"/>
              <w:rPr>
                <w:sz w:val="20"/>
                <w:szCs w:val="20"/>
                <w:color w:val="auto"/>
              </w:rPr>
            </w:pPr>
            <w:r>
              <w:rPr>
                <w:rFonts w:ascii="Arial" w:cs="Arial" w:eastAsia="Arial" w:hAnsi="Arial"/>
                <w:sz w:val="13"/>
                <w:szCs w:val="13"/>
                <w:b w:val="1"/>
                <w:bCs w:val="1"/>
                <w:color w:val="auto"/>
              </w:rPr>
              <w:t>2011</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36"/>
              <w:spacing w:after="0" w:line="135"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41"/>
              <w:spacing w:after="0" w:line="135" w:lineRule="exact"/>
              <w:rPr>
                <w:sz w:val="20"/>
                <w:szCs w:val="20"/>
                <w:color w:val="auto"/>
              </w:rPr>
            </w:pPr>
            <w:r>
              <w:rPr>
                <w:rFonts w:ascii="Arial" w:cs="Arial" w:eastAsia="Arial" w:hAnsi="Arial"/>
                <w:sz w:val="13"/>
                <w:szCs w:val="13"/>
                <w:b w:val="1"/>
                <w:bCs w:val="1"/>
                <w:color w:val="auto"/>
              </w:rPr>
              <w:t>2013</w:t>
            </w: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86"/>
              <w:spacing w:after="0" w:line="135" w:lineRule="exact"/>
              <w:rPr>
                <w:sz w:val="20"/>
                <w:szCs w:val="20"/>
                <w:color w:val="auto"/>
              </w:rPr>
            </w:pPr>
            <w:r>
              <w:rPr>
                <w:rFonts w:ascii="Arial" w:cs="Arial" w:eastAsia="Arial" w:hAnsi="Arial"/>
                <w:sz w:val="13"/>
                <w:szCs w:val="13"/>
                <w:b w:val="1"/>
                <w:bCs w:val="1"/>
                <w:color w:val="auto"/>
              </w:rPr>
              <w:t>2013</w:t>
            </w:r>
          </w:p>
        </w:tc>
        <w:tc>
          <w:tcPr>
            <w:tcW w:w="4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21"/>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left="466"/>
              <w:spacing w:after="0" w:line="135" w:lineRule="exact"/>
              <w:rPr>
                <w:sz w:val="20"/>
                <w:szCs w:val="20"/>
                <w:color w:val="auto"/>
              </w:rPr>
            </w:pPr>
            <w:r>
              <w:rPr>
                <w:rFonts w:ascii="Arial" w:cs="Arial" w:eastAsia="Arial" w:hAnsi="Arial"/>
                <w:sz w:val="13"/>
                <w:szCs w:val="13"/>
                <w:b w:val="1"/>
                <w:bCs w:val="1"/>
                <w:color w:val="auto"/>
              </w:rPr>
              <w:t>(unaudited)</w:t>
            </w: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4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(used in) operating activities</w:t>
            </w:r>
          </w:p>
        </w:tc>
        <w:tc>
          <w:tcPr>
            <w:tcW w:w="186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 (13,689)</w:t>
            </w:r>
          </w:p>
        </w:tc>
        <w:tc>
          <w:tcPr>
            <w:tcW w:w="1180" w:type="dxa"/>
            <w:vAlign w:val="bottom"/>
            <w:gridSpan w:val="3"/>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  45,573</w:t>
            </w:r>
          </w:p>
        </w:tc>
        <w:tc>
          <w:tcPr>
            <w:tcW w:w="3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(3,322)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46"/>
              <w:spacing w:after="0" w:line="194" w:lineRule="exact"/>
              <w:rPr>
                <w:sz w:val="20"/>
                <w:szCs w:val="20"/>
                <w:color w:val="auto"/>
              </w:rPr>
            </w:pPr>
            <w:r>
              <w:rPr>
                <w:rFonts w:ascii="Arial" w:cs="Arial" w:eastAsia="Arial" w:hAnsi="Arial"/>
                <w:sz w:val="17"/>
                <w:szCs w:val="17"/>
                <w:color w:val="auto"/>
              </w:rPr>
              <w:t>(5,614)</w:t>
            </w:r>
          </w:p>
        </w:tc>
        <w:tc>
          <w:tcPr>
            <w:tcW w:w="44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(3,067)</w:t>
            </w:r>
          </w:p>
        </w:tc>
      </w:tr>
      <w:tr>
        <w:trPr>
          <w:trHeight w:val="194"/>
        </w:trPr>
        <w:tc>
          <w:tcPr>
            <w:tcW w:w="4600" w:type="dxa"/>
            <w:vAlign w:val="bottom"/>
          </w:tcPr>
          <w:p>
            <w:pPr>
              <w:spacing w:after="0" w:line="194" w:lineRule="exact"/>
              <w:rPr>
                <w:sz w:val="20"/>
                <w:szCs w:val="20"/>
                <w:color w:val="auto"/>
              </w:rPr>
            </w:pPr>
            <w:r>
              <w:rPr>
                <w:rFonts w:ascii="Arial" w:cs="Arial" w:eastAsia="Arial" w:hAnsi="Arial"/>
                <w:sz w:val="17"/>
                <w:szCs w:val="17"/>
                <w:color w:val="auto"/>
              </w:rPr>
              <w:t>Net cash provided by (used in) investing activities</w:t>
            </w:r>
          </w:p>
        </w:tc>
        <w:tc>
          <w:tcPr>
            <w:tcW w:w="1860" w:type="dxa"/>
            <w:vAlign w:val="bottom"/>
            <w:gridSpan w:val="3"/>
          </w:tcPr>
          <w:p>
            <w:pPr>
              <w:jc w:val="right"/>
              <w:ind w:right="260"/>
              <w:spacing w:after="0" w:line="194" w:lineRule="exact"/>
              <w:rPr>
                <w:sz w:val="20"/>
                <w:szCs w:val="20"/>
                <w:color w:val="auto"/>
              </w:rPr>
            </w:pPr>
            <w:r>
              <w:rPr>
                <w:rFonts w:ascii="Arial" w:cs="Arial" w:eastAsia="Arial" w:hAnsi="Arial"/>
                <w:sz w:val="17"/>
                <w:szCs w:val="17"/>
                <w:color w:val="auto"/>
              </w:rPr>
              <w:t>13,889</w:t>
            </w:r>
          </w:p>
        </w:tc>
        <w:tc>
          <w:tcPr>
            <w:tcW w:w="1180" w:type="dxa"/>
            <w:vAlign w:val="bottom"/>
            <w:gridSpan w:val="3"/>
          </w:tcPr>
          <w:p>
            <w:pPr>
              <w:jc w:val="right"/>
              <w:ind w:right="240"/>
              <w:spacing w:after="0" w:line="194" w:lineRule="exact"/>
              <w:rPr>
                <w:sz w:val="20"/>
                <w:szCs w:val="20"/>
                <w:color w:val="auto"/>
              </w:rPr>
            </w:pPr>
            <w:r>
              <w:rPr>
                <w:rFonts w:ascii="Arial" w:cs="Arial" w:eastAsia="Arial" w:hAnsi="Arial"/>
                <w:sz w:val="17"/>
                <w:szCs w:val="17"/>
                <w:color w:val="auto"/>
              </w:rPr>
              <w:t>491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(11,472)</w:t>
            </w:r>
          </w:p>
        </w:tc>
        <w:tc>
          <w:tcPr>
            <w:tcW w:w="140" w:type="dxa"/>
            <w:vAlign w:val="bottom"/>
          </w:tcPr>
          <w:p>
            <w:pPr>
              <w:spacing w:after="0"/>
              <w:rPr>
                <w:sz w:val="16"/>
                <w:szCs w:val="16"/>
                <w:color w:val="auto"/>
              </w:rPr>
            </w:pPr>
          </w:p>
        </w:tc>
        <w:tc>
          <w:tcPr>
            <w:tcW w:w="980" w:type="dxa"/>
            <w:vAlign w:val="bottom"/>
          </w:tcPr>
          <w:p>
            <w:pPr>
              <w:jc w:val="right"/>
              <w:ind w:right="146"/>
              <w:spacing w:after="0" w:line="194" w:lineRule="exact"/>
              <w:rPr>
                <w:sz w:val="20"/>
                <w:szCs w:val="20"/>
                <w:color w:val="auto"/>
              </w:rPr>
            </w:pPr>
            <w:r>
              <w:rPr>
                <w:rFonts w:ascii="Arial" w:cs="Arial" w:eastAsia="Arial" w:hAnsi="Arial"/>
                <w:sz w:val="17"/>
                <w:szCs w:val="17"/>
                <w:color w:val="auto"/>
              </w:rPr>
              <w:t>(68)</w:t>
            </w:r>
          </w:p>
        </w:tc>
        <w:tc>
          <w:tcPr>
            <w:tcW w:w="4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1,125</w:t>
            </w:r>
          </w:p>
        </w:tc>
        <w:tc>
          <w:tcPr>
            <w:tcW w:w="100" w:type="dxa"/>
            <w:vAlign w:val="bottom"/>
          </w:tcPr>
          <w:p>
            <w:pPr>
              <w:spacing w:after="0"/>
              <w:rPr>
                <w:sz w:val="16"/>
                <w:szCs w:val="16"/>
                <w:color w:val="auto"/>
              </w:rPr>
            </w:pPr>
          </w:p>
        </w:tc>
      </w:tr>
      <w:tr>
        <w:trPr>
          <w:trHeight w:val="194"/>
        </w:trPr>
        <w:tc>
          <w:tcPr>
            <w:tcW w:w="4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provided by (used in) financing activities</w:t>
            </w:r>
          </w:p>
        </w:tc>
        <w:tc>
          <w:tcPr>
            <w:tcW w:w="1860" w:type="dxa"/>
            <w:vAlign w:val="bottom"/>
            <w:gridSpan w:val="3"/>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(4,391)</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46"/>
              <w:spacing w:after="0" w:line="194" w:lineRule="exact"/>
              <w:rPr>
                <w:sz w:val="20"/>
                <w:szCs w:val="20"/>
                <w:color w:val="auto"/>
              </w:rPr>
            </w:pPr>
            <w:r>
              <w:rPr>
                <w:rFonts w:ascii="Arial" w:cs="Arial" w:eastAsia="Arial" w:hAnsi="Arial"/>
                <w:sz w:val="17"/>
                <w:szCs w:val="17"/>
                <w:color w:val="auto"/>
              </w:rPr>
              <w:t>(1,697)</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529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44"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During the six months ended June 30, 2014, net cash used in operating activities totaled $3.1 million. Our net income of $2.6 million was offset by a significant decrease in deferred revenue and operating liabilities.</w:t>
      </w:r>
    </w:p>
    <w:p>
      <w:pPr>
        <w:spacing w:after="0" w:line="104"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During the six months ended June 30, 2013, net cash used in operating activities totaled $5.6 million. Our net income of $3.1 million was offset by a significant decrease in deferred revenue and decrease in other operating assets.</w:t>
      </w:r>
    </w:p>
    <w:p>
      <w:pPr>
        <w:spacing w:after="0" w:line="104" w:lineRule="exact"/>
        <w:rPr>
          <w:sz w:val="20"/>
          <w:szCs w:val="20"/>
          <w:color w:val="auto"/>
        </w:rPr>
      </w:pPr>
    </w:p>
    <w:p>
      <w:pPr>
        <w:ind w:right="460"/>
        <w:spacing w:after="0" w:line="245" w:lineRule="auto"/>
        <w:rPr>
          <w:sz w:val="20"/>
          <w:szCs w:val="20"/>
          <w:color w:val="auto"/>
        </w:rPr>
      </w:pPr>
      <w:r>
        <w:rPr>
          <w:rFonts w:ascii="Arial" w:cs="Arial" w:eastAsia="Arial" w:hAnsi="Arial"/>
          <w:sz w:val="17"/>
          <w:szCs w:val="17"/>
          <w:color w:val="auto"/>
        </w:rPr>
        <w:t>During the year ended December 31, 2013, net cash used in operating activities totaled $3.3 million. Our net income of $12.0 million was offset by a significant decrease in deferred revenue and other changes in working capital.</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During the year ended December 31, 2012, operating activities provided $45.6 million of cash. This cash flow from operations resulted from the $41.0 million payment received from Teva and the collection of the $10.0 million receivable for the upfront payment from the Genentech collaboration, partially offset by our net loss of $4.3 million. Our accounts payable and accrued liabilities were affected by the timing of payments to our vendors and additional accruals for our research activities.</w:t>
      </w:r>
    </w:p>
    <w:p>
      <w:pPr>
        <w:spacing w:after="0" w:line="10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During the year ended December 31, 2011, operating activities used $13.7 million of cash, primarily as a result of our net loss for the year of $12.0 million and the net impact of the Genentech collaboration and our recording of the receivable and deferred revenue of the upfront payment of $10.0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4"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4"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During the six months ended June 30, 2014, net cash provided by investing activities was $1.1 million and consisted primarily of cash received from the sale of marketable securities, partially offset by cash used to purchase property, plant and equipment and marketable securities.</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During the six months ended June 30, 2013, net cash used in investing activities was $0.1 million and consisted primarily of purchases of property, plant and equipment.</w:t>
      </w:r>
    </w:p>
    <w:p>
      <w:pPr>
        <w:spacing w:after="0" w:line="104"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During the year ended December 31, 2013, net cash used in investing activities was $11.5 million and consisted primarily of purchases of marketable securities of $17.9 million, partially offset by proceeds from marketable securities of $6.6 million.</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For the year ended December 31, 2012, net cash provided by investing activities was $0.5 million and consisted primarily of cash received from the sale of marketable securities of $1.0 million, partially offset by purchases of property, plant and equipment of $0.5 million.</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For the year ended December 31, 2011, net cash provided by investing activities was $13.9 million and consisted primarily of cash received from the sale of marketable securities of $14.2 million, partially offset by purchases of property, plant and equipment of $0.3 million.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4" w:lineRule="exact"/>
        <w:rPr>
          <w:sz w:val="20"/>
          <w:szCs w:val="20"/>
          <w:color w:val="auto"/>
        </w:rPr>
      </w:pPr>
    </w:p>
    <w:p>
      <w:pPr>
        <w:ind w:right="560"/>
        <w:spacing w:after="0" w:line="245" w:lineRule="auto"/>
        <w:rPr>
          <w:sz w:val="20"/>
          <w:szCs w:val="20"/>
          <w:color w:val="auto"/>
        </w:rPr>
      </w:pPr>
      <w:r>
        <w:rPr>
          <w:rFonts w:ascii="Arial" w:cs="Arial" w:eastAsia="Arial" w:hAnsi="Arial"/>
          <w:sz w:val="17"/>
          <w:szCs w:val="17"/>
          <w:color w:val="auto"/>
        </w:rPr>
        <w:t>During the six months ended June 30, 2014, net cash used for financing activities was $0.7 million, which consisted primarily of additional deferred financing costs.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During the six months ended June 30, 2013, net cash used for financing activities was $1.7 million, which consisted of repayment of the note we issued to Isis in connection with our collaboration agreement.</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During the year ended December 31, 2013, net cash used for financing activities was $4.4 million, which consisted of $2.7 million in deferred financing costs and $1.7 million for repayment of the note we issued to Isis in connection with our collaboration agreement.</w:t>
      </w:r>
    </w:p>
    <w:p>
      <w:pPr>
        <w:spacing w:after="0" w:line="104"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Net cash provided by financing activities for the years ended December 31, 2011 and 2012 were related to the exercise of stock options and was less than $2,000 for each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our significant contractual obligations as of June 30,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CONTRACTUAL OBLIGATIONS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MORE THAN</w:t>
            </w:r>
          </w:p>
        </w:tc>
        <w:tc>
          <w:tcPr>
            <w:tcW w:w="0" w:type="dxa"/>
            <w:vAlign w:val="bottom"/>
          </w:tcPr>
          <w:p>
            <w:pPr>
              <w:spacing w:after="0"/>
              <w:rPr>
                <w:sz w:val="1"/>
                <w:szCs w:val="1"/>
                <w:color w:val="auto"/>
              </w:rPr>
            </w:pPr>
          </w:p>
        </w:tc>
      </w:tr>
      <w:tr>
        <w:trPr>
          <w:trHeight w:val="146"/>
        </w:trPr>
        <w:tc>
          <w:tcPr>
            <w:tcW w:w="4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680"/>
              <w:spacing w:after="0" w:line="146"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7"/>
              </w:rPr>
              <w:t>1 YEAR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00"/>
              <w:spacing w:after="0" w:line="146" w:lineRule="exact"/>
              <w:rPr>
                <w:sz w:val="20"/>
                <w:szCs w:val="20"/>
                <w:color w:val="auto"/>
              </w:rPr>
            </w:pPr>
            <w:r>
              <w:rPr>
                <w:rFonts w:ascii="Arial" w:cs="Arial" w:eastAsia="Arial" w:hAnsi="Arial"/>
                <w:sz w:val="13"/>
                <w:szCs w:val="13"/>
                <w:b w:val="1"/>
                <w:bCs w:val="1"/>
                <w:color w:val="auto"/>
                <w:w w:val="97"/>
              </w:rPr>
              <w:t>1 TO 3 YEARS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3 TO 5 YEARS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0"/>
        </w:trPr>
        <w:tc>
          <w:tcPr>
            <w:tcW w:w="1860" w:type="dxa"/>
            <w:vAlign w:val="bottom"/>
            <w:tcBorders>
              <w:top w:val="single" w:sz="8" w:color="auto"/>
            </w:tcBorders>
            <w:vMerge w:val="restart"/>
            <w:shd w:val="clear" w:color="auto" w:fill="CCEEFF"/>
          </w:tcPr>
          <w:p>
            <w:pPr>
              <w:spacing w:after="0" w:line="200" w:lineRule="exact"/>
              <w:rPr>
                <w:sz w:val="20"/>
                <w:szCs w:val="20"/>
                <w:color w:val="auto"/>
              </w:rPr>
            </w:pPr>
            <w:r>
              <w:rPr>
                <w:rFonts w:ascii="Arial" w:cs="Arial" w:eastAsia="Arial" w:hAnsi="Arial"/>
                <w:sz w:val="17"/>
                <w:szCs w:val="17"/>
                <w:color w:val="auto"/>
              </w:rPr>
              <w:t xml:space="preserve">Operating leases </w:t>
            </w:r>
            <w:r>
              <w:rPr>
                <w:rFonts w:ascii="Arial" w:cs="Arial" w:eastAsia="Arial" w:hAnsi="Arial"/>
                <w:sz w:val="21"/>
                <w:szCs w:val="21"/>
                <w:color w:val="auto"/>
                <w:vertAlign w:val="superscript"/>
              </w:rPr>
              <w:t>(1)</w:t>
            </w:r>
          </w:p>
        </w:tc>
        <w:tc>
          <w:tcPr>
            <w:tcW w:w="25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60" w:type="dxa"/>
            <w:vAlign w:val="bottom"/>
            <w:vMerge w:val="continue"/>
            <w:shd w:val="clear" w:color="auto" w:fill="CCEEFF"/>
          </w:tcPr>
          <w:p>
            <w:pPr>
              <w:spacing w:after="0"/>
              <w:rPr>
                <w:sz w:val="15"/>
                <w:szCs w:val="15"/>
                <w:color w:val="auto"/>
              </w:rPr>
            </w:pPr>
          </w:p>
        </w:tc>
        <w:tc>
          <w:tcPr>
            <w:tcW w:w="25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jc w:val="right"/>
              <w:ind w:right="36"/>
              <w:spacing w:after="0" w:line="180"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40"/>
              <w:spacing w:after="0" w:line="180" w:lineRule="exact"/>
              <w:rPr>
                <w:sz w:val="20"/>
                <w:szCs w:val="20"/>
                <w:color w:val="auto"/>
              </w:rPr>
            </w:pPr>
            <w:r>
              <w:rPr>
                <w:rFonts w:ascii="Arial" w:cs="Arial" w:eastAsia="Arial" w:hAnsi="Arial"/>
                <w:sz w:val="17"/>
                <w:szCs w:val="17"/>
                <w:color w:val="auto"/>
              </w:rPr>
              <w:t>8,568</w:t>
            </w:r>
          </w:p>
        </w:tc>
        <w:tc>
          <w:tcPr>
            <w:tcW w:w="1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7"/>
                <w:szCs w:val="17"/>
                <w:color w:val="auto"/>
              </w:rPr>
              <w:t>527</w:t>
            </w:r>
          </w:p>
        </w:tc>
        <w:tc>
          <w:tcPr>
            <w:tcW w:w="28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2,106</w:t>
            </w:r>
          </w:p>
        </w:tc>
        <w:tc>
          <w:tcPr>
            <w:tcW w:w="28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2,248</w:t>
            </w:r>
          </w:p>
        </w:tc>
        <w:tc>
          <w:tcPr>
            <w:tcW w:w="300" w:type="dxa"/>
            <w:vAlign w:val="bottom"/>
            <w:gridSpan w:val="2"/>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3,687</w:t>
            </w:r>
          </w:p>
        </w:tc>
        <w:tc>
          <w:tcPr>
            <w:tcW w:w="0" w:type="dxa"/>
            <w:vAlign w:val="bottom"/>
          </w:tcPr>
          <w:p>
            <w:pPr>
              <w:spacing w:after="0"/>
              <w:rPr>
                <w:sz w:val="1"/>
                <w:szCs w:val="1"/>
                <w:color w:val="auto"/>
              </w:rPr>
            </w:pPr>
          </w:p>
        </w:tc>
      </w:tr>
      <w:tr>
        <w:trPr>
          <w:trHeight w:val="129"/>
        </w:trPr>
        <w:tc>
          <w:tcPr>
            <w:tcW w:w="18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20" w:hanging="264"/>
        <w:spacing w:after="0"/>
        <w:tabs>
          <w:tab w:leader="none" w:pos="320" w:val="left"/>
        </w:tabs>
        <w:numPr>
          <w:ilvl w:val="0"/>
          <w:numId w:val="57"/>
        </w:numPr>
        <w:rPr>
          <w:rFonts w:ascii="Arial" w:cs="Arial" w:eastAsia="Arial" w:hAnsi="Arial"/>
          <w:sz w:val="22"/>
          <w:szCs w:val="22"/>
          <w:color w:val="auto"/>
          <w:vertAlign w:val="superscript"/>
        </w:rPr>
      </w:pPr>
      <w:r>
        <w:rPr>
          <w:rFonts w:ascii="Arial" w:cs="Arial" w:eastAsia="Arial" w:hAnsi="Arial"/>
          <w:sz w:val="13"/>
          <w:szCs w:val="13"/>
          <w:color w:val="auto"/>
        </w:rPr>
        <w:t>Represents future minimum lease payments under an operating lease in effect as of June 30, 2014 for our current facility in Burnaby, British Columbia, Canada.</w:t>
      </w:r>
    </w:p>
    <w:p>
      <w:pPr>
        <w:spacing w:after="0" w:line="107"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contractual obligations table above excludes potential future payments we may be required to make if we elect to opt into the co-development arrangement under our collaboration with Merck or the co-promotion for TV-45070 under our collaboration with Teva. Our potential payment obligations in the single-digit percentage range to UBC related to amounts we receive from sales of Glybera are also excluded from the table. Additionally, the table does not include our potential royalty and milestone payment obligations to MUN pursuant to the Restated Collaborative Research &amp; License Agreement by and between us and MUN dated December 2006. Pursuant to this agreement, we are obligated to pay MUN certain milestone payments and a single-digit percentage royalty of net sales for products that we sell directly and a single-digit percentage of royalties we receive from sales on products under our pain program.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4"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7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fiscal years. If our costs were to become subject to significant inflationary pressures, we may be able to offset higher costs through revenue increases. Our inability to do so could harm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70"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related party transactions, see “Certain Relationships and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 forward, a Similar Tax Loss, or a Tax Credit Carry forward Exists (Update). The update is intended to eliminate the diversity in practice of the presentation of an unrecognized tax benefit when a net operating loss carryforward, a similar tax loss, or a tax credit carryforward exists. The update is effective for annual and interim financial statements for fiscal years beginning after December 15, 2013. The amendments should be applied prospectively to all unrecognized tax benefits that exist at the effective date. Retrospective application is permitted. We adopted this standard as of January 1, 2014 and its adoption did not have a material impact on our financial position or results of operations for the six months ended June 30, 2014.</w:t>
      </w:r>
    </w:p>
    <w:p>
      <w:pPr>
        <w:spacing w:after="0" w:line="9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May 2014, the FASB issued amendments to develop a common revenue standard for U.S. GAAP. These amendments provide the following: a) remove inconsistencies and weaknesses in revenue requirements, b) provide a more robust framework for addressing revenue issues, c) improve comparability of revenue recognition practices across entities, industries, jurisdictions, and capital markets, d) provide more useful information to users of financial statements through improved disclosure requirements, and e) simplify the preparation of financial statements by reducing the number of requirements to which an entity must refer. These amendments will be effective for public entities for reporting periods beginning after December 15, 2016. We are in the process of evaluating the impact of the adoption of the amendments on the Company’s financial position, results of operations and cash flows.</w:t>
      </w:r>
    </w:p>
    <w:p>
      <w:pPr>
        <w:spacing w:after="0" w:line="9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Jumpstart Our Business Startups Act of 2012, or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70"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4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Canadian dollars, particularly those denominated in U.S. dollars and Euros. We also hold non-Canadian dollar denominated cash and cash equivalents, accounts receivable and accounts payable, which are primarily denominated in U.S. dollars.</w:t>
      </w:r>
    </w:p>
    <w:p>
      <w:pPr>
        <w:spacing w:after="0" w:line="108"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Changes in foreign currency exchange rates can create significant foreign exchange gains or losses to us. Our current foreign currency risk is primarily with the U.S. dollar as a majority of our non-Canadian dollar denominated expenses are denominated in U.S. dollars. To limit our exposure to volatility in currency markets, we estimate our anticipated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4"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expenses that will be denominated in currencies other than the Canadian dollar and then purchase a corresponding amount of the relevant foreign currency at the current spot rate. Once these estimated expense amounts are acquired, we do not hedge our exposure and thus assume the risk of future gains or losses on the amounts of foreign currency held. The impact of an adverse change in foreign exchange rates may be offset in the event we receive a milestone payment from a foreign collaborator. At June 30, 2014, we held cash and cash equivalents of $8.4 million denominated in U.S. dollars. A hypothetical 10% increase (decrease) in the value of the U.S. dollar would result in a foreign exchange gain (loss) of $0.8 million being recorded in the Statement of Operations on the translation of these U.S. dollar cash and cash equivalent balances into the Canadian dollar functional currency.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An additional market risk we face is interest rate risk. We had cash, cash equivalents and marketable securities of $44.7 million as of June 30, 2014.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June 30, 2014.</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4"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7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and preclinical and clinical development.</w:t>
      </w:r>
    </w:p>
    <w:p>
      <w:pPr>
        <w:spacing w:after="0" w:line="11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has yielded the first approved gene therapy product in the European Union, or the EU, a broad development pipeline and multiple pharmaceutical partnerships.</w:t>
      </w:r>
    </w:p>
    <w:p>
      <w:pPr>
        <w:spacing w:after="0" w:line="9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$140.0 million in non-equity funding to date with the potential to provide us with over $1.0 billion in future milestone payments, as well as royalties and co-promotion income on product sales.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To date, our Extreme Genetics discovery platform has yielded:</w:t>
      </w:r>
    </w:p>
    <w:p>
      <w:pPr>
        <w:spacing w:after="0" w:line="127" w:lineRule="exact"/>
        <w:rPr>
          <w:sz w:val="20"/>
          <w:szCs w:val="20"/>
          <w:color w:val="auto"/>
        </w:rPr>
      </w:pPr>
    </w:p>
    <w:p>
      <w:pPr>
        <w:ind w:left="780" w:right="140" w:hanging="441"/>
        <w:spacing w:after="0" w:line="191" w:lineRule="auto"/>
        <w:tabs>
          <w:tab w:leader="none" w:pos="78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Glybera, developed by our licensee uniQure Biopharma B.V., or uniQure, the first, and currently the only, gene therapy approved in the EU for the treatment of the orphan disorder lipoprotein lipase deficiency, or LPLD;</w:t>
      </w:r>
    </w:p>
    <w:p>
      <w:pPr>
        <w:spacing w:after="0" w:line="19" w:lineRule="exact"/>
        <w:rPr>
          <w:rFonts w:ascii="Arial" w:cs="Arial" w:eastAsia="Arial" w:hAnsi="Arial"/>
          <w:sz w:val="26"/>
          <w:szCs w:val="26"/>
          <w:color w:val="auto"/>
          <w:vertAlign w:val="superscript"/>
        </w:rPr>
      </w:pPr>
    </w:p>
    <w:p>
      <w:pPr>
        <w:ind w:left="780" w:hanging="441"/>
        <w:spacing w:after="0" w:line="204" w:lineRule="auto"/>
        <w:tabs>
          <w:tab w:leader="none" w:pos="78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TV-45070 (formerly XEN402), a product candidate with four Phase 2 proof-of-concept clinical trials completed. Our partner Teva is conducting a 300-patient, randomized Phase 2b clinical trial in osteoarthritis, or OA, of the knee and is planning clinical development in neuropathic pain indications, including postherpetic neuralgia, or PHN;</w:t>
      </w:r>
    </w:p>
    <w:p>
      <w:pPr>
        <w:spacing w:after="0" w:line="20" w:lineRule="exact"/>
        <w:rPr>
          <w:rFonts w:ascii="Arial" w:cs="Arial" w:eastAsia="Arial" w:hAnsi="Arial"/>
          <w:sz w:val="26"/>
          <w:szCs w:val="26"/>
          <w:color w:val="auto"/>
          <w:vertAlign w:val="superscript"/>
        </w:rPr>
      </w:pPr>
    </w:p>
    <w:p>
      <w:pPr>
        <w:ind w:left="780" w:right="320" w:hanging="441"/>
        <w:spacing w:after="0" w:line="191" w:lineRule="auto"/>
        <w:tabs>
          <w:tab w:leader="none" w:pos="78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GDC-0276, a product candidate being developed in collaboration with Genentech for the treatment of pain. In September 2014, Genentech initiated a Phase 1 clinical trial for GDC-0276; and</w:t>
      </w:r>
    </w:p>
    <w:p>
      <w:pPr>
        <w:spacing w:after="0" w:line="19" w:lineRule="exact"/>
        <w:rPr>
          <w:rFonts w:ascii="Arial" w:cs="Arial" w:eastAsia="Arial" w:hAnsi="Arial"/>
          <w:sz w:val="26"/>
          <w:szCs w:val="26"/>
          <w:color w:val="auto"/>
          <w:vertAlign w:val="superscript"/>
        </w:rPr>
      </w:pPr>
    </w:p>
    <w:p>
      <w:pPr>
        <w:ind w:left="780" w:right="80" w:hanging="441"/>
        <w:spacing w:after="0" w:line="204" w:lineRule="auto"/>
        <w:tabs>
          <w:tab w:leader="none" w:pos="78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preclinical programs including a sodium channel inhibitor for the orphan disorder Dravet Syndrome, or DS, and XEN801, a stearoyl Co-A desaturase, or SCD1, inhibitor for the treatment of acne. We anticipate filing an investigational new drug application, or IND, for XEN801 in the first half of 2015 and an IND for our DS program in 2016.</w:t>
      </w:r>
    </w:p>
    <w:p>
      <w:pPr>
        <w:spacing w:after="0" w:line="110"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We believe our Extreme Genetics discovery platform enhances the likelihood of discovering a drug target that has a major effect in humans. From these discoveries, we can gain an improved understanding of how a drug that modulates the target might act when given to a human.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selection of suitable families with rare phenotypes is integral to our successful identification of single-gene defects. Such families are rare and dispersed throughout the world, which makes accessing and studying such families a challenge. We have developed internal clinical genetics expertise allowing us to identify and access rare families. To date, we have established a global network that has included more than 30 clinical collaborations in multiple countries. We collect DNA and detailed clinical information from the selected families to which we then apply our in-house genetics, molecular biology and bioinformatics capabilities to identify the single-gene defect. Using these genetic insights, we apply our in-house, small-molecule expertise as well as access other therapeutic modalities, with the goal of developing novel medicines.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444" w:right="2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 significant focus of our Extreme Genetics discovery platform has been human channelopathies. This focus has enabled us to develop strong capabilities in small-molecule ion channel drug discovery. Our ion channel discovery capability is based on our understanding of the genetics of channelopathies combined with our proprietary medicinal chemistry assets and know-how. We have been able to discover new binding sites on ion channels which, in turn, has led to the discovery of highly-selective voltage-gated ion channel inhibitors, which may have safety and efficacy advantages over non-selective inhibitors.</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While the pharmaceutical industry has shown interest in channelopathies, a general inability to target ion channels selectively with a pharmaceutical agent has been a limitation to the development of effective therapeutics. The efficacy of non-selective ion channel inhibitors has generally been limited by the adverse events observed at high doses due to the broad non-selective binding of such agents. We believe we have developed a core competence in developing highly-selective small-molecule ion channel inhibitors, and we believe we can use this know-how to develop a pipeline of novel ion channel inhibitors for diseases in areas of high unmet medical need.</w:t>
      </w:r>
    </w:p>
    <w:p>
      <w:pPr>
        <w:spacing w:after="0" w:line="11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discovered that deficiency of the voltage-gated sodium channel Nav1.7 is present in the rare human disease called congenital indifference to pain, or CIP. Individuals with CIP are unable to feel pain. This relationship indicated that Nav1.7 may be a key mechanism for the development of novel analgesics. We are pursuing this mechanism in separate partnerships with Teva and with Genentech.</w:t>
      </w:r>
    </w:p>
    <w:p>
      <w:pPr>
        <w:spacing w:after="0" w:line="10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Similarly, with our collaborators from McGill University, we identified the genetic link between rare human epilepsies and mutations in the Nav1.1 sodium channel. These genetic epilepsy discoveries helped to define our therapeutic selective ion channel strategy for DS. We believe that our Extreme Genetics discovery platform provides the opportunity to validate additional ion channel targets for both prevalent and orphan indications.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78740</wp:posOffset>
            </wp:positionV>
            <wp:extent cx="4081145" cy="3171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81145" cy="317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4"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Approved Product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Glybera</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Glybera is the first and currently the only gene therapy product to receive commercial approval in the EU. It is specifically indicated for the treatment of a subset of adult patients with the orphan lipid disorder LPLD, confirmed by genetic testing and suffering from severe or multiple pancreatitis attacks, despite dietary fat restrictions. LPLD is a severe metabolic disease of inadequate lipid metabolism resulting in pancreatitis and in some cases, death. Together with collaborators from the University of British Columbia, or UBC, we demonstrated that humans with a single gene variant of the lipoprotein lipase, or LPL, gene called LPL</w:t>
      </w:r>
      <w:r>
        <w:rPr>
          <w:rFonts w:ascii="Arial" w:cs="Arial" w:eastAsia="Arial" w:hAnsi="Arial"/>
          <w:sz w:val="10"/>
          <w:szCs w:val="10"/>
          <w:color w:val="auto"/>
        </w:rPr>
        <w:t>S447X</w:t>
      </w:r>
      <w:r>
        <w:rPr>
          <w:rFonts w:ascii="Arial" w:cs="Arial" w:eastAsia="Arial" w:hAnsi="Arial"/>
          <w:sz w:val="17"/>
          <w:szCs w:val="17"/>
          <w:color w:val="auto"/>
        </w:rPr>
        <w:t>, resulted in increased LPL enzyme activity leading to reduced triglyceride levels. Under our sublicense and research agreement with uniQure, we collaborated with uniQure and UBC on preclinical activities, and thereafter uniQure developed an LPL gene therapy product, Glybera, which contains the LPL</w:t>
      </w:r>
      <w:r>
        <w:rPr>
          <w:rFonts w:ascii="Arial" w:cs="Arial" w:eastAsia="Arial" w:hAnsi="Arial"/>
          <w:sz w:val="10"/>
          <w:szCs w:val="10"/>
          <w:color w:val="auto"/>
        </w:rPr>
        <w:t>S447X</w:t>
      </w:r>
      <w:r>
        <w:rPr>
          <w:rFonts w:ascii="Arial" w:cs="Arial" w:eastAsia="Arial" w:hAnsi="Arial"/>
          <w:sz w:val="17"/>
          <w:szCs w:val="17"/>
          <w:color w:val="auto"/>
        </w:rPr>
        <w:t xml:space="preserve"> variant. We believe that the introduction of the therapeutic LPL</w:t>
      </w:r>
      <w:r>
        <w:rPr>
          <w:rFonts w:ascii="Arial" w:cs="Arial" w:eastAsia="Arial" w:hAnsi="Arial"/>
          <w:sz w:val="10"/>
          <w:szCs w:val="10"/>
          <w:color w:val="auto"/>
        </w:rPr>
        <w:t>S447X</w:t>
      </w:r>
      <w:r>
        <w:rPr>
          <w:rFonts w:ascii="Arial" w:cs="Arial" w:eastAsia="Arial" w:hAnsi="Arial"/>
          <w:sz w:val="17"/>
          <w:szCs w:val="17"/>
          <w:color w:val="auto"/>
        </w:rPr>
        <w:t xml:space="preserve"> gene through administration of Glybera provides a clinical benefit for a subset of LPLD patients.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Glybera is the first product whose active ingredient was derived from our platform to receive commercial approval. The goal of Glybera therapy is to treat LPLD in order to achieve sustained improvement of clearance of triglyceride-rich lipid particles known as chylomicrons, and to significantly reduce the risk of pancreatitis attacks in patients suffering from multiple recurrent pancreatitis and abdominal pain events. Glybera was developed by our licensee, uniQure. In 2012, Glybera was approved in the EU, and in July 2013, uniQure announced that it had entered into a partnership with Chiesi Farmaceutici S.p.A., or Chiesi, for the commercialization of Glybera in the EU and more than a dozen other countries including Brazil, China, Mexico and Russia. We believe that Chiesi plans to launch Glybera in the fourth quarter of 2014 or the first quarter of 2015 in Europe, and that uniQure is pursuing a U.S. product approval strategy, with plans to file a Biologics License Application, or BLA, with the U.S. Food and Drug Administration, or the FDA, following receipt of the results from a planned Phase 4 trial expected to begin in mid-2015. Glybera has received both fast track and orphan drug designations for the treatment of LPLD in both the EU and the U.S.</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product.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Candidates in Development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TV-45070 for the Treatment of Pain</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TV-45070 (formerly XEN402) is a small-molecule inhibitor of the sodium channel Nav1.7 and other sodium channels, including those that are expressed in the pain-sensing peripheral nervous system. TV-45070 has potentially broad application in nociceptive pain, mediated by damage or injury to tissues, including the pain sensitivity caused by inflammation, and neuropathic pain mediated by damage, dysfunction or injury of nerves. TV-45070 is partnered with Teva. Pursuant to the terms of the agreement, Teva is obligated to complete three Phase 2 or later stage clinical trials. Using a topical ointment formulation of TV-45070, Teva has initiated a 300-patient, randomized Phase 2b clinical trial in OA of the knee with data expected in the third quarter of 2015. Teva is also developing topical TV-45070 in neuropathic pain indications, and is planning a Phase 2b clinical trial in patients with PHN that is expected to start in the first half of 2015. In addition, we are working with Teva to evaluate the opportunity to develop TV-45070 for the orphan disease erythromelalgia, or EM. TV-45070 has received orphan designation from the FDA for the treatment of EM. We selected Nav1.7 as a drug target after we discovered that the Nav1.7 protein is deficient in the rare human disease called congenital indifference to pain, or CIP, where humans suffering from CIP are unable to feel pain. We have observed promising evidence of activity for TV-45070 in four Phase 2 proof-of-concept clinical trials, including two trials in EM, one trial in PHN and one trial in dental pain, a form of nociceptive pain.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4"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 December 2012, we entered into a collaborative development and license agreement with Teva, through its subsidiary, Ivax International GmbH, or Ivax, pursuant to which we granted Teva an exclusive worldwide license to develop and commercialize TV-45070. Prior to our entry into the collaborative development and license agreement with Teva, we submitted INDs to the FDA for oral TV-45070 for the indication of dental pain (July 2009) and topical TV-45070 for the indication of acute and chronic pain, including neuropathic and inflammatory pain (July 2010). Teva submitted an IND to the FDA for topical TV-45070 for the symptomatic treatment of OA (November 2013). Under the terms of the agreement, Teva made an upfront payment to us of $41.0 million.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that such products are covered by the licensed patents and in certain other instances. We also have an option to co-promote products in the U.S.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GDC-0276 and Other Selective Inhibitors of Nav1.7 for the Treatment of Pain</w:t>
      </w:r>
    </w:p>
    <w:p>
      <w:pPr>
        <w:spacing w:after="0" w:line="4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December 2011, we entered into a collaborative research and license agreement with Genentech and its affiliate, F. Hoffmann-La Roche Ltd, or Roche, to discover and develop selective oral inhibitors of Nav1.7 for the treatment of pain. Based on our discovery of Nav1.7 deficiency underlying CIP, we believe that Nav1.7 is a highly-validated target for the treatment of pain. Our Genentech collaboration is focused on discovering and developing selective oral Nav1.7 inhibitors, which is in contrast to our Teva partnership that is focused on developing a topical drug that targets a number of different sodium channels, including Nav1.7. The first small molecule, preclinical product candidate that was selected for development under our collaboration is GDC-0276. In September 2014, Genentech initiated a Phase 1 clinical trial for GDC-0276.</w:t>
      </w:r>
    </w:p>
    <w:p>
      <w:pPr>
        <w:spacing w:after="0" w:line="110"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color w:val="auto"/>
        </w:rPr>
        <w:t>Under the terms of the agreement, Genentech paid us an upfront fee of $10.0 million, a $5.0 million milestone payment for the selection of GDC-0276 for development and an $8.0 million milestone payment upon the approval by Health Canada of the Clinical Trial Application, or CTA, for GDC-0276. We are also eligible to receive pre-commercial and commercial milestone payments with respect to the licensed products totaling up to an additional</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$613.0 million, comprised of up to $45.5 million in preclinical and clinical milestone payments, up to $387.5 million in regulatory milestone payments, and up to $180.0 million in sales-based milestone payments for multiple products and indications. In addition, we are also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low single-digit percentage for large-molecule inhibitors of Nav1.7.</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dose-limiting side effects for many patients. An orally administered selective Nav1.7 inhibitor could present a novel mechanism for the treatment of moderate to severe pain as a single agent or in combination with existing analgesics that work through different mechanisms.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Candidates in Discovery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Selective Small-Molecule Sodium Channel Inhibitors for the Treatment of Dravet Syndrome</w:t>
      </w:r>
    </w:p>
    <w:p>
      <w:pPr>
        <w:spacing w:after="0" w:line="4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are developing selective inhibitors of the voltage-gated sodium channel Nav1.6 as a treatment for the orphan disease Dravet Syndrome, or DS. We have developed considerable expertise in voltage-gated sodium channel biology and have accumulated significant experience in the development of selective sodium channel inhibitors. We are leveraging this expertise and chemistry know-how for the development of selective inhibitors of Nav1.6 for the treatment of DS.</w:t>
      </w:r>
    </w:p>
    <w:p>
      <w:pPr>
        <w:spacing w:after="0" w:line="10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DS is a severe form of childhood epilepsy that typically causes mental retardation and, in approximately 10% of cases, premature death before the age of 12 years. The frequency of DS in the U.S. has been estimated to be one in 20,000 to 40,000 births, which, when applied to U.S. federal census data, correlates to approximately 7,500 to 15,000 patients with DS in the U.S.</w:t>
      </w:r>
    </w:p>
    <w:p>
      <w:pPr>
        <w:spacing w:after="0" w:line="108"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With our collaborators from McGill University, we identified the genetic link between rare human epilepsy and mutations in the Nav1.1 gene. It is now estimated that approximately 80% of DS cases are believed to be due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4"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mutations in one copy of the Nav1.1 voltage-gated sodium channel that cause a partial loss of Nav1.1 function. Nav1.1 plays a critical role in the normal functioning of inhibitory pathways in the brain. The lack of fully functioning Nav1.1 and inhibitory pathways allows the brain excitatory pathways to be unopposed resulting in the severe seizures of DS. The brain excitatory pathways are preferentially mediated by the voltage-gated sodium channel Nav1.6, and therefore if we are able to selectively inhibit Nav1.6 with a small-molecule compound, we expect to taper this neuronal excitation and thereby treat DS. To further support inhibiting Nav1.6 as a potential therapeutic approach to treat DS, published data has shown that seizures and premature death observed in a DS mouse model can be corrected when these animals are bred with a Nav1.6 knockout mouse.</w:t>
      </w:r>
    </w:p>
    <w:p>
      <w:pPr>
        <w:spacing w:after="0" w:line="11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DS is one of the most resistant epilepsies to treatment. Some benefit has been reported for drugs that increase the activity of the inhibitory brain pathways such as benzodiazepines and Stiripentol, while non-selective sodium channel blockers such as lamotrigine are contraindicated as they may worsen seizures due to further inhibition of Nav1.1. Other intractable childhood seizures that have been associated with genetically-linked partial loss of function of Nav1.1 or gain of function of Nav1.6 may benefit from a selective inhibitor of Nav1.6 include intractable childhood epilepsy with generalized tonic-clonic seizures and sporadic infantile epileptic encephalopathy.</w:t>
      </w:r>
    </w:p>
    <w:p>
      <w:pPr>
        <w:spacing w:after="0" w:line="11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Based on our experience and know-how in developing selective ion channel inhibitors, we have identified potent, selective Nav1.6 inhibitors. We have demonstrated efficacy for seizures in an animal model with such an inhibitor. We anticipate filing an IND for a drug candidate to treat DS in 2016. Given the orphan nature of this disorder, we believe that DS may represent an attractive opportunity for us to advance independently.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XEN801 for the Treatment of Acne</w:t>
      </w:r>
    </w:p>
    <w:p>
      <w:pPr>
        <w:spacing w:after="0" w:line="42"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XEN801 is a selective, small molecule inhibitor of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disorders of enlarged or overactive sebaceous glands, including acne. We have discovered and developed novel small-molecule SCD1 inhibitors to which we have sole rights. In multiple animal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anticipate selecting a development candidate for IND-enabling studies in the second half of 2014, filing an IND to initiate a Phase 1 trial in the first half of 2015 and initiating a proof-of-concept Phase 2 trial in the second half of 2015. We believe a selective, small-molecule inhibitor of SCD1 has therapeutic potential for skin disorders such as moderate to severe acne, seborrhoea and sebaceous hyperplasia.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Selective Small-Molecule Inhibitors of Targets for the Treatment of Cardiovascular Disease</w:t>
      </w:r>
    </w:p>
    <w:p>
      <w:pPr>
        <w:spacing w:after="0" w:line="42"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We entered into a collaborative research and option agreement with Merck in June 2009 to discover novel targets and compounds for the treatment of cardiovascular disease using our Extreme Genetics discovery platform. In 2012, Merck exercised its option to obtain an exclusive license to a target for cardiovascular disease and compound inhibitors that were discovered during the research collaboration. The target, when inhibited, is predicted to provide a beneficial lipid profile with the goal of protecting from cardiovascular disease.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Pipeline Opportunities</w:t>
      </w:r>
    </w:p>
    <w:p>
      <w:pPr>
        <w:spacing w:after="0" w:line="4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Given the commercial opportunity and the pharmaceutical industry’s interest in the pain market, we are using our Extreme Genetics discovery platform and specialized insights into the biology of pain to identify new drug targets for this common medical problem. We formed a second collaboration with Genentech in March 2014 for pain genetics, pursuant to which we intend to focus on rare phenotypes where individuals have an inability to perceive pain or where individuals have non-precipitated spontaneous severe pain. We believe these phenotypes may unlock new key molecular regulators of pain signaling in humans, which we will seek to validate as targets for new pain drugs. For example, we are analyzing CIP families that are not explained by Nav1.7 deficiency as well as families with severe pain phenotypes, such as paroxysmal extreme pain disorder, or PEPD, inherited EM and cluster headache.</w:t>
      </w:r>
    </w:p>
    <w:p>
      <w:pPr>
        <w:spacing w:after="0" w:line="10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addition to our study of rare human disorders of extreme pain or the absence of pain, we are studying other rare disorders with extreme phenotypes that we believe could yield new drug targets in disorders where high medical need exists, such as neurological disorders like essential tremor.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44"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addition, given our expertise in ion channel drug discovery, we are also focusing our discovery efforts on the identification of ion channel targets where we believe novel selective inhibitors might represent significant therapeutic advances with a focus on orphan indications.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70"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Our goal is to build a self-sustaining, fully-integrated and profitable company that discovers, develops and commercializes innovative therapeutics, including novel selective ion channel inhibitors, by applying our expertise in the genetics of rare human diseases.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Since our inception, we believe we have operated in a capital-efficient manner to build our capabilities and assets through phased growth, expansion and value creation. Since our last venture capital financing in 2006, we have funded our operations and expanded our platform, product pipeline and infrastructure through a strategy which combines the deployment of our own resources and the establishment of broadly enabling and well-structured pharmaceutical partnerships with industry leaders.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Our strategy is to:</w:t>
      </w:r>
    </w:p>
    <w:p>
      <w:pPr>
        <w:spacing w:after="0" w:line="109" w:lineRule="exact"/>
        <w:rPr>
          <w:sz w:val="20"/>
          <w:szCs w:val="20"/>
          <w:color w:val="auto"/>
        </w:rPr>
      </w:pPr>
    </w:p>
    <w:p>
      <w:pPr>
        <w:ind w:left="780" w:right="40" w:hanging="441"/>
        <w:spacing w:after="0" w:line="226" w:lineRule="auto"/>
        <w:tabs>
          <w:tab w:leader="none" w:pos="780" w:val="left"/>
        </w:tabs>
        <w:numPr>
          <w:ilvl w:val="0"/>
          <w:numId w:val="59"/>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Expand our pipeline and advance multiple discovery and development programs, focusing on orphan and niche disease market opportunities that we can independently develop and commercialize. </w:t>
      </w:r>
      <w:r>
        <w:rPr>
          <w:rFonts w:ascii="Arial" w:cs="Arial" w:eastAsia="Arial" w:hAnsi="Arial"/>
          <w:sz w:val="17"/>
          <w:szCs w:val="17"/>
          <w:color w:val="auto"/>
        </w:rPr>
        <w:t>We believe that focusing on orphan indications will allow us to benefit from both a less</w:t>
      </w:r>
      <w:r>
        <w:rPr>
          <w:rFonts w:ascii="Arial" w:cs="Arial" w:eastAsia="Arial" w:hAnsi="Arial"/>
          <w:sz w:val="17"/>
          <w:szCs w:val="17"/>
          <w:i w:val="1"/>
          <w:iCs w:val="1"/>
          <w:color w:val="auto"/>
        </w:rPr>
        <w:t xml:space="preserve"> </w:t>
      </w:r>
      <w:r>
        <w:rPr>
          <w:rFonts w:ascii="Arial" w:cs="Arial" w:eastAsia="Arial" w:hAnsi="Arial"/>
          <w:sz w:val="17"/>
          <w:szCs w:val="17"/>
          <w:color w:val="auto"/>
        </w:rPr>
        <w:t>costly and expedited development pathway and may provide us with potential commercial benefits, including market exclusivity and premium drug pricing. This focus may also allow us to retain a significantly larger share of the value of such product candidates, as it may be viable for us to develop these assets independently. To prepare for this independent development, we intend to build a late-stage development and commercialization infrastructure. Our goal is to expand our development and regulatory capabilities to enable us to conduct clinical trials, including late-stage testing beyond Phase 2 trials, in selected orphan indications. Where we expect to be able to cost-effectively commercialize approved products in orphan markets, we intend to build a specialized sales force.</w:t>
      </w:r>
    </w:p>
    <w:p>
      <w:pPr>
        <w:spacing w:after="0" w:line="4" w:lineRule="exact"/>
        <w:rPr>
          <w:rFonts w:ascii="Arial" w:cs="Arial" w:eastAsia="Arial" w:hAnsi="Arial"/>
          <w:sz w:val="26"/>
          <w:szCs w:val="26"/>
          <w:color w:val="auto"/>
          <w:vertAlign w:val="superscript"/>
        </w:rPr>
      </w:pPr>
    </w:p>
    <w:p>
      <w:pPr>
        <w:ind w:left="780" w:right="120" w:hanging="441"/>
        <w:spacing w:after="0" w:line="223" w:lineRule="auto"/>
        <w:tabs>
          <w:tab w:leader="none" w:pos="780" w:val="left"/>
        </w:tabs>
        <w:numPr>
          <w:ilvl w:val="0"/>
          <w:numId w:val="59"/>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Selectively establish additional partnerships enabling us to access large commercial indications while leveraging the benefits of those collaborations to expand our internal capabilities. </w:t>
      </w:r>
      <w:r>
        <w:rPr>
          <w:rFonts w:ascii="Arial" w:cs="Arial" w:eastAsia="Arial" w:hAnsi="Arial"/>
          <w:sz w:val="17"/>
          <w:szCs w:val="17"/>
          <w:color w:val="auto"/>
        </w:rPr>
        <w:t>Through our collaboration with Teva, we have gained access to significant late-stage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resources for topical TV-45070 with a pharmaceutical company that has an established commercial franchise in the large pain therapeutics market. This collaboration provided us with a significant upfront payment, the opportunity to achieve substantial additional milestone payments, most of which are for pre-commercial activities, and recurring royalties and potential commercial participation through an option for a co-promotion interest.</w:t>
      </w:r>
    </w:p>
    <w:p>
      <w:pPr>
        <w:spacing w:after="0" w:line="109" w:lineRule="exact"/>
        <w:rPr>
          <w:sz w:val="20"/>
          <w:szCs w:val="20"/>
          <w:color w:val="auto"/>
        </w:rPr>
      </w:pPr>
    </w:p>
    <w:p>
      <w:pPr>
        <w:ind w:left="800" w:right="200"/>
        <w:spacing w:after="0" w:line="239" w:lineRule="auto"/>
        <w:rPr>
          <w:sz w:val="20"/>
          <w:szCs w:val="20"/>
          <w:color w:val="auto"/>
        </w:rPr>
      </w:pPr>
      <w:r>
        <w:rPr>
          <w:rFonts w:ascii="Arial" w:cs="Arial" w:eastAsia="Arial" w:hAnsi="Arial"/>
          <w:sz w:val="17"/>
          <w:szCs w:val="17"/>
          <w:color w:val="auto"/>
        </w:rPr>
        <w:t>Our collaboration with Genentech enables a broader and potentially more efficient development pathway than we could have achieved independently in the competitive Nav1.7 drug development space. The collaboration has also strengthened our expertise in the chemistry of selective ion channel inhibitors and our ion channel drug discovery infrastructure. We have increased the scope of our relationship with Genentech by establishing a second collaboration that seeks to use our Extreme Genetics discovery platform to identify new drug targets for pain drugs. This second collaboration may enable us to pursue a larger discovery effort and to compete more effectively by combining Genentech’s expertise with our own and, if successful, may lead to future joint drug discovery collaborations.</w:t>
      </w:r>
    </w:p>
    <w:p>
      <w:pPr>
        <w:spacing w:after="0" w:line="2" w:lineRule="exact"/>
        <w:rPr>
          <w:sz w:val="20"/>
          <w:szCs w:val="20"/>
          <w:color w:val="auto"/>
        </w:rPr>
      </w:pPr>
    </w:p>
    <w:p>
      <w:pPr>
        <w:ind w:left="780" w:hanging="441"/>
        <w:spacing w:after="0" w:line="225" w:lineRule="auto"/>
        <w:tabs>
          <w:tab w:leader="none" w:pos="780" w:val="left"/>
        </w:tabs>
        <w:numPr>
          <w:ilvl w:val="0"/>
          <w:numId w:val="60"/>
        </w:numPr>
        <w:rPr>
          <w:rFonts w:ascii="Arial" w:cs="Arial" w:eastAsia="Arial" w:hAnsi="Arial"/>
          <w:sz w:val="26"/>
          <w:szCs w:val="26"/>
          <w:color w:val="auto"/>
          <w:vertAlign w:val="superscript"/>
        </w:rPr>
      </w:pPr>
      <w:r>
        <w:rPr>
          <w:rFonts w:ascii="Arial" w:cs="Arial" w:eastAsia="Arial" w:hAnsi="Arial"/>
          <w:sz w:val="17"/>
          <w:szCs w:val="17"/>
          <w:i w:val="1"/>
          <w:iCs w:val="1"/>
          <w:color w:val="auto"/>
        </w:rPr>
        <w:t xml:space="preserve">Further leverage our discovery platform and insights into disease biology to identify novel targets and develop next-generation products. </w:t>
      </w:r>
      <w:r>
        <w:rPr>
          <w:rFonts w:ascii="Arial" w:cs="Arial" w:eastAsia="Arial" w:hAnsi="Arial"/>
          <w:sz w:val="17"/>
          <w:szCs w:val="17"/>
          <w:color w:val="auto"/>
        </w:rPr>
        <w:t>Our</w:t>
      </w:r>
      <w:r>
        <w:rPr>
          <w:rFonts w:ascii="Arial" w:cs="Arial" w:eastAsia="Arial" w:hAnsi="Arial"/>
          <w:sz w:val="17"/>
          <w:szCs w:val="17"/>
          <w:i w:val="1"/>
          <w:iCs w:val="1"/>
          <w:color w:val="auto"/>
        </w:rPr>
        <w:t xml:space="preserve"> </w:t>
      </w:r>
      <w:r>
        <w:rPr>
          <w:rFonts w:ascii="Arial" w:cs="Arial" w:eastAsia="Arial" w:hAnsi="Arial"/>
          <w:sz w:val="17"/>
          <w:szCs w:val="17"/>
          <w:color w:val="auto"/>
        </w:rPr>
        <w:t>Extreme Genetics discovery platform enables us to discover biologically relevant drug targets. By identifying and studying rare individuals and families with severe phenotypes, we can potentially discover single-gene defects and obtain critical insights into the genes underlying these diseases and their related biology. This information enables us to initiate our drug discovery efforts with the advantage of having a better understanding of the role of the drug target in human disease. We believe that our Extreme Genetics discovery platform for target selection is differentiated and advantageous to other target selection methods commonly employed in the industry, as it has previously identified genes that are determinant or causal of a disease.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444"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800" w:right="20"/>
        <w:spacing w:after="0" w:line="239" w:lineRule="auto"/>
        <w:rPr>
          <w:sz w:val="20"/>
          <w:szCs w:val="20"/>
          <w:color w:val="auto"/>
        </w:rPr>
      </w:pPr>
      <w:r>
        <w:rPr>
          <w:rFonts w:ascii="Arial" w:cs="Arial" w:eastAsia="Arial" w:hAnsi="Arial"/>
          <w:sz w:val="17"/>
          <w:szCs w:val="17"/>
          <w:color w:val="auto"/>
        </w:rPr>
        <w:t>Our ion channel discovery capability is founded upon our understanding of the genetics of channelopathies combined with our proprietary medicinal chemistry assets and know-how. We have been able to identify new binding sites on ion channels which, in turn, has led to the discovery of highly-selective, voltage-gated ion channel inhibitors which may have safety and efficacy advantages over non-selective inhibitors. We discovered that deficiency of the voltage-gated sodium channel Nav1.7 is present in CIP. Individuals with CIP are unable to feel pain. This relationship indicated that Nav1.7 may be a key mechanism for the development of novel analgesics. We are pursuing this mechanism in separate partnerships with Teva and with Genentech.</w:t>
      </w:r>
    </w:p>
    <w:p>
      <w:pPr>
        <w:spacing w:after="0" w:line="110" w:lineRule="exact"/>
        <w:rPr>
          <w:sz w:val="20"/>
          <w:szCs w:val="20"/>
          <w:color w:val="auto"/>
        </w:rPr>
      </w:pPr>
    </w:p>
    <w:p>
      <w:pPr>
        <w:ind w:left="800" w:right="220"/>
        <w:spacing w:after="0"/>
        <w:rPr>
          <w:sz w:val="20"/>
          <w:szCs w:val="20"/>
          <w:color w:val="auto"/>
        </w:rPr>
      </w:pPr>
      <w:r>
        <w:rPr>
          <w:rFonts w:ascii="Arial" w:cs="Arial" w:eastAsia="Arial" w:hAnsi="Arial"/>
          <w:sz w:val="17"/>
          <w:szCs w:val="17"/>
          <w:color w:val="auto"/>
        </w:rPr>
        <w:t>Similarly, with our collaborators from McGill University, we identified the genetic link between rare human epilepsies and mutations in the Nav1.1 sodium channel. These genetic epilepsy discoveries helped to define our therapeutic selective ion channel strategy for the orphan disease DS. Through our Extreme Genetics discovery platform, we believe we have the opportunity to validate additional ion channel targets for both prevalent and orphan indications.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Extreme Genetics Discovery Platform</w:t>
      </w:r>
    </w:p>
    <w:p>
      <w:pPr>
        <w:spacing w:after="0" w:line="7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Despite advances in medical sciences and the pharmaceutical industry’s understanding of diseases, research and development productivity in the industry has declined over the years. We believe that a contributor to this problem is the industry’s reliance on drug discovery approaches that are sometimes based on targets that do not necessarily have a major biological effect in humans. Consequently, it is fairly common for a pharmaceutical company to invest substantial time, resources and funds into drug development only to realize in late-stage clinical trials that a product candidate may be directed to a target that is either not biologically relevant to the disease or that may have diverse functions or effects in humans, thereby leading to poor efficacy or safety.</w:t>
      </w:r>
    </w:p>
    <w:p>
      <w:pPr>
        <w:spacing w:after="0" w:line="11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Extreme Genetics discovery platform enables us to identify drug targets that may be more biologically relevant in humans. Our platform is built on the foundation of identifying and studying rare individuals and families with severe phenotypes to discover single-gene defects that have major biological effects in humans. By studying these individuals and families with severe phenotypes, we can obtain critical insights into the genes underlying these diseases and their related biology to develop promising product candidates. We therefore are able to initiate our drug discovery with the advantage of having a greater understanding of the role of the drug target in human disease.</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Our reliance on our Extreme Genetics discovery platform for target selection differs from other target selection methods commonly employed in the industry, such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 biology and screening, tissue and differential expression studies,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based pharmacology and the use of animal models, such as gene knock-outs or animal transgenics. Some companies, however, do use human genetics to varying degrees to assist with target identification, such as approaches where larger populations of patients and controls are studied to define associations where a disease and single nucleotide polymorphisms, or SNPs, in certain genes are linked. While SNP associations allow the identifications of genes that show an association with a disease or may increase risk of disease, such associations differ from our Extreme Genetics discovery platform since they do not discover genes that are determinant or causal of a disease. By studying families with rare diseases where individuals present with severe phenotypes, we seek to isolate the genetic cause of such diseases. We then use this causal information as our primary methodology underlying our target discovery and selection.</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key components of our Extreme Genetics discovery platform include:</w:t>
      </w:r>
    </w:p>
    <w:p>
      <w:pPr>
        <w:spacing w:after="0" w:line="127" w:lineRule="exact"/>
        <w:rPr>
          <w:sz w:val="20"/>
          <w:szCs w:val="20"/>
          <w:color w:val="auto"/>
        </w:rPr>
      </w:pPr>
    </w:p>
    <w:p>
      <w:pPr>
        <w:ind w:left="780" w:hanging="441"/>
        <w:spacing w:after="0" w:line="191" w:lineRule="auto"/>
        <w:tabs>
          <w:tab w:leader="none" w:pos="78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an established global network that has included more than 30 clinical collaborators in multiple countries, and which has provided us with access to rare individuals and families with severe phenotypes dispersed throughout the world;</w:t>
      </w:r>
    </w:p>
    <w:p>
      <w:pPr>
        <w:spacing w:after="0" w:line="19" w:lineRule="exact"/>
        <w:rPr>
          <w:rFonts w:ascii="Arial" w:cs="Arial" w:eastAsia="Arial" w:hAnsi="Arial"/>
          <w:sz w:val="26"/>
          <w:szCs w:val="26"/>
          <w:color w:val="auto"/>
          <w:vertAlign w:val="superscript"/>
        </w:rPr>
      </w:pPr>
    </w:p>
    <w:p>
      <w:pPr>
        <w:ind w:left="780" w:right="180" w:hanging="441"/>
        <w:spacing w:after="0" w:line="191" w:lineRule="auto"/>
        <w:tabs>
          <w:tab w:leader="none" w:pos="78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clinical geneticists and genetic counselors with a deep understanding of clinical phenotypes. These experts identify the rare genetic disorders with severe phenotypes that we study;</w:t>
      </w:r>
    </w:p>
    <w:p>
      <w:pPr>
        <w:spacing w:after="0" w:line="19" w:lineRule="exact"/>
        <w:rPr>
          <w:rFonts w:ascii="Arial" w:cs="Arial" w:eastAsia="Arial" w:hAnsi="Arial"/>
          <w:sz w:val="26"/>
          <w:szCs w:val="26"/>
          <w:color w:val="auto"/>
          <w:vertAlign w:val="superscript"/>
        </w:rPr>
      </w:pPr>
    </w:p>
    <w:p>
      <w:pPr>
        <w:ind w:left="780" w:right="280" w:hanging="441"/>
        <w:spacing w:after="0" w:line="201" w:lineRule="auto"/>
        <w:tabs>
          <w:tab w:leader="none" w:pos="780" w:val="left"/>
        </w:tabs>
        <w:numPr>
          <w:ilvl w:val="0"/>
          <w:numId w:val="61"/>
        </w:numPr>
        <w:rPr>
          <w:rFonts w:ascii="Arial" w:cs="Arial" w:eastAsia="Arial" w:hAnsi="Arial"/>
          <w:sz w:val="25"/>
          <w:szCs w:val="25"/>
          <w:color w:val="auto"/>
          <w:vertAlign w:val="superscript"/>
        </w:rPr>
      </w:pPr>
      <w:r>
        <w:rPr>
          <w:rFonts w:ascii="Arial" w:cs="Arial" w:eastAsia="Arial" w:hAnsi="Arial"/>
          <w:sz w:val="16"/>
          <w:szCs w:val="16"/>
          <w:color w:val="auto"/>
        </w:rPr>
        <w:t>years of experience and extensive know-how in successfully navigating through regulations in multiple countries in order to obtain the approvals necessary to collect and use detailed clinical information and DNA samples from individuals and families with severe phenotypes;</w:t>
      </w:r>
    </w:p>
    <w:p>
      <w:pPr>
        <w:spacing w:after="0" w:line="18" w:lineRule="exact"/>
        <w:rPr>
          <w:rFonts w:ascii="Arial" w:cs="Arial" w:eastAsia="Arial" w:hAnsi="Arial"/>
          <w:sz w:val="25"/>
          <w:szCs w:val="25"/>
          <w:color w:val="auto"/>
          <w:vertAlign w:val="superscript"/>
        </w:rPr>
      </w:pPr>
    </w:p>
    <w:p>
      <w:pPr>
        <w:ind w:left="780" w:hanging="441"/>
        <w:spacing w:after="0" w:line="191" w:lineRule="auto"/>
        <w:tabs>
          <w:tab w:leader="none" w:pos="78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internal capabilities in genome sequencing, molecular biology and bioinformatics to enable identification of single-gene defects and validation of these as potential drug targets; 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4"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80" w:right="360" w:hanging="441"/>
        <w:spacing w:after="0" w:line="191" w:lineRule="auto"/>
        <w:tabs>
          <w:tab w:leader="none" w:pos="78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 xml:space="preserve">expertise in small-molecule drug discovery to design promising product candidates that effectively modulate the identified drug targets. Our drug discovery capabilities include medicinal and synthetic chemistry, assay development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w:t>
      </w:r>
    </w:p>
    <w:p>
      <w:pPr>
        <w:spacing w:after="0" w:line="11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Extreme Genetics discovery platform has proven to be a valuable asset for our company over the years. It has led to a robust pipeline, including an approved product, two development programs, and three preclinical programs. Our platform has also allowed us to attract numerous collaborations with leading pharmaceutical companies, including Teva, Genentech, and Merck, that have in aggregate generated more than $140.0 million in non-equity funding through June 30, 2014 and provide us with research funding and the potential for more than $1.0 billion of research, development, regulatory and sales-based milestone payments, as well as royalties on net product sales.</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 significant focus of our Extreme Genetics discovery platform has been human channelopathies, enabling us to developed strong capabilities in small molecule ion channel drug discovery. Our ion channel discovery capability is founded upon our understanding of the genetics of channelopathies combined with our proprietary medicinal chemistry assets and know-how. We have been able to identify new binding sites on ion channels which, in turn, has led to the discovery of highly-selective voltage-gated ion channel inhibitors which may have safety and efficacy advantages over non-selective inhibitors.</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While the pharmaceutical industry has shown significant interest in channelopathies, a general inability to target ion channels selectively with a pharmaceutical agent has been a limitation to the development of effective therapeutics. We believe we have developed a core competence in developing highly-selective small-molecule ion channel inhibitors, and we believe we can use this know-how to develop a pipeline of novel ion channel inhibitors for diseases in areas of high unmet medical need.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Glybera (alipogene tiparvovec): A Gene Therapy for the Orphan Disease LPLD</w:t>
      </w:r>
    </w:p>
    <w:p>
      <w:pPr>
        <w:spacing w:after="0" w:line="4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Glybera is a gene therapy approved in the EU in October 2012 for the treatment of a subset of patients with the orphan lipid disorder LPLD. Specifically, it is intended to treat LPLD in patients with severe or multiple pancreatitis attacks, despite dietary fat restrictions. LPLD is a severe metabolic disease of inadequate lipid metabolism, resulting in pancreatitis and in some cases, death. In collaboration with UBC, we demonstrated that humans with a variant of the LPL gene called LPL</w:t>
      </w:r>
      <w:r>
        <w:rPr>
          <w:rFonts w:ascii="Arial" w:cs="Arial" w:eastAsia="Arial" w:hAnsi="Arial"/>
          <w:sz w:val="9"/>
          <w:szCs w:val="9"/>
          <w:color w:val="auto"/>
        </w:rPr>
        <w:t>S447X</w:t>
      </w:r>
      <w:r>
        <w:rPr>
          <w:rFonts w:ascii="Arial" w:cs="Arial" w:eastAsia="Arial" w:hAnsi="Arial"/>
          <w:sz w:val="16"/>
          <w:szCs w:val="16"/>
          <w:color w:val="auto"/>
        </w:rPr>
        <w:t xml:space="preserve"> resulted in increased LPL enzyme activity leading to reduced triglyceride levels. Under our sublicense and research agreement with uniQure, we collaborated with uniQure and UBC on preclinical activities, and thereafter uniQure developed a LPL gene therapy product,</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Glybera, which contains the LPL</w:t>
      </w:r>
      <w:r>
        <w:rPr>
          <w:rFonts w:ascii="Arial" w:cs="Arial" w:eastAsia="Arial" w:hAnsi="Arial"/>
          <w:sz w:val="10"/>
          <w:szCs w:val="10"/>
          <w:color w:val="auto"/>
        </w:rPr>
        <w:t>S447X</w:t>
      </w:r>
      <w:r>
        <w:rPr>
          <w:rFonts w:ascii="Arial" w:cs="Arial" w:eastAsia="Arial" w:hAnsi="Arial"/>
          <w:sz w:val="17"/>
          <w:szCs w:val="17"/>
          <w:color w:val="auto"/>
        </w:rPr>
        <w:t xml:space="preserve"> variant. We believe that the introduction of the therapeutic LPL</w:t>
      </w:r>
      <w:r>
        <w:rPr>
          <w:rFonts w:ascii="Arial" w:cs="Arial" w:eastAsia="Arial" w:hAnsi="Arial"/>
          <w:sz w:val="10"/>
          <w:szCs w:val="10"/>
          <w:color w:val="auto"/>
        </w:rPr>
        <w:t>S447X</w:t>
      </w:r>
      <w:r>
        <w:rPr>
          <w:rFonts w:ascii="Arial" w:cs="Arial" w:eastAsia="Arial" w:hAnsi="Arial"/>
          <w:sz w:val="17"/>
          <w:szCs w:val="17"/>
          <w:color w:val="auto"/>
        </w:rPr>
        <w:t xml:space="preserve"> gene through administration of Glybera provides a clinical benefit for LPLD patients.</w:t>
      </w:r>
    </w:p>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Glybera is the first product whose active ingredient was derived from our platform to receive commercial approval and is the first gene therapy to be approved in the EU or North America. The goal of Glybera therapy is to treat LPLD in order to achieve sustained improvement of clearance of triglyceride-rich lipid particles known as chylomicrons, and to significantly reduce the risk of pancreatitis attacks in patients suffering from multiple recurrent pancreatitis and abdominal pain events. Glybera was developed by our licensee, uniQure. In 2012, Glybera was approved in the EU for the orphan disorder LPLD to treat patients with severe or multiple pancreatitis attacks. In July 2013, uniQure announced that it had entered into a partnership with Chiesi for the commercialization of Glybera in the EU and more than a dozen other countries including Brazil, China, Mexico and Russia. We believe that Chiesi plans to launch Glybera in the fourth quarter of 2014 or the first quarter of 2015 in Europe, and that uniQure is pursuing a U.S. product approval strategy with plans to file a BLA with the FDA following receipt of the results from a planned Phase 4 trial expected to begin in mid-2015. Glybera has received orphan drug designation for the treatment of LPLD in both the EU and the U.S. 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4"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single-digit percentage of certain further royalties that uniQure receives from Chiesi based on sales of our licensed technology or products after the expiration of all licensed patents covering the product.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LPLD</w:t>
      </w:r>
    </w:p>
    <w:p>
      <w:pPr>
        <w:spacing w:after="0" w:line="4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Familial LPLD is a rare autosomal-recessive disorder of lipoprotein metabolism. LPLD is characterized by severe hypertriglyceridemia caused by the absence of LPL activity, and, as a consequence, certain triglyceride-rich lipoproteins accumulate in the plasma. The population frequency of LPLD in the U.S. has been reported to be approximately one in a million individuals by the National Library of Medicine.</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LPLD typically manifests early in childhood, with repeated episodes of abdominal pain and acute pancreatitis that can be life-threatening. There is currently no approved gene therapy for LPLD in the U.S. The current management of LPLD consists of strict adherence to an extremely low-fat diet, but compliance with such a diet is challenging. Lipid-lowering drugs are generally not effective for treating LPLD. We believe effective therapeutic strategies are therefore needed for this condition.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LPL</w:t>
      </w:r>
      <w:r>
        <w:rPr>
          <w:rFonts w:ascii="Arial" w:cs="Arial" w:eastAsia="Arial" w:hAnsi="Arial"/>
          <w:sz w:val="10"/>
          <w:szCs w:val="10"/>
          <w:i w:val="1"/>
          <w:iCs w:val="1"/>
          <w:color w:val="auto"/>
        </w:rPr>
        <w:t>S447X</w:t>
      </w:r>
    </w:p>
    <w:p>
      <w:pPr>
        <w:spacing w:after="0" w:line="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Together with our collaborators at UBC and using our Extreme Genetics discovery platform, we demonstrated that the LPL</w:t>
      </w:r>
      <w:r>
        <w:rPr>
          <w:rFonts w:ascii="Arial" w:cs="Arial" w:eastAsia="Arial" w:hAnsi="Arial"/>
          <w:sz w:val="10"/>
          <w:szCs w:val="10"/>
          <w:color w:val="auto"/>
        </w:rPr>
        <w:t>S447X</w:t>
      </w:r>
      <w:r>
        <w:rPr>
          <w:rFonts w:ascii="Arial" w:cs="Arial" w:eastAsia="Arial" w:hAnsi="Arial"/>
          <w:sz w:val="17"/>
          <w:szCs w:val="17"/>
          <w:color w:val="auto"/>
        </w:rPr>
        <w:t xml:space="preserve"> variant resulted in reduced triglyceride levels in humans, as this single-gene defect results in elevated LPL enzyme activity and we further demonstrated that LPL</w:t>
      </w:r>
      <w:r>
        <w:rPr>
          <w:rFonts w:ascii="Arial" w:cs="Arial" w:eastAsia="Arial" w:hAnsi="Arial"/>
          <w:sz w:val="10"/>
          <w:szCs w:val="10"/>
          <w:color w:val="auto"/>
        </w:rPr>
        <w:t>S447X</w:t>
      </w:r>
      <w:r>
        <w:rPr>
          <w:rFonts w:ascii="Arial" w:cs="Arial" w:eastAsia="Arial" w:hAnsi="Arial"/>
          <w:sz w:val="17"/>
          <w:szCs w:val="17"/>
          <w:color w:val="auto"/>
        </w:rPr>
        <w:t xml:space="preserve"> in an adenovirus gene therapy could treat hypertriglyceridemia in animal models of LPLD.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Development of Glybera</w:t>
      </w:r>
    </w:p>
    <w:p>
      <w:pPr>
        <w:spacing w:after="0" w:line="4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In a scientific publication, a single dose of Glybera was well-tolerated with no material safety concerns and was demonstrated to reduce the incidence of acute pancreatitis and abdominal pain events over the two-year study period.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Commercialization of Glybera</w:t>
      </w:r>
    </w:p>
    <w:p>
      <w:pPr>
        <w:spacing w:after="0" w:line="4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2012, Glybera was approved in the EU for the orphan disorder LPLD to treat patients with severe or multiple pancreatitis attacks. In July 2013, uniQure announced that it had entered into a partnership with Chiesi for the commercialization of Glybera in the EU and more than a dozen other countries including Brazil, China, Mexico and Russia. We believe that Chiesi plans to launch Glybera in the fourth quarter of 2014 or the first quarter of 2015 in Europe, and that uniQure is pursuing a U.S. product approval strategy with plans to file a BLA with the FDA following receipt of the results from a planned Phase 4 trial expected to begin in mid-2015. Glybera has received orphan drug designation for the treatment of LPLD in both the EU and the U.S.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TV-45070: A Small Molecule for the Treatment of Pain</w:t>
      </w:r>
    </w:p>
    <w:p>
      <w:pPr>
        <w:spacing w:after="0" w:line="7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TV-45070 (formerly XEN402) is a small-molecule inhibitor of the sodium channel Nav1.7 and other sodium channels, including those that are expressed in the pain-sensing peripheral nervous system. TV-45070 has potentially broad application in nociceptive pain, mediated by damage or injury to tissues, including the pain sensitivity caused by inflammation, and neuropathic pain mediated by damage, dysfunction, or injury of nerves. TV-45070 is partnered with Teva. Pursuant to the terms of the agreement, Teva is obligated to complete three Phase 2 or later stage clinical trials. Using a topical ointment formulation of TV-45070, Teva has initiated a 300-patient, randomized Phase 2b clinical trial in OA of the knee, and data are expected in the third quarter of 2015. Teva is also developing topical TV-45070 in neuropathic pain indications, and is planning a Phase 2b clinical trial in patients with PHN that is expected to start in the first half of 2015. In addition, we are working with Teva to evaluate the opportunity to develop TV-45070 for the orphan disease EM. TV-45070 has received both fast track and orphan designations from the FDA for the treatment of EM.</w:t>
      </w:r>
    </w:p>
    <w:p>
      <w:pPr>
        <w:spacing w:after="0" w:line="114"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We selected Nav1.7 as a drug target for pain after we discovered that the Nav1.7 protein is deficient in the rare human disease, CIP, where humans suffering from CIP are unable to feel pain. We have observed promising evidence of activity for TV-45070 in four Phase 2 proof-of-concept clinical trials, including two trials in the orphan disease EM, one trial in PHN and one trial in dental pain, a form of nociceptive pain.</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In December 2012, we entered into a collaborative development and license agreement with Teva through its subsidiary Ivax, pursuant to which we granted Teva an exclusive worldwide license to develop and commercialize TV-45070. Under the terms of the agreement, Teva made an upfront payment to us of $41.0 million. In addition, we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4"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are eligible to receive potential milestone payments totaling up to $335.0 million, comprised of a $20.0 million clinical milestone payment, up to</w:t>
      </w:r>
    </w:p>
    <w:p>
      <w:pPr>
        <w:ind w:right="200"/>
        <w:spacing w:after="0" w:line="239" w:lineRule="auto"/>
        <w:rPr>
          <w:sz w:val="20"/>
          <w:szCs w:val="20"/>
          <w:color w:val="auto"/>
        </w:rPr>
      </w:pPr>
      <w:r>
        <w:rPr>
          <w:rFonts w:ascii="Arial" w:cs="Arial" w:eastAsia="Arial" w:hAnsi="Arial"/>
          <w:sz w:val="17"/>
          <w:szCs w:val="17"/>
          <w:color w:val="auto"/>
        </w:rPr>
        <w:t>$285.0 million in regulatory milestone payments, and a sales-based milestone payment of $30.0 million. If TV-45070 is approved, we are also eligible to receive royalties in the low teens to the low twenties on net sales of the licensed products for the timeframe that such products are covered by the licensed patents and in certain other instances. We also have an option to co-promote products in the U.S. Prior to our entry into the collaborative development and license agreement with Teva, we submitted INDs to the FDA for oral TV-45070 for the indication of dental pain (July 2009) and topical TV-45070 for the indication of acute and chronic pain, including neuropathic and inflammatory pain (July 2010). Teva submitted an IND to the FDA for topical TV-45070 for the symptomatic treatment of OA (November 2013).</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Discovery of TV-45070 and Mechanism of Action</w:t>
      </w:r>
    </w:p>
    <w:p>
      <w:pPr>
        <w:spacing w:after="0" w:line="4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Using our Extreme Genetics discovery platform, we discovered Nav1.7 by studying families with the rare disorder CIP. CIP patients are unable to feel pain for painful events including fractures, childbirth, osteomyelitis and OA, severe burns, ulcers, wounds and tooth abscesses. Based on this severe phenotype of absence of pain in humans with CIP, we predicted that the single-gene defect causing CIP could define an important novel human drug target for treating pain. We showed that defects in the CIP gene result in deficiency of the sodium channel Nav1.7.</w:t>
      </w:r>
    </w:p>
    <w:p>
      <w:pPr>
        <w:spacing w:after="0" w:line="10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Nav1.7 is highly expressed in peripheral nerves and transmits pain signals. We believe that inhibition of Nav1.7 may reduce these pain signals. TV-45070 was designed to be a non-selective small-molecule inhibitor of Nav1.7 such that it also can inhibit additional sodium channels, including those that we believe play a role in pain signaling. We believe this mixed sodium channel inhibition may enhance the potential efficacy of TV-45070 in chronic pain. TV-45070 is currently being developed as a topical product as its chemical properties are favorable for topical administration, including high local skin and underlying tissue concentrations in tandem with maintenance of low plasma levels. With these properties, we believe we can target the site of generation of peripherally-based pain without unnecessarily exposing other tissues to significant levels of this compound. This is especially true for the central nervous system where we might expect to observe side-effects when multiple sodium channels are inhibited, such as sleepiness, nausea, and dizziness. We have demonstrated efficacy with this compound in multiple animal models for pain including both nociceptive and neuropathic pain models. Topical TV-45070 in animal models has been shown to exhibit anti-inflammatory properties and may be suited to peripherally-based inflammatory pain such as joint arthritic pain. The broad sodium channel inhibition of TV-45070 is in contrast to our selective inhibitors licensed to Genentech, which are selective for Nav1.7 and are being developed as oral formulations.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TV-45070 Clinical Development</w:t>
      </w:r>
    </w:p>
    <w:p>
      <w:pPr>
        <w:spacing w:after="0" w:line="4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Topical and oral formulations of TV-45070 have been studied in Phase 1 clinical trials in healthy volunteers and in four Phase 2 proof-of-concept clinical trials. A 300-patient, randomized Phase 2b clinical trial in OA is ongoing and future clinical development in neuropathic pain is planned.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TV-45070 Phase 1 Clinical Trials</w:t>
      </w:r>
    </w:p>
    <w:p>
      <w:pPr>
        <w:spacing w:after="0" w:line="4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 topical Phase 1 study, 20 healthy volunteers were dosed once daily for 21 days with 4% and 8% ointment, placebo, a positive control and a 0.9% saline negative control. Topical TV-45070 was generally well tolerated with no clinically meaningful difference observed between cumulative skin irritation scores for 4% and 8% ointment, placebo and the negative saline control. The positive control as expected did show greater skin irritation; there were no serious adverse events, or SAEs, or deaths in this study. All adverse events were moderate or mild in severity with the majority of adverse events related to local skin reactions from the occlusive tape dressings. The most frequently reported adverse events which were not local skin reactions were headache, dizziness, fatigue and oropharyngeal pain. Importantly the average plasma concentrations of TV-45070 were low and, as would be expected, central nervous system side effects were not observed.</w:t>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better understand the systemic side effect profile of TV-45070, the drug was also dosed in Phase 1 single and multiple ascending dose studies using a simple liquid-filled capsule for oral administration. The single-ascending dose, or SAD, study was carried out in 38 healthy volunteers dosed up to 800 mg. The multi-ascending dose, or MAD, study was performed in 32 healthy volunteers who were dosed up to 400 mg twice daily for 5.5 days. The maximal tolerated dose, or MTD, for SAD study was 500 mg and dose-limiting toxicity included dizziness and drowsiness observed for the 800 mg single dose, which we believe indicates inhibition of central nervous system expressed sodium channels. The MTD in the MAD study was not achieved and occasional short-lived adverse events of mild to moderate dizziness and drowsiness were reported by some subjects for the 400 mg twice daily dose.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4"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TV-45070 Phase 2 Proof-of-Concept Clinical Trials</w:t>
      </w:r>
    </w:p>
    <w:p>
      <w:pPr>
        <w:spacing w:after="0" w:line="4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We believe that TV-45070, if successfully developed and approved, may have broad market potential as a pain drug. The types of pain that CIP patients cannot perceive suggest that Nav1.7 may be involved in pain signaling for different types of painful stimuli including both nociceptive, such as inflammatory-based pain, and neuropathic pain. The current standards of care for such prevalent forms of pain often provide poor efficacy and dose increases to provide improved efficacy are often limited by poor tolerability including common side effects, such as nausea, dizziness and sleepiness. Certain anti-inflammatory pain medications, including those used to treat OA, have FDA black box warnings for gastrointestinal bleeding and cardiovascular events, both of which can be fatal. Despite currently available treatments for prevalent pain disorders, we believe that there may be subpopulations of pain patients with unmet medical needs, which topical TV-45070 may be able to address given its novel mechanism and local site of action. Given its novel mechanism, we also expect that topical TV-45070 could be used as either a single agent or in combination with other analgesics that work through different mechanisms.</w:t>
      </w:r>
    </w:p>
    <w:p>
      <w:pPr>
        <w:spacing w:after="0" w:line="114"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Based on the potential broad utility of TV-45070, prior to our collaboration with Teva, we had conducted four Phase 2 proof-of-concept trials to explore the potential of TV-45070 as a treatment for both nociceptive and neuropathic pain, as well as providing evidence that TV-45070 can block the pain signaling mediated by Nav1.7.</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These trials included an oral Phase 2 clinical trial in third molar tooth extraction; a topical Phase 2 clinical trial in postherpetic neuralgia; and two (one oral and one topical) Phase 2 clinical trials in the orphan indication EM. In contrast to the absence of pain in CIP, where Nav1.7 is deficient, over activity of Nav1.7, including genetic gain of function mutations that increase the Nav1.7 mediated pain signaling, can cause the spontaneous pain of primary EM. Furthermore, EM represents a high treatment hurdle as the majority of EM patients do not experience adequate pain relief from current drugs approved for the treatment of pain. Therefore, a demonstration of clinical benefit could represent a new treatment option for EM patients.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Oral TV-45070 Trial in Nociceptive Inflammatory Pain</w:t>
      </w:r>
    </w:p>
    <w:p>
      <w:pPr>
        <w:spacing w:after="0" w:line="42" w:lineRule="exact"/>
        <w:rPr>
          <w:sz w:val="20"/>
          <w:szCs w:val="20"/>
          <w:color w:val="auto"/>
        </w:rPr>
      </w:pPr>
    </w:p>
    <w:p>
      <w:pPr>
        <w:ind w:right="440"/>
        <w:spacing w:after="0" w:line="245" w:lineRule="auto"/>
        <w:rPr>
          <w:sz w:val="20"/>
          <w:szCs w:val="20"/>
          <w:color w:val="auto"/>
        </w:rPr>
      </w:pPr>
      <w:r>
        <w:rPr>
          <w:rFonts w:ascii="Arial" w:cs="Arial" w:eastAsia="Arial" w:hAnsi="Arial"/>
          <w:sz w:val="17"/>
          <w:szCs w:val="17"/>
          <w:color w:val="auto"/>
        </w:rPr>
        <w:t>We conducted a trial for third molar tooth extraction, which is an established acute inflammatory pain model. The data from this proof-of-concept trial support future development of TV-45070 for nociceptive pain indications, including OA.</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We performed a randomized, double-blind, placebo-controlled, Phase 2 proof-of-concept trial in 61 healthy male subjects, of which, 41 subjects received a single oral 500 mg dose of TV-45070 and 20 subjects received placebo.</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DESIGN</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KEY SAFETY DATA</w:t>
            </w:r>
          </w:p>
        </w:tc>
        <w:tc>
          <w:tcPr>
            <w:tcW w:w="220" w:type="dxa"/>
            <w:vAlign w:val="bottom"/>
          </w:tcPr>
          <w:p>
            <w:pPr>
              <w:spacing w:after="0"/>
              <w:rPr>
                <w:sz w:val="14"/>
                <w:szCs w:val="14"/>
                <w:color w:val="auto"/>
              </w:rPr>
            </w:pPr>
          </w:p>
        </w:tc>
        <w:tc>
          <w:tcPr>
            <w:tcW w:w="398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KEY EFFICACY DATA</w:t>
            </w:r>
          </w:p>
        </w:tc>
      </w:tr>
      <w:tr>
        <w:trPr>
          <w:trHeight w:val="190"/>
        </w:trPr>
        <w:tc>
          <w:tcPr>
            <w:tcW w:w="200" w:type="dxa"/>
            <w:vAlign w:val="bottom"/>
          </w:tcPr>
          <w:p>
            <w:pPr>
              <w:spacing w:after="0"/>
              <w:rPr>
                <w:sz w:val="20"/>
                <w:szCs w:val="20"/>
                <w:color w:val="auto"/>
              </w:rPr>
            </w:pPr>
            <w:r>
              <w:rPr>
                <w:rFonts w:ascii="Arial" w:cs="Arial" w:eastAsia="Arial" w:hAnsi="Arial"/>
                <w:sz w:val="13"/>
                <w:szCs w:val="13"/>
                <w:color w:val="auto"/>
              </w:rPr>
              <w:t>n</w:t>
            </w:r>
          </w:p>
        </w:tc>
        <w:tc>
          <w:tcPr>
            <w:tcW w:w="3360" w:type="dxa"/>
            <w:vAlign w:val="bottom"/>
            <w:gridSpan w:val="2"/>
          </w:tcPr>
          <w:p>
            <w:pPr>
              <w:ind w:left="140"/>
              <w:spacing w:after="0" w:line="190" w:lineRule="exact"/>
              <w:rPr>
                <w:sz w:val="20"/>
                <w:szCs w:val="20"/>
                <w:color w:val="auto"/>
              </w:rPr>
            </w:pPr>
            <w:r>
              <w:rPr>
                <w:rFonts w:ascii="Arial" w:cs="Arial" w:eastAsia="Arial" w:hAnsi="Arial"/>
                <w:sz w:val="17"/>
                <w:szCs w:val="17"/>
                <w:color w:val="auto"/>
              </w:rPr>
              <w:t>Double-blind, randomized, placebo-</w:t>
            </w:r>
          </w:p>
        </w:tc>
        <w:tc>
          <w:tcPr>
            <w:tcW w:w="200" w:type="dxa"/>
            <w:vAlign w:val="bottom"/>
          </w:tcPr>
          <w:p>
            <w:pPr>
              <w:spacing w:after="0"/>
              <w:rPr>
                <w:sz w:val="20"/>
                <w:szCs w:val="20"/>
                <w:color w:val="auto"/>
              </w:rPr>
            </w:pPr>
            <w:r>
              <w:rPr>
                <w:rFonts w:ascii="Arial" w:cs="Arial" w:eastAsia="Arial" w:hAnsi="Arial"/>
                <w:sz w:val="13"/>
                <w:szCs w:val="13"/>
                <w:color w:val="auto"/>
              </w:rPr>
              <w:t>n</w:t>
            </w:r>
          </w:p>
        </w:tc>
        <w:tc>
          <w:tcPr>
            <w:tcW w:w="3680" w:type="dxa"/>
            <w:vAlign w:val="bottom"/>
            <w:gridSpan w:val="2"/>
          </w:tcPr>
          <w:p>
            <w:pPr>
              <w:ind w:left="140"/>
              <w:spacing w:after="0" w:line="190" w:lineRule="exact"/>
              <w:rPr>
                <w:sz w:val="20"/>
                <w:szCs w:val="20"/>
                <w:color w:val="auto"/>
              </w:rPr>
            </w:pPr>
            <w:r>
              <w:rPr>
                <w:rFonts w:ascii="Arial" w:cs="Arial" w:eastAsia="Arial" w:hAnsi="Arial"/>
                <w:sz w:val="17"/>
                <w:szCs w:val="17"/>
                <w:color w:val="auto"/>
              </w:rPr>
              <w:t>Safe and well tolerated</w:t>
            </w:r>
          </w:p>
        </w:tc>
        <w:tc>
          <w:tcPr>
            <w:tcW w:w="3980" w:type="dxa"/>
            <w:vAlign w:val="bottom"/>
          </w:tcPr>
          <w:p>
            <w:pPr>
              <w:spacing w:after="0" w:line="190" w:lineRule="exact"/>
              <w:rPr>
                <w:sz w:val="20"/>
                <w:szCs w:val="20"/>
                <w:color w:val="auto"/>
              </w:rPr>
            </w:pPr>
            <w:r>
              <w:rPr>
                <w:rFonts w:ascii="Arial" w:cs="Arial" w:eastAsia="Arial" w:hAnsi="Arial"/>
                <w:sz w:val="13"/>
                <w:szCs w:val="13"/>
                <w:color w:val="auto"/>
                <w:w w:val="98"/>
              </w:rPr>
              <w:t>n</w:t>
            </w:r>
            <w:r>
              <w:rPr>
                <w:rFonts w:ascii="Arial" w:cs="Arial" w:eastAsia="Arial" w:hAnsi="Arial"/>
                <w:sz w:val="17"/>
                <w:szCs w:val="17"/>
                <w:color w:val="auto"/>
                <w:w w:val="98"/>
              </w:rPr>
              <w:t>The primary and secondary endpoints showed</w:t>
            </w:r>
          </w:p>
        </w:tc>
      </w:tr>
      <w:tr>
        <w:trPr>
          <w:trHeight w:val="194"/>
        </w:trPr>
        <w:tc>
          <w:tcPr>
            <w:tcW w:w="200" w:type="dxa"/>
            <w:vAlign w:val="bottom"/>
          </w:tcPr>
          <w:p>
            <w:pPr>
              <w:spacing w:after="0"/>
              <w:rPr>
                <w:sz w:val="16"/>
                <w:szCs w:val="16"/>
                <w:color w:val="auto"/>
              </w:rPr>
            </w:pPr>
          </w:p>
        </w:tc>
        <w:tc>
          <w:tcPr>
            <w:tcW w:w="336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controlled</w:t>
            </w:r>
          </w:p>
        </w:tc>
        <w:tc>
          <w:tcPr>
            <w:tcW w:w="200" w:type="dxa"/>
            <w:vAlign w:val="bottom"/>
          </w:tcPr>
          <w:p>
            <w:pPr>
              <w:spacing w:after="0"/>
              <w:rPr>
                <w:sz w:val="20"/>
                <w:szCs w:val="20"/>
                <w:color w:val="auto"/>
              </w:rPr>
            </w:pPr>
            <w:r>
              <w:rPr>
                <w:rFonts w:ascii="Arial" w:cs="Arial" w:eastAsia="Arial" w:hAnsi="Arial"/>
                <w:sz w:val="13"/>
                <w:szCs w:val="13"/>
                <w:color w:val="auto"/>
              </w:rPr>
              <w:t>n</w:t>
            </w:r>
          </w:p>
        </w:tc>
        <w:tc>
          <w:tcPr>
            <w:tcW w:w="368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The most frequently reported adverse</w:t>
            </w:r>
          </w:p>
        </w:tc>
        <w:tc>
          <w:tcPr>
            <w:tcW w:w="3980" w:type="dxa"/>
            <w:vAlign w:val="bottom"/>
          </w:tcPr>
          <w:p>
            <w:pPr>
              <w:ind w:left="400"/>
              <w:spacing w:after="0" w:line="194" w:lineRule="exact"/>
              <w:rPr>
                <w:sz w:val="20"/>
                <w:szCs w:val="20"/>
                <w:color w:val="auto"/>
              </w:rPr>
            </w:pPr>
            <w:r>
              <w:rPr>
                <w:rFonts w:ascii="Arial" w:cs="Arial" w:eastAsia="Arial" w:hAnsi="Arial"/>
                <w:sz w:val="17"/>
                <w:szCs w:val="17"/>
                <w:color w:val="auto"/>
              </w:rPr>
              <w:t>consistent trends in favor of reduced pain for</w:t>
            </w:r>
          </w:p>
        </w:tc>
      </w:tr>
      <w:tr>
        <w:trPr>
          <w:trHeight w:val="219"/>
        </w:trPr>
        <w:tc>
          <w:tcPr>
            <w:tcW w:w="200" w:type="dxa"/>
            <w:vAlign w:val="bottom"/>
          </w:tcPr>
          <w:p>
            <w:pPr>
              <w:spacing w:after="0"/>
              <w:rPr>
                <w:sz w:val="20"/>
                <w:szCs w:val="20"/>
                <w:color w:val="auto"/>
              </w:rPr>
            </w:pPr>
            <w:r>
              <w:rPr>
                <w:rFonts w:ascii="Arial" w:cs="Arial" w:eastAsia="Arial" w:hAnsi="Arial"/>
                <w:sz w:val="13"/>
                <w:szCs w:val="13"/>
                <w:color w:val="auto"/>
              </w:rPr>
              <w:t>n</w:t>
            </w:r>
          </w:p>
        </w:tc>
        <w:tc>
          <w:tcPr>
            <w:tcW w:w="3360" w:type="dxa"/>
            <w:vAlign w:val="bottom"/>
            <w:gridSpan w:val="2"/>
          </w:tcPr>
          <w:p>
            <w:pPr>
              <w:ind w:left="140"/>
              <w:spacing w:after="0"/>
              <w:rPr>
                <w:sz w:val="20"/>
                <w:szCs w:val="20"/>
                <w:color w:val="auto"/>
              </w:rPr>
            </w:pPr>
            <w:r>
              <w:rPr>
                <w:rFonts w:ascii="Arial" w:cs="Arial" w:eastAsia="Arial" w:hAnsi="Arial"/>
                <w:sz w:val="17"/>
                <w:szCs w:val="17"/>
                <w:color w:val="auto"/>
              </w:rPr>
              <w:t>61 subjects randomized</w:t>
            </w:r>
          </w:p>
        </w:tc>
        <w:tc>
          <w:tcPr>
            <w:tcW w:w="20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events, or AEs, were nausea, dizziness,</w:t>
            </w:r>
          </w:p>
        </w:tc>
        <w:tc>
          <w:tcPr>
            <w:tcW w:w="3980" w:type="dxa"/>
            <w:vAlign w:val="bottom"/>
          </w:tcPr>
          <w:p>
            <w:pPr>
              <w:ind w:left="400"/>
              <w:spacing w:after="0"/>
              <w:rPr>
                <w:sz w:val="20"/>
                <w:szCs w:val="20"/>
                <w:color w:val="auto"/>
              </w:rPr>
            </w:pPr>
            <w:r>
              <w:rPr>
                <w:rFonts w:ascii="Arial" w:cs="Arial" w:eastAsia="Arial" w:hAnsi="Arial"/>
                <w:sz w:val="17"/>
                <w:szCs w:val="17"/>
                <w:color w:val="auto"/>
              </w:rPr>
              <w:t>TV-45070 versus placebo</w:t>
            </w:r>
          </w:p>
        </w:tc>
      </w:tr>
      <w:tr>
        <w:trPr>
          <w:trHeight w:val="194"/>
        </w:trPr>
        <w:tc>
          <w:tcPr>
            <w:tcW w:w="3560" w:type="dxa"/>
            <w:vAlign w:val="bottom"/>
            <w:gridSpan w:val="3"/>
          </w:tcPr>
          <w:p>
            <w:pPr>
              <w:spacing w:after="0" w:line="194" w:lineRule="exact"/>
              <w:rPr>
                <w:sz w:val="20"/>
                <w:szCs w:val="20"/>
                <w:color w:val="auto"/>
              </w:rPr>
            </w:pPr>
            <w:r>
              <w:rPr>
                <w:rFonts w:ascii="Arial" w:cs="Arial" w:eastAsia="Arial" w:hAnsi="Arial"/>
                <w:sz w:val="13"/>
                <w:szCs w:val="13"/>
                <w:color w:val="auto"/>
                <w:w w:val="99"/>
              </w:rPr>
              <w:t>n</w:t>
            </w:r>
            <w:r>
              <w:rPr>
                <w:rFonts w:ascii="Arial" w:cs="Arial" w:eastAsia="Arial" w:hAnsi="Arial"/>
                <w:sz w:val="17"/>
                <w:szCs w:val="17"/>
                <w:color w:val="auto"/>
                <w:w w:val="99"/>
              </w:rPr>
              <w:t>Single oral dose of 500 mg or placebo</w:t>
            </w:r>
          </w:p>
        </w:tc>
        <w:tc>
          <w:tcPr>
            <w:tcW w:w="200" w:type="dxa"/>
            <w:vAlign w:val="bottom"/>
          </w:tcPr>
          <w:p>
            <w:pPr>
              <w:spacing w:after="0"/>
              <w:rPr>
                <w:sz w:val="16"/>
                <w:szCs w:val="16"/>
                <w:color w:val="auto"/>
              </w:rPr>
            </w:pPr>
          </w:p>
        </w:tc>
        <w:tc>
          <w:tcPr>
            <w:tcW w:w="36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headache and drowsiness, which were mild</w:t>
            </w:r>
          </w:p>
        </w:tc>
        <w:tc>
          <w:tcPr>
            <w:tcW w:w="3980" w:type="dxa"/>
            <w:vAlign w:val="bottom"/>
          </w:tcPr>
          <w:p>
            <w:pPr>
              <w:spacing w:after="0" w:line="194" w:lineRule="exact"/>
              <w:rPr>
                <w:sz w:val="20"/>
                <w:szCs w:val="20"/>
                <w:color w:val="auto"/>
              </w:rPr>
            </w:pPr>
            <w:r>
              <w:rPr>
                <w:rFonts w:ascii="Arial" w:cs="Arial" w:eastAsia="Arial" w:hAnsi="Arial"/>
                <w:sz w:val="13"/>
                <w:szCs w:val="13"/>
                <w:color w:val="auto"/>
                <w:w w:val="98"/>
              </w:rPr>
              <w:t>n</w:t>
            </w:r>
            <w:r>
              <w:rPr>
                <w:rFonts w:ascii="Arial" w:cs="Arial" w:eastAsia="Arial" w:hAnsi="Arial"/>
                <w:sz w:val="17"/>
                <w:szCs w:val="17"/>
                <w:color w:val="auto"/>
                <w:w w:val="98"/>
              </w:rPr>
              <w:t>The primary endpoint of TOTPAR-6 showed a</w:t>
            </w:r>
          </w:p>
        </w:tc>
      </w:tr>
      <w:tr>
        <w:trPr>
          <w:trHeight w:val="194"/>
        </w:trPr>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or moderate in intensity</w:t>
            </w:r>
          </w:p>
        </w:tc>
        <w:tc>
          <w:tcPr>
            <w:tcW w:w="3980" w:type="dxa"/>
            <w:vAlign w:val="bottom"/>
          </w:tcPr>
          <w:p>
            <w:pPr>
              <w:ind w:left="400"/>
              <w:spacing w:after="0" w:line="194" w:lineRule="exact"/>
              <w:rPr>
                <w:sz w:val="20"/>
                <w:szCs w:val="20"/>
                <w:color w:val="auto"/>
              </w:rPr>
            </w:pPr>
            <w:r>
              <w:rPr>
                <w:rFonts w:ascii="Arial" w:cs="Arial" w:eastAsia="Arial" w:hAnsi="Arial"/>
                <w:sz w:val="17"/>
                <w:szCs w:val="17"/>
                <w:color w:val="auto"/>
              </w:rPr>
              <w:t>separation between active and placebo but did</w:t>
            </w:r>
          </w:p>
        </w:tc>
      </w:tr>
      <w:tr>
        <w:trPr>
          <w:trHeight w:val="194"/>
        </w:trPr>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n</w:t>
            </w:r>
          </w:p>
        </w:tc>
        <w:tc>
          <w:tcPr>
            <w:tcW w:w="368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No SAEs</w:t>
            </w:r>
          </w:p>
        </w:tc>
        <w:tc>
          <w:tcPr>
            <w:tcW w:w="3980" w:type="dxa"/>
            <w:vAlign w:val="bottom"/>
          </w:tcPr>
          <w:p>
            <w:pPr>
              <w:ind w:left="400"/>
              <w:spacing w:after="0" w:line="194" w:lineRule="exact"/>
              <w:rPr>
                <w:sz w:val="20"/>
                <w:szCs w:val="20"/>
                <w:color w:val="auto"/>
              </w:rPr>
            </w:pPr>
            <w:r>
              <w:rPr>
                <w:rFonts w:ascii="Arial" w:cs="Arial" w:eastAsia="Arial" w:hAnsi="Arial"/>
                <w:sz w:val="17"/>
                <w:szCs w:val="17"/>
                <w:color w:val="auto"/>
                <w:w w:val="99"/>
              </w:rPr>
              <w:t>not reach the pre-defined statistical significance</w:t>
            </w:r>
          </w:p>
        </w:tc>
      </w:tr>
      <w:tr>
        <w:trPr>
          <w:trHeight w:val="202"/>
        </w:trPr>
        <w:tc>
          <w:tcPr>
            <w:tcW w:w="2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Pr>
          <w:p>
            <w:pPr>
              <w:ind w:left="400"/>
              <w:spacing w:after="0"/>
              <w:rPr>
                <w:sz w:val="20"/>
                <w:szCs w:val="20"/>
                <w:color w:val="auto"/>
              </w:rPr>
            </w:pPr>
            <w:r>
              <w:rPr>
                <w:rFonts w:ascii="Arial" w:cs="Arial" w:eastAsia="Arial" w:hAnsi="Arial"/>
                <w:sz w:val="17"/>
                <w:szCs w:val="17"/>
                <w:color w:val="auto"/>
              </w:rPr>
              <w:t>for the trial</w:t>
            </w:r>
          </w:p>
        </w:tc>
      </w:tr>
    </w:tbl>
    <w:p>
      <w:pPr>
        <w:spacing w:after="0" w:line="16"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Certain secondary endpoints achieved statistical</w:t>
      </w:r>
    </w:p>
    <w:p>
      <w:pPr>
        <w:ind w:left="7840"/>
        <w:spacing w:after="0"/>
        <w:rPr>
          <w:sz w:val="20"/>
          <w:szCs w:val="20"/>
          <w:color w:val="auto"/>
        </w:rPr>
      </w:pPr>
      <w:r>
        <w:rPr>
          <w:rFonts w:ascii="Arial" w:cs="Arial" w:eastAsia="Arial" w:hAnsi="Arial"/>
          <w:sz w:val="17"/>
          <w:szCs w:val="17"/>
          <w:color w:val="auto"/>
        </w:rPr>
        <w:t>significance</w:t>
      </w:r>
    </w:p>
    <w:p>
      <w:pPr>
        <w:spacing w:after="0" w:line="22"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In a post-hoc analysis, a significantly increased</w:t>
      </w:r>
    </w:p>
    <w:p>
      <w:pPr>
        <w:ind w:left="7840"/>
        <w:spacing w:after="0" w:line="237" w:lineRule="auto"/>
        <w:rPr>
          <w:sz w:val="20"/>
          <w:szCs w:val="20"/>
          <w:color w:val="auto"/>
        </w:rPr>
      </w:pPr>
      <w:r>
        <w:rPr>
          <w:rFonts w:ascii="Arial" w:cs="Arial" w:eastAsia="Arial" w:hAnsi="Arial"/>
          <w:sz w:val="17"/>
          <w:szCs w:val="17"/>
          <w:color w:val="auto"/>
        </w:rPr>
        <w:t>proportion of TV-45070-treated patients</w:t>
      </w:r>
    </w:p>
    <w:p>
      <w:pPr>
        <w:ind w:left="7840"/>
        <w:spacing w:after="0" w:line="238" w:lineRule="auto"/>
        <w:rPr>
          <w:sz w:val="20"/>
          <w:szCs w:val="20"/>
          <w:color w:val="auto"/>
        </w:rPr>
      </w:pPr>
      <w:r>
        <w:rPr>
          <w:rFonts w:ascii="Arial" w:cs="Arial" w:eastAsia="Arial" w:hAnsi="Arial"/>
          <w:sz w:val="17"/>
          <w:szCs w:val="17"/>
          <w:color w:val="auto"/>
        </w:rPr>
        <w:t>reported 30% or greater and 50% or greater</w:t>
      </w:r>
    </w:p>
    <w:p>
      <w:pPr>
        <w:ind w:left="7840"/>
        <w:spacing w:after="0"/>
        <w:rPr>
          <w:sz w:val="20"/>
          <w:szCs w:val="20"/>
          <w:color w:val="auto"/>
        </w:rPr>
      </w:pPr>
      <w:r>
        <w:rPr>
          <w:rFonts w:ascii="Arial" w:cs="Arial" w:eastAsia="Arial" w:hAnsi="Arial"/>
          <w:sz w:val="17"/>
          <w:szCs w:val="17"/>
          <w:color w:val="auto"/>
        </w:rPr>
        <w:t>reduction in their pain compared to placebo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primary and all secondary endpoints showed consistent trends in favor of reduced pain for TV-45070 versus placebo.</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4"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primary efficacy endpoint was the change in total pain relief at six hours post-dose, or TOTPAR-6. For this endpoint, TV-45070-treated subjects experienced greater pain relief compared to subjects who received placebo (p=0.171), although the difference did not achieve the pre-defined statistical significance for the trial of p=0.1. The figure below illustrates the greater pain relief of TV-45070 versus placebo and a greater separation between TV-45070 and placebo at subsequent observations, including 8, 10, and 12 hours, suggesting improved effect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-6350</wp:posOffset>
            </wp:positionV>
            <wp:extent cx="3130550" cy="2253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30550" cy="225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Multiple secondary endpoints were studied including Categorical Pain Relief Rating Scale, or REL, a numerical five-point scale ranging from no pain to complete pain and Pain Intensity Difference, or PID, compared to baseline. Certain secondary endpoints for the REL achieved predefined statistical significance for this trial.</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An exploratory analysis not described within the study protocol submitted to the FDA demonstrated a statistically significant proportion of subjects on TV-45070 exhibited a 30% or greater (p&lt;0.05) (see figure below) and 50% or greater (p&lt;0.05) reduction in pain compared to placebo. These improvements were observed from approximately 1.5 to 19 hours post-dosing, suggestive of an extended clinical effect after a single oral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-6350</wp:posOffset>
            </wp:positionV>
            <wp:extent cx="2860040" cy="1835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60040"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data from this proof-of-concept trial support future development of TV-45070 for nociceptive pain indications, including OA.</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320"/>
          </w:cols>
          <w:pgMar w:left="240" w:top="444" w:right="3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TV-45070 in Neuropathic EM Pain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TV-45070 has been studied in both a topical formulation and an oral formulation in small, exploratory Phase 2 proof-of-concept clinical trials in primary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EM. The table below summarizes the results of these TV-45070 trials:</w:t>
      </w:r>
    </w:p>
    <w:p>
      <w:pPr>
        <w:sectPr>
          <w:pgSz w:w="11900" w:h="16838" w:orient="portrait"/>
          <w:cols w:equalWidth="0" w:num="1">
            <w:col w:w="11420"/>
          </w:cols>
          <w:pgMar w:left="240" w:top="444" w:right="2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Oral Phase 2 EM Trial</w:t>
      </w:r>
    </w:p>
    <w:p>
      <w:pPr>
        <w:spacing w:after="0" w:line="100"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1062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18" w:lineRule="exact"/>
        <w:rPr>
          <w:sz w:val="20"/>
          <w:szCs w:val="20"/>
          <w:color w:val="auto"/>
        </w:rPr>
      </w:pPr>
    </w:p>
    <w:p>
      <w:pPr>
        <w:ind w:left="420" w:right="160" w:hanging="417"/>
        <w:spacing w:after="0" w:line="245" w:lineRule="auto"/>
        <w:tabs>
          <w:tab w:leader="none" w:pos="351" w:val="left"/>
        </w:tabs>
        <w:numPr>
          <w:ilvl w:val="0"/>
          <w:numId w:val="63"/>
        </w:numPr>
        <w:rPr>
          <w:rFonts w:ascii="Arial" w:cs="Arial" w:eastAsia="Arial" w:hAnsi="Arial"/>
          <w:sz w:val="13"/>
          <w:szCs w:val="13"/>
          <w:color w:val="auto"/>
        </w:rPr>
      </w:pPr>
      <w:r>
        <w:rPr>
          <w:rFonts w:ascii="Arial" w:cs="Arial" w:eastAsia="Arial" w:hAnsi="Arial"/>
          <w:sz w:val="17"/>
          <w:szCs w:val="17"/>
          <w:color w:val="auto"/>
        </w:rPr>
        <w:t>Double-blind, randomized, placebo-controlled crossover</w:t>
      </w:r>
    </w:p>
    <w:p>
      <w:pPr>
        <w:spacing w:after="0" w:line="13" w:lineRule="exact"/>
        <w:rPr>
          <w:rFonts w:ascii="Arial" w:cs="Arial" w:eastAsia="Arial" w:hAnsi="Arial"/>
          <w:sz w:val="13"/>
          <w:szCs w:val="13"/>
          <w:color w:val="auto"/>
        </w:rPr>
      </w:pPr>
    </w:p>
    <w:p>
      <w:pPr>
        <w:ind w:left="340" w:hanging="337"/>
        <w:spacing w:after="0"/>
        <w:tabs>
          <w:tab w:leader="none" w:pos="340" w:val="left"/>
        </w:tabs>
        <w:numPr>
          <w:ilvl w:val="0"/>
          <w:numId w:val="63"/>
        </w:numPr>
        <w:rPr>
          <w:rFonts w:ascii="Arial" w:cs="Arial" w:eastAsia="Arial" w:hAnsi="Arial"/>
          <w:sz w:val="12"/>
          <w:szCs w:val="12"/>
          <w:color w:val="auto"/>
        </w:rPr>
      </w:pPr>
      <w:r>
        <w:rPr>
          <w:rFonts w:ascii="Arial" w:cs="Arial" w:eastAsia="Arial" w:hAnsi="Arial"/>
          <w:sz w:val="16"/>
          <w:szCs w:val="16"/>
          <w:color w:val="auto"/>
        </w:rPr>
        <w:t>Four primary EM patients randomized</w:t>
      </w:r>
    </w:p>
    <w:p>
      <w:pPr>
        <w:spacing w:after="0" w:line="35" w:lineRule="exact"/>
        <w:rPr>
          <w:rFonts w:ascii="Arial" w:cs="Arial" w:eastAsia="Arial" w:hAnsi="Arial"/>
          <w:sz w:val="12"/>
          <w:szCs w:val="12"/>
          <w:color w:val="auto"/>
        </w:rPr>
      </w:pPr>
    </w:p>
    <w:p>
      <w:pPr>
        <w:ind w:left="420" w:right="140" w:hanging="417"/>
        <w:spacing w:after="0" w:line="245" w:lineRule="auto"/>
        <w:tabs>
          <w:tab w:leader="none" w:pos="351" w:val="left"/>
        </w:tabs>
        <w:numPr>
          <w:ilvl w:val="0"/>
          <w:numId w:val="63"/>
        </w:numPr>
        <w:rPr>
          <w:rFonts w:ascii="Arial" w:cs="Arial" w:eastAsia="Arial" w:hAnsi="Arial"/>
          <w:sz w:val="13"/>
          <w:szCs w:val="13"/>
          <w:color w:val="auto"/>
        </w:rPr>
      </w:pPr>
      <w:r>
        <w:rPr>
          <w:rFonts w:ascii="Arial" w:cs="Arial" w:eastAsia="Arial" w:hAnsi="Arial"/>
          <w:sz w:val="17"/>
          <w:szCs w:val="17"/>
          <w:color w:val="auto"/>
        </w:rPr>
        <w:t>400 mg or placebo was dosed twice daily for two days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KEY SAFETY DATA</w:t>
            </w:r>
          </w:p>
        </w:tc>
        <w:tc>
          <w:tcPr>
            <w:tcW w:w="220" w:type="dxa"/>
            <w:vAlign w:val="bottom"/>
          </w:tcPr>
          <w:p>
            <w:pPr>
              <w:spacing w:after="0"/>
              <w:rPr>
                <w:sz w:val="14"/>
                <w:szCs w:val="14"/>
                <w:color w:val="auto"/>
              </w:rPr>
            </w:pPr>
          </w:p>
        </w:tc>
        <w:tc>
          <w:tcPr>
            <w:tcW w:w="398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KEY EFFICACY DATA</w:t>
            </w:r>
          </w:p>
        </w:tc>
      </w:tr>
      <w:tr>
        <w:trPr>
          <w:trHeight w:val="190"/>
        </w:trPr>
        <w:tc>
          <w:tcPr>
            <w:tcW w:w="200" w:type="dxa"/>
            <w:vAlign w:val="bottom"/>
          </w:tcPr>
          <w:p>
            <w:pPr>
              <w:spacing w:after="0"/>
              <w:rPr>
                <w:sz w:val="20"/>
                <w:szCs w:val="20"/>
                <w:color w:val="auto"/>
              </w:rPr>
            </w:pPr>
            <w:r>
              <w:rPr>
                <w:rFonts w:ascii="Arial" w:cs="Arial" w:eastAsia="Arial" w:hAnsi="Arial"/>
                <w:sz w:val="13"/>
                <w:szCs w:val="13"/>
                <w:color w:val="auto"/>
              </w:rPr>
              <w:t>n</w:t>
            </w:r>
          </w:p>
        </w:tc>
        <w:tc>
          <w:tcPr>
            <w:tcW w:w="3680" w:type="dxa"/>
            <w:vAlign w:val="bottom"/>
            <w:gridSpan w:val="2"/>
          </w:tcPr>
          <w:p>
            <w:pPr>
              <w:ind w:left="140"/>
              <w:spacing w:after="0" w:line="190" w:lineRule="exact"/>
              <w:rPr>
                <w:sz w:val="20"/>
                <w:szCs w:val="20"/>
                <w:color w:val="auto"/>
              </w:rPr>
            </w:pPr>
            <w:r>
              <w:rPr>
                <w:rFonts w:ascii="Arial" w:cs="Arial" w:eastAsia="Arial" w:hAnsi="Arial"/>
                <w:sz w:val="17"/>
                <w:szCs w:val="17"/>
                <w:color w:val="auto"/>
              </w:rPr>
              <w:t>Most common AEs were dizziness and</w:t>
            </w:r>
          </w:p>
        </w:tc>
        <w:tc>
          <w:tcPr>
            <w:tcW w:w="3980" w:type="dxa"/>
            <w:vAlign w:val="bottom"/>
          </w:tcPr>
          <w:p>
            <w:pPr>
              <w:spacing w:after="0" w:line="190" w:lineRule="exact"/>
              <w:rPr>
                <w:sz w:val="20"/>
                <w:szCs w:val="20"/>
                <w:color w:val="auto"/>
              </w:rPr>
            </w:pPr>
            <w:r>
              <w:rPr>
                <w:rFonts w:ascii="Arial" w:cs="Arial" w:eastAsia="Arial" w:hAnsi="Arial"/>
                <w:sz w:val="13"/>
                <w:szCs w:val="13"/>
                <w:color w:val="auto"/>
                <w:w w:val="98"/>
              </w:rPr>
              <w:t>n</w:t>
            </w:r>
            <w:r>
              <w:rPr>
                <w:rFonts w:ascii="Arial" w:cs="Arial" w:eastAsia="Arial" w:hAnsi="Arial"/>
                <w:sz w:val="17"/>
                <w:szCs w:val="17"/>
                <w:color w:val="auto"/>
                <w:w w:val="98"/>
              </w:rPr>
              <w:t>A significant (42%) reduction in EM pain was</w:t>
            </w:r>
          </w:p>
        </w:tc>
      </w:tr>
      <w:tr>
        <w:trPr>
          <w:trHeight w:val="194"/>
        </w:trPr>
        <w:tc>
          <w:tcPr>
            <w:tcW w:w="200" w:type="dxa"/>
            <w:vAlign w:val="bottom"/>
          </w:tcPr>
          <w:p>
            <w:pPr>
              <w:spacing w:after="0"/>
              <w:rPr>
                <w:sz w:val="16"/>
                <w:szCs w:val="16"/>
                <w:color w:val="auto"/>
              </w:rPr>
            </w:pPr>
          </w:p>
        </w:tc>
        <w:tc>
          <w:tcPr>
            <w:tcW w:w="36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drowsiness that ranged from mild (no</w:t>
            </w:r>
          </w:p>
        </w:tc>
        <w:tc>
          <w:tcPr>
            <w:tcW w:w="3980" w:type="dxa"/>
            <w:vAlign w:val="bottom"/>
          </w:tcPr>
          <w:p>
            <w:pPr>
              <w:ind w:left="400"/>
              <w:spacing w:after="0" w:line="194" w:lineRule="exact"/>
              <w:rPr>
                <w:sz w:val="20"/>
                <w:szCs w:val="20"/>
                <w:color w:val="auto"/>
              </w:rPr>
            </w:pPr>
            <w:r>
              <w:rPr>
                <w:rFonts w:ascii="Arial" w:cs="Arial" w:eastAsia="Arial" w:hAnsi="Arial"/>
                <w:sz w:val="17"/>
                <w:szCs w:val="17"/>
                <w:color w:val="auto"/>
              </w:rPr>
              <w:t>observed in the three patients where pain was</w:t>
            </w:r>
          </w:p>
        </w:tc>
      </w:tr>
      <w:tr>
        <w:trPr>
          <w:trHeight w:val="194"/>
        </w:trPr>
        <w:tc>
          <w:tcPr>
            <w:tcW w:w="200" w:type="dxa"/>
            <w:vAlign w:val="bottom"/>
          </w:tcPr>
          <w:p>
            <w:pPr>
              <w:spacing w:after="0"/>
              <w:rPr>
                <w:sz w:val="16"/>
                <w:szCs w:val="16"/>
                <w:color w:val="auto"/>
              </w:rPr>
            </w:pPr>
          </w:p>
        </w:tc>
        <w:tc>
          <w:tcPr>
            <w:tcW w:w="368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interference in daily activities) to severe</w:t>
            </w:r>
          </w:p>
        </w:tc>
        <w:tc>
          <w:tcPr>
            <w:tcW w:w="3980" w:type="dxa"/>
            <w:vAlign w:val="bottom"/>
          </w:tcPr>
          <w:p>
            <w:pPr>
              <w:ind w:left="400"/>
              <w:spacing w:after="0" w:line="194" w:lineRule="exact"/>
              <w:rPr>
                <w:sz w:val="20"/>
                <w:szCs w:val="20"/>
                <w:color w:val="auto"/>
              </w:rPr>
            </w:pPr>
            <w:r>
              <w:rPr>
                <w:rFonts w:ascii="Arial" w:cs="Arial" w:eastAsia="Arial" w:hAnsi="Arial"/>
                <w:sz w:val="17"/>
                <w:szCs w:val="17"/>
                <w:color w:val="auto"/>
              </w:rPr>
              <w:t>induced (p=0.014)</w:t>
            </w:r>
          </w:p>
        </w:tc>
      </w:tr>
      <w:tr>
        <w:trPr>
          <w:trHeight w:val="202"/>
        </w:trPr>
        <w:tc>
          <w:tcPr>
            <w:tcW w:w="200" w:type="dxa"/>
            <w:vAlign w:val="bottom"/>
          </w:tcPr>
          <w:p>
            <w:pPr>
              <w:spacing w:after="0"/>
              <w:rPr>
                <w:sz w:val="17"/>
                <w:szCs w:val="17"/>
                <w:color w:val="auto"/>
              </w:rPr>
            </w:pPr>
          </w:p>
        </w:tc>
        <w:tc>
          <w:tcPr>
            <w:tcW w:w="3680" w:type="dxa"/>
            <w:vAlign w:val="bottom"/>
            <w:gridSpan w:val="2"/>
          </w:tcPr>
          <w:p>
            <w:pPr>
              <w:ind w:left="200"/>
              <w:spacing w:after="0"/>
              <w:rPr>
                <w:sz w:val="20"/>
                <w:szCs w:val="20"/>
                <w:color w:val="auto"/>
              </w:rPr>
            </w:pPr>
            <w:r>
              <w:rPr>
                <w:rFonts w:ascii="Arial" w:cs="Arial" w:eastAsia="Arial" w:hAnsi="Arial"/>
                <w:sz w:val="17"/>
                <w:szCs w:val="17"/>
                <w:color w:val="auto"/>
              </w:rPr>
              <w:t>(significant interference in daily activities)</w:t>
            </w:r>
          </w:p>
        </w:tc>
        <w:tc>
          <w:tcPr>
            <w:tcW w:w="3980" w:type="dxa"/>
            <w:vAlign w:val="bottom"/>
          </w:tcPr>
          <w:p>
            <w:pPr>
              <w:spacing w:after="0"/>
              <w:rPr>
                <w:sz w:val="17"/>
                <w:szCs w:val="17"/>
                <w:color w:val="auto"/>
              </w:rPr>
            </w:pPr>
          </w:p>
        </w:tc>
      </w:tr>
    </w:tbl>
    <w:p>
      <w:pPr>
        <w:spacing w:after="0" w:line="18" w:lineRule="exact"/>
        <w:rPr>
          <w:sz w:val="20"/>
          <w:szCs w:val="20"/>
          <w:color w:val="auto"/>
        </w:rPr>
      </w:pPr>
    </w:p>
    <w:p>
      <w:pPr>
        <w:ind w:left="408" w:right="4240" w:hanging="408"/>
        <w:spacing w:after="0" w:line="241" w:lineRule="auto"/>
        <w:tabs>
          <w:tab w:leader="none" w:pos="339" w:val="left"/>
        </w:tabs>
        <w:numPr>
          <w:ilvl w:val="0"/>
          <w:numId w:val="64"/>
        </w:numPr>
        <w:rPr>
          <w:rFonts w:ascii="Arial" w:cs="Arial" w:eastAsia="Arial" w:hAnsi="Arial"/>
          <w:sz w:val="13"/>
          <w:szCs w:val="13"/>
          <w:color w:val="auto"/>
        </w:rPr>
      </w:pPr>
      <w:r>
        <w:rPr>
          <w:rFonts w:ascii="Arial" w:cs="Arial" w:eastAsia="Arial" w:hAnsi="Arial"/>
          <w:sz w:val="17"/>
          <w:szCs w:val="17"/>
          <w:color w:val="auto"/>
        </w:rPr>
        <w:t>No SAEs or deaths, with the most frequently reported AEs being dizziness, headache, sedation and drowsiness</w:t>
      </w:r>
    </w:p>
    <w:p>
      <w:pPr>
        <w:spacing w:after="0" w:line="51" w:lineRule="exact"/>
        <w:rPr>
          <w:sz w:val="20"/>
          <w:szCs w:val="20"/>
          <w:color w:val="auto"/>
        </w:rPr>
      </w:pPr>
    </w:p>
    <w:p>
      <w:pPr>
        <w:sectPr>
          <w:pgSz w:w="11900" w:h="16838" w:orient="portrait"/>
          <w:cols w:equalWidth="0" w:num="2">
            <w:col w:w="3160" w:space="392"/>
            <w:col w:w="7868"/>
          </w:cols>
          <w:pgMar w:left="240" w:top="444" w:right="239" w:bottom="1440" w:gutter="0" w:footer="0" w:header="0"/>
          <w:type w:val="continuous"/>
        </w:sectPr>
      </w:pPr>
    </w:p>
    <w:p>
      <w:pPr>
        <w:spacing w:after="0"/>
        <w:rPr>
          <w:sz w:val="20"/>
          <w:szCs w:val="20"/>
          <w:color w:val="auto"/>
        </w:rPr>
      </w:pPr>
      <w:r>
        <w:rPr>
          <w:rFonts w:ascii="Arial" w:cs="Arial" w:eastAsia="Arial" w:hAnsi="Arial"/>
          <w:sz w:val="16"/>
          <w:szCs w:val="16"/>
          <w:i w:val="1"/>
          <w:iCs w:val="1"/>
          <w:u w:val="single" w:color="auto"/>
          <w:color w:val="auto"/>
        </w:rPr>
        <w:t>Topical Phase 2 EM Trial</w:t>
      </w:r>
    </w:p>
    <w:p>
      <w:pPr>
        <w:sectPr>
          <w:pgSz w:w="11900" w:h="16838" w:orient="portrait"/>
          <w:cols w:equalWidth="0" w:num="1">
            <w:col w:w="11420"/>
          </w:cols>
          <w:pgMar w:left="240" w:top="444" w:right="239" w:bottom="1440" w:gutter="0" w:footer="0" w:header="0"/>
          <w:type w:val="continuous"/>
        </w:sectPr>
      </w:pPr>
    </w:p>
    <w:p>
      <w:pPr>
        <w:spacing w:after="0" w:line="111"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1062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spacing w:after="0" w:line="18" w:lineRule="exact"/>
        <w:rPr>
          <w:sz w:val="20"/>
          <w:szCs w:val="20"/>
          <w:color w:val="auto"/>
        </w:rPr>
      </w:pPr>
    </w:p>
    <w:p>
      <w:pPr>
        <w:ind w:left="420" w:right="200" w:hanging="417"/>
        <w:spacing w:after="0" w:line="245" w:lineRule="auto"/>
        <w:tabs>
          <w:tab w:leader="none" w:pos="351" w:val="left"/>
        </w:tabs>
        <w:numPr>
          <w:ilvl w:val="0"/>
          <w:numId w:val="65"/>
        </w:numPr>
        <w:rPr>
          <w:rFonts w:ascii="Arial" w:cs="Arial" w:eastAsia="Arial" w:hAnsi="Arial"/>
          <w:sz w:val="13"/>
          <w:szCs w:val="13"/>
          <w:color w:val="auto"/>
        </w:rPr>
      </w:pPr>
      <w:r>
        <w:rPr>
          <w:rFonts w:ascii="Arial" w:cs="Arial" w:eastAsia="Arial" w:hAnsi="Arial"/>
          <w:sz w:val="17"/>
          <w:szCs w:val="17"/>
          <w:color w:val="auto"/>
        </w:rPr>
        <w:t>Double-blind, randomized, placebo-controlled</w:t>
      </w:r>
    </w:p>
    <w:p>
      <w:pPr>
        <w:spacing w:after="0" w:line="13" w:lineRule="exact"/>
        <w:rPr>
          <w:rFonts w:ascii="Arial" w:cs="Arial" w:eastAsia="Arial" w:hAnsi="Arial"/>
          <w:sz w:val="13"/>
          <w:szCs w:val="13"/>
          <w:color w:val="auto"/>
        </w:rPr>
      </w:pPr>
    </w:p>
    <w:p>
      <w:pPr>
        <w:ind w:left="340" w:hanging="337"/>
        <w:spacing w:after="0"/>
        <w:tabs>
          <w:tab w:leader="none" w:pos="340" w:val="left"/>
        </w:tabs>
        <w:numPr>
          <w:ilvl w:val="0"/>
          <w:numId w:val="65"/>
        </w:numPr>
        <w:rPr>
          <w:rFonts w:ascii="Arial" w:cs="Arial" w:eastAsia="Arial" w:hAnsi="Arial"/>
          <w:sz w:val="12"/>
          <w:szCs w:val="12"/>
          <w:color w:val="auto"/>
        </w:rPr>
      </w:pPr>
      <w:r>
        <w:rPr>
          <w:rFonts w:ascii="Arial" w:cs="Arial" w:eastAsia="Arial" w:hAnsi="Arial"/>
          <w:sz w:val="16"/>
          <w:szCs w:val="16"/>
          <w:color w:val="auto"/>
        </w:rPr>
        <w:t>Eight primary EM patients randomized</w:t>
      </w:r>
    </w:p>
    <w:p>
      <w:pPr>
        <w:spacing w:after="0" w:line="35" w:lineRule="exact"/>
        <w:rPr>
          <w:rFonts w:ascii="Arial" w:cs="Arial" w:eastAsia="Arial" w:hAnsi="Arial"/>
          <w:sz w:val="12"/>
          <w:szCs w:val="12"/>
          <w:color w:val="auto"/>
        </w:rPr>
      </w:pPr>
    </w:p>
    <w:p>
      <w:pPr>
        <w:jc w:val="center"/>
        <w:ind w:left="420" w:right="240" w:hanging="417"/>
        <w:spacing w:after="0" w:line="275" w:lineRule="auto"/>
        <w:tabs>
          <w:tab w:leader="none" w:pos="351" w:val="left"/>
        </w:tabs>
        <w:numPr>
          <w:ilvl w:val="0"/>
          <w:numId w:val="65"/>
        </w:numPr>
        <w:rPr>
          <w:rFonts w:ascii="Arial" w:cs="Arial" w:eastAsia="Arial" w:hAnsi="Arial"/>
          <w:sz w:val="12"/>
          <w:szCs w:val="12"/>
          <w:color w:val="auto"/>
        </w:rPr>
      </w:pPr>
      <w:r>
        <w:rPr>
          <w:rFonts w:ascii="Arial" w:cs="Arial" w:eastAsia="Arial" w:hAnsi="Arial"/>
          <w:sz w:val="16"/>
          <w:szCs w:val="16"/>
          <w:color w:val="auto"/>
        </w:rPr>
        <w:t>8% ointment or placebo was dosed twice daily for two or three weeks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left="-107"/>
        <w:spacing w:after="0"/>
        <w:rPr>
          <w:sz w:val="20"/>
          <w:szCs w:val="20"/>
          <w:color w:val="auto"/>
        </w:rPr>
      </w:pPr>
      <w:r>
        <w:rPr>
          <w:rFonts w:ascii="Arial" w:cs="Arial" w:eastAsia="Arial" w:hAnsi="Arial"/>
          <w:sz w:val="13"/>
          <w:szCs w:val="13"/>
          <w:b w:val="1"/>
          <w:bCs w:val="1"/>
          <w:color w:val="auto"/>
        </w:rPr>
        <w:t>KEY 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3272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348" w:hanging="348"/>
        <w:spacing w:after="0"/>
        <w:tabs>
          <w:tab w:leader="none" w:pos="348" w:val="left"/>
        </w:tabs>
        <w:numPr>
          <w:ilvl w:val="0"/>
          <w:numId w:val="66"/>
        </w:numPr>
        <w:rPr>
          <w:rFonts w:ascii="Arial" w:cs="Arial" w:eastAsia="Arial" w:hAnsi="Arial"/>
          <w:sz w:val="13"/>
          <w:szCs w:val="13"/>
          <w:color w:val="auto"/>
        </w:rPr>
      </w:pPr>
      <w:r>
        <w:rPr>
          <w:rFonts w:ascii="Arial" w:cs="Arial" w:eastAsia="Arial" w:hAnsi="Arial"/>
          <w:sz w:val="17"/>
          <w:szCs w:val="17"/>
          <w:color w:val="auto"/>
        </w:rPr>
        <w:t>Safe and well tolerated</w:t>
      </w:r>
    </w:p>
    <w:p>
      <w:pPr>
        <w:spacing w:after="0" w:line="23" w:lineRule="exact"/>
        <w:rPr>
          <w:rFonts w:ascii="Arial" w:cs="Arial" w:eastAsia="Arial" w:hAnsi="Arial"/>
          <w:sz w:val="13"/>
          <w:szCs w:val="13"/>
          <w:color w:val="auto"/>
        </w:rPr>
      </w:pPr>
    </w:p>
    <w:p>
      <w:pPr>
        <w:ind w:left="348" w:hanging="348"/>
        <w:spacing w:after="0"/>
        <w:tabs>
          <w:tab w:leader="none" w:pos="348" w:val="left"/>
        </w:tabs>
        <w:numPr>
          <w:ilvl w:val="0"/>
          <w:numId w:val="66"/>
        </w:numPr>
        <w:rPr>
          <w:rFonts w:ascii="Arial" w:cs="Arial" w:eastAsia="Arial" w:hAnsi="Arial"/>
          <w:sz w:val="13"/>
          <w:szCs w:val="13"/>
          <w:color w:val="auto"/>
        </w:rPr>
      </w:pPr>
      <w:r>
        <w:rPr>
          <w:rFonts w:ascii="Arial" w:cs="Arial" w:eastAsia="Arial" w:hAnsi="Arial"/>
          <w:sz w:val="17"/>
          <w:szCs w:val="17"/>
          <w:color w:val="auto"/>
        </w:rPr>
        <w:t>Low plasma exposures</w:t>
      </w:r>
    </w:p>
    <w:p>
      <w:pPr>
        <w:spacing w:after="0" w:line="23" w:lineRule="exact"/>
        <w:rPr>
          <w:rFonts w:ascii="Arial" w:cs="Arial" w:eastAsia="Arial" w:hAnsi="Arial"/>
          <w:sz w:val="13"/>
          <w:szCs w:val="13"/>
          <w:color w:val="auto"/>
        </w:rPr>
      </w:pPr>
    </w:p>
    <w:p>
      <w:pPr>
        <w:ind w:left="408" w:hanging="408"/>
        <w:spacing w:after="0" w:line="245" w:lineRule="auto"/>
        <w:tabs>
          <w:tab w:leader="none" w:pos="339" w:val="left"/>
        </w:tabs>
        <w:numPr>
          <w:ilvl w:val="0"/>
          <w:numId w:val="66"/>
        </w:numPr>
        <w:rPr>
          <w:rFonts w:ascii="Arial" w:cs="Arial" w:eastAsia="Arial" w:hAnsi="Arial"/>
          <w:sz w:val="13"/>
          <w:szCs w:val="13"/>
          <w:color w:val="auto"/>
        </w:rPr>
      </w:pPr>
      <w:r>
        <w:rPr>
          <w:rFonts w:ascii="Arial" w:cs="Arial" w:eastAsia="Arial" w:hAnsi="Arial"/>
          <w:sz w:val="17"/>
          <w:szCs w:val="17"/>
          <w:color w:val="auto"/>
        </w:rPr>
        <w:t>No meaningful central nervous system side effects</w:t>
      </w:r>
    </w:p>
    <w:p>
      <w:pPr>
        <w:spacing w:after="0" w:line="13" w:lineRule="exact"/>
        <w:rPr>
          <w:rFonts w:ascii="Arial" w:cs="Arial" w:eastAsia="Arial" w:hAnsi="Arial"/>
          <w:sz w:val="13"/>
          <w:szCs w:val="13"/>
          <w:color w:val="auto"/>
        </w:rPr>
      </w:pPr>
    </w:p>
    <w:p>
      <w:pPr>
        <w:ind w:left="408" w:hanging="408"/>
        <w:spacing w:after="0" w:line="241" w:lineRule="auto"/>
        <w:tabs>
          <w:tab w:leader="none" w:pos="339" w:val="left"/>
        </w:tabs>
        <w:numPr>
          <w:ilvl w:val="0"/>
          <w:numId w:val="66"/>
        </w:numPr>
        <w:rPr>
          <w:rFonts w:ascii="Arial" w:cs="Arial" w:eastAsia="Arial" w:hAnsi="Arial"/>
          <w:sz w:val="13"/>
          <w:szCs w:val="13"/>
          <w:color w:val="auto"/>
        </w:rPr>
      </w:pPr>
      <w:r>
        <w:rPr>
          <w:rFonts w:ascii="Arial" w:cs="Arial" w:eastAsia="Arial" w:hAnsi="Arial"/>
          <w:sz w:val="17"/>
          <w:szCs w:val="17"/>
          <w:color w:val="auto"/>
        </w:rPr>
        <w:t>No drug-related SAEs, or deaths, with local application site reactions being the most common drug-related AE reported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343"/>
        <w:spacing w:after="0"/>
        <w:rPr>
          <w:sz w:val="20"/>
          <w:szCs w:val="20"/>
          <w:color w:val="auto"/>
        </w:rPr>
      </w:pPr>
      <w:r>
        <w:rPr>
          <w:rFonts w:ascii="Arial" w:cs="Arial" w:eastAsia="Arial" w:hAnsi="Arial"/>
          <w:sz w:val="13"/>
          <w:szCs w:val="13"/>
          <w:b w:val="1"/>
          <w:bCs w:val="1"/>
          <w:color w:val="auto"/>
        </w:rPr>
        <w:t>KEY EFFICACY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25323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32380" cy="8255"/>
                    </a:xfrm>
                    <a:prstGeom prst="rect">
                      <a:avLst/>
                    </a:prstGeom>
                    <a:noFill/>
                  </pic:spPr>
                </pic:pic>
              </a:graphicData>
            </a:graphic>
          </wp:anchor>
        </w:drawing>
      </w:r>
    </w:p>
    <w:p>
      <w:pPr>
        <w:spacing w:after="0" w:line="18" w:lineRule="exact"/>
        <w:rPr>
          <w:sz w:val="20"/>
          <w:szCs w:val="20"/>
          <w:color w:val="auto"/>
        </w:rPr>
      </w:pPr>
    </w:p>
    <w:p>
      <w:pPr>
        <w:ind w:left="403" w:right="120" w:hanging="403"/>
        <w:spacing w:after="0"/>
        <w:tabs>
          <w:tab w:leader="none" w:pos="331" w:val="left"/>
        </w:tabs>
        <w:numPr>
          <w:ilvl w:val="0"/>
          <w:numId w:val="67"/>
        </w:numPr>
        <w:rPr>
          <w:rFonts w:ascii="Arial" w:cs="Arial" w:eastAsia="Arial" w:hAnsi="Arial"/>
          <w:sz w:val="13"/>
          <w:szCs w:val="13"/>
          <w:color w:val="auto"/>
        </w:rPr>
      </w:pPr>
      <w:r>
        <w:rPr>
          <w:rFonts w:ascii="Arial" w:cs="Arial" w:eastAsia="Arial" w:hAnsi="Arial"/>
          <w:sz w:val="17"/>
          <w:szCs w:val="17"/>
          <w:color w:val="auto"/>
        </w:rPr>
        <w:t>Three of seven patients (43%) on TV-45070 showed consistent clinically meaningful reductions in induced and daily pain compared to baseline</w:t>
      </w:r>
    </w:p>
    <w:p>
      <w:pPr>
        <w:spacing w:after="0" w:line="18" w:lineRule="exact"/>
        <w:rPr>
          <w:rFonts w:ascii="Arial" w:cs="Arial" w:eastAsia="Arial" w:hAnsi="Arial"/>
          <w:sz w:val="13"/>
          <w:szCs w:val="13"/>
          <w:color w:val="auto"/>
        </w:rPr>
      </w:pPr>
    </w:p>
    <w:p>
      <w:pPr>
        <w:ind w:left="403" w:right="360" w:hanging="403"/>
        <w:spacing w:after="0" w:line="263" w:lineRule="auto"/>
        <w:tabs>
          <w:tab w:leader="none" w:pos="334" w:val="left"/>
        </w:tabs>
        <w:numPr>
          <w:ilvl w:val="0"/>
          <w:numId w:val="67"/>
        </w:numPr>
        <w:rPr>
          <w:rFonts w:ascii="Arial" w:cs="Arial" w:eastAsia="Arial" w:hAnsi="Arial"/>
          <w:sz w:val="12"/>
          <w:szCs w:val="12"/>
          <w:color w:val="auto"/>
        </w:rPr>
      </w:pPr>
      <w:r>
        <w:rPr>
          <w:rFonts w:ascii="Arial" w:cs="Arial" w:eastAsia="Arial" w:hAnsi="Arial"/>
          <w:sz w:val="16"/>
          <w:szCs w:val="16"/>
          <w:color w:val="auto"/>
        </w:rPr>
        <w:t>Four of six (67%) patients on TV-45070 who used rescue cooling showed a reduction in cooling usage compared to baseline</w:t>
      </w:r>
    </w:p>
    <w:p>
      <w:pPr>
        <w:spacing w:after="0" w:line="1" w:lineRule="exact"/>
        <w:rPr>
          <w:rFonts w:ascii="Arial" w:cs="Arial" w:eastAsia="Arial" w:hAnsi="Arial"/>
          <w:sz w:val="12"/>
          <w:szCs w:val="12"/>
          <w:color w:val="auto"/>
        </w:rPr>
      </w:pPr>
    </w:p>
    <w:p>
      <w:pPr>
        <w:ind w:left="403" w:right="20" w:hanging="403"/>
        <w:spacing w:after="0" w:line="241" w:lineRule="auto"/>
        <w:tabs>
          <w:tab w:leader="none" w:pos="334" w:val="left"/>
        </w:tabs>
        <w:numPr>
          <w:ilvl w:val="0"/>
          <w:numId w:val="67"/>
        </w:numPr>
        <w:rPr>
          <w:rFonts w:ascii="Arial" w:cs="Arial" w:eastAsia="Arial" w:hAnsi="Arial"/>
          <w:sz w:val="13"/>
          <w:szCs w:val="13"/>
          <w:color w:val="auto"/>
        </w:rPr>
      </w:pPr>
      <w:r>
        <w:rPr>
          <w:rFonts w:ascii="Arial" w:cs="Arial" w:eastAsia="Arial" w:hAnsi="Arial"/>
          <w:sz w:val="17"/>
          <w:szCs w:val="17"/>
          <w:color w:val="auto"/>
        </w:rPr>
        <w:t>Six of seven (86%) patients on TV-45070 had an improvement in sleep interference scores compared to baseline</w:t>
      </w:r>
    </w:p>
    <w:p>
      <w:pPr>
        <w:spacing w:after="0" w:line="38" w:lineRule="exact"/>
        <w:rPr>
          <w:sz w:val="20"/>
          <w:szCs w:val="20"/>
          <w:color w:val="auto"/>
        </w:rPr>
      </w:pPr>
    </w:p>
    <w:p>
      <w:pPr>
        <w:sectPr>
          <w:pgSz w:w="11900" w:h="16838" w:orient="portrait"/>
          <w:cols w:equalWidth="0" w:num="3">
            <w:col w:w="3200" w:space="352"/>
            <w:col w:w="3548" w:space="337"/>
            <w:col w:w="3983"/>
          </w:cols>
          <w:pgMar w:left="240" w:top="444" w:right="2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Oral TV-45070 Phase 2 Trial in EM</w:t>
      </w:r>
    </w:p>
    <w:p>
      <w:pPr>
        <w:spacing w:after="0" w:line="4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 xml:space="preserve">We conducted a small Phase 2 proof-of-concept trial with oral TV-45070 in patients with primary EM. This exploratory trial, which was published in the journal </w:t>
      </w:r>
      <w:r>
        <w:rPr>
          <w:rFonts w:ascii="Arial" w:cs="Arial" w:eastAsia="Arial" w:hAnsi="Arial"/>
          <w:sz w:val="17"/>
          <w:szCs w:val="17"/>
          <w:i w:val="1"/>
          <w:iCs w:val="1"/>
          <w:color w:val="auto"/>
        </w:rPr>
        <w:t>Pain</w:t>
      </w:r>
      <w:r>
        <w:rPr>
          <w:rFonts w:ascii="Arial" w:cs="Arial" w:eastAsia="Arial" w:hAnsi="Arial"/>
          <w:sz w:val="17"/>
          <w:szCs w:val="17"/>
          <w:color w:val="auto"/>
        </w:rPr>
        <w:t xml:space="preserve">, Goldberg, Y.P. et al </w:t>
      </w:r>
      <w:r>
        <w:rPr>
          <w:rFonts w:ascii="Arial" w:cs="Arial" w:eastAsia="Arial" w:hAnsi="Arial"/>
          <w:sz w:val="17"/>
          <w:szCs w:val="17"/>
          <w:i w:val="1"/>
          <w:iCs w:val="1"/>
          <w:color w:val="auto"/>
        </w:rPr>
        <w:t>Pain</w:t>
      </w:r>
      <w:r>
        <w:rPr>
          <w:rFonts w:ascii="Arial" w:cs="Arial" w:eastAsia="Arial" w:hAnsi="Arial"/>
          <w:sz w:val="17"/>
          <w:szCs w:val="17"/>
          <w:color w:val="auto"/>
        </w:rPr>
        <w:t xml:space="preserve"> 153 (2012) 80-85, was a randomized, double-blind, placebo-controlled, two-period crossover design with four subjects comparing oral TV-45070 to placebo each administered twice per day for a duration of two days. In one treatment period, subjects received TV-45070 (400 mg bid), and in the other treatment period, subjects received placebo. The order in which the subjects received each treatment was randomized.</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developed a novel pain induction method for assessing the response of TV-45070 using an electric heater placed at a standardized distance from the subject’s feet. Three patients with episodic EM pain were subjected to heat or exercise on up to six occasions during each treatment period to induce a controlled painful flare. One patient who was in constant, severe pain was not induced. Mean total pain intensity scores were measured for the two hours following each pain induction over the two day treatment period with either TV-45070 or placebo. The amount of pain following induction was calculated by quantifying the area under the pain intensity curve for two hours following induction, or AUC0-2hrs.</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Improvements in pain efficacy measures in all four subjects were observed, with statistically significant reductions in pain scores in the three subjects in whom pain was induced. The amount of pain in the two hours following induction was reduced by 21% (p = 0.011), 33% (p = 0.004) and 88% (p = 0.031) in these three patients, respectively. Overall, in these three subjects, pain was reduced by 42% on TV-45070, compared to placebo (p = 0.014). The subject who was in constant pain and was not induced, showed a mild reduction in pain at various time points during the TV-45070 dosing period.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444" w:right="239" w:bottom="1440" w:gutter="0" w:footer="0" w:header="0"/>
          <w:type w:val="continuous"/>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In the following figure, these data are presented as a mean AUC0-2hrs for the three subjects as a percentage of placebo who underwent pain induction either by step exercise or by heat. A 42% reduction in the amount of induced pain was observed on average with TV-45070 compared to placebo (p=0.014). These data support our belief in the ability of TV-45070 to inhibit human Nav1.7 mediated pain signaling which supports the predicted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74930</wp:posOffset>
            </wp:positionV>
            <wp:extent cx="2860040" cy="1762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60040"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Topical TV-45070 Phase 2 Trial in EM</w:t>
      </w:r>
    </w:p>
    <w:p>
      <w:pPr>
        <w:spacing w:after="0" w:line="4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conducted a small Phase 2 proof-of-concept trial with TV-45070 ointment in patients with primary EM. This exploratory trial was a randomized, double-blind, placebo-controlled design with eight subjects (seven TV-45070 and one placebo) comparing 8% TV-45070 to placebo applied two times per day to the feet for a duration of 14 or 21 days. We evaluated multiple endpoints for each subject to increase our understanding of the effect of TV-45070, including the amount of pain in response to a heat stimulus, the frequency and duration of cooling to provide relief from their painful flares, changes in daily pain scores and the degree of sleep interference. Throughout the trial, TV-45070 plasma concentrations were low and TV-45070 was well-tolerated. Consistent with these low plasma levels, there was no treatment-related dizziness and drowsiness and there were no treatment-related SAEs. Dizziness and drowsiness are common side effects for many currently prescribed centrally-acting analgesics. Local application site reactions were the most common drug-related AEs observed.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In this trial, three of the seven (43%) TV-45070-treated subjects responded positively based on the magnitude and consistency of improvement across the measured efficacy parameters. While the four remaining TV-45070-treated subjects were considered to be non-responders based on their magnitude of response or inconsistent response or both, some improvements were seen in certain efficacy parameters, in particular, sleep and rescue cooling. Similarly, the placebo-treated subject did not show a consistent pattern of response.</w:t>
      </w:r>
    </w:p>
    <w:p>
      <w:pPr>
        <w:spacing w:after="0" w:line="109"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Four of the seven (57%) subjects receiving TV-45070 treatment responded to the standard heat inductions compared to pre-treatment. Three of these seven (43%) subjects showed more than 50% improvements in their ability to tolerate and/or recover from the heat inductions. In addition, these three subjects demonstrated clinically meaningful improvements (a one-point, or 30% or greater reduction) in the level of daily pain experienced during the outpatient treatment period compared to pre-treatment. The remaining TV-45070-treated subjects and the placebo-treated subject responded inconsistently or demonstrated deteriorations in their responses compared to baseline.</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EM patients may seek relief by immersing their limbs in cold or ice water to help manage their painful flares. If a patient uses less cooling when on TV-45070, this may indicate the product is reducing the number and/or intensity of their EM flares. Four of the six (67%) TV-45070-treated subjects who used cooling at baseline showed a reduction in cooling usage while on treatment. In contrast, the placebo-treated subject cooled for substantially longer during the outpatient period compared to pre-treatment.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444"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Unlike the placebo-treated subject, subjects on TV-45070 used less rescue cooling compared to their baseline measurements. The amount of daily cooling usage, including cooling frequency and cooling duration, for subjects on TV-45070 or placebo as a percentage change from baseline is shown below. This small exploratory trial was not designed to reach statistical significance of p £ 0.05, and no such statistical significance was 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71755</wp:posOffset>
            </wp:positionV>
            <wp:extent cx="3499485" cy="2163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99485" cy="216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EM flares often wake patients several times each night and an improvement in the sleep interference scores could indicate that TV-45070 may reduce the number and/or intensity of the flares during sleep. Six of the seven (86%) subjects receiving TV-45070 treatment showed improvements in their daily sleep interference scores during treatment compared to baseline, with three subjects demonstrating at least 50% improvements. In five of the six (83%) subjects this was associated with less or no cooling usage. The placebo-treated subject also demonstrated a reduction in sleep interference; however, as with the daily pain scores, the interpretation of this response is confounded by the greater cooling usage by this subject.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These data support the development of topical TV-45070 as a treatment for the severe pain of EM.</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80"/>
          </w:cols>
          <w:pgMar w:left="240" w:top="444" w:right="2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Topical TV-45070 Trial in Postherpetic Neuralgia, or PHN</w:t>
      </w:r>
    </w:p>
    <w:p>
      <w:pPr>
        <w:spacing w:after="0" w:line="4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conducted a Phase 2 proof-of-concept trial of topical TV-45070 in 70 PHN patients. Patients enrolled into the study had refractory PHN and their average disease duration was 76.6 months. This study was a double-blind, placebo-controlled, crossover trial where topical TV-45070 was administered twice daily with each patient receiving either TV-45070 or placebo for three weeks, then after a washout period, the subjects received the alternative treatment.</w:t>
      </w:r>
    </w:p>
    <w:p>
      <w:pPr>
        <w:sectPr>
          <w:pgSz w:w="11900" w:h="16838" w:orient="portrait"/>
          <w:cols w:equalWidth="0" w:num="1">
            <w:col w:w="11420"/>
          </w:cols>
          <w:pgMar w:left="240" w:top="444" w:right="239" w:bottom="1440" w:gutter="0" w:footer="0" w:header="0"/>
        </w:sectPr>
      </w:pPr>
    </w:p>
    <w:p>
      <w:pPr>
        <w:spacing w:after="0" w:line="102" w:lineRule="exact"/>
        <w:rPr>
          <w:sz w:val="20"/>
          <w:szCs w:val="20"/>
          <w:color w:val="auto"/>
        </w:rPr>
      </w:pPr>
    </w:p>
    <w:p>
      <w:pPr>
        <w:ind w:left="1700"/>
        <w:spacing w:after="0"/>
        <w:rPr>
          <w:sz w:val="20"/>
          <w:szCs w:val="20"/>
          <w:color w:val="auto"/>
        </w:rPr>
      </w:pPr>
      <w:r>
        <w:rPr>
          <w:rFonts w:ascii="Arial" w:cs="Arial" w:eastAsia="Arial" w:hAnsi="Arial"/>
          <w:sz w:val="13"/>
          <w:szCs w:val="13"/>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4587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420" w:hanging="314"/>
        <w:spacing w:after="0" w:line="237" w:lineRule="auto"/>
        <w:tabs>
          <w:tab w:leader="none" w:pos="3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Double-blind, randomized, placebo-controlled, cross-over</w:t>
      </w:r>
    </w:p>
    <w:p>
      <w:pPr>
        <w:spacing w:after="0" w:line="1" w:lineRule="exact"/>
        <w:rPr>
          <w:rFonts w:ascii="Arial" w:cs="Arial" w:eastAsia="Arial" w:hAnsi="Arial"/>
          <w:sz w:val="17"/>
          <w:szCs w:val="17"/>
          <w:color w:val="auto"/>
        </w:rPr>
      </w:pPr>
    </w:p>
    <w:p>
      <w:pPr>
        <w:ind w:left="300" w:hanging="194"/>
        <w:spacing w:after="0" w:line="237" w:lineRule="auto"/>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70 subjects randomized</w:t>
      </w:r>
    </w:p>
    <w:p>
      <w:pPr>
        <w:ind w:left="420" w:right="220" w:hanging="314"/>
        <w:spacing w:after="0" w:line="245" w:lineRule="auto"/>
        <w:tabs>
          <w:tab w:leader="none" w:pos="3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8% ointment or placebo administered twice daily for three weeks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KEY SAFETY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23190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6" w:lineRule="exact"/>
        <w:rPr>
          <w:sz w:val="20"/>
          <w:szCs w:val="20"/>
          <w:color w:val="auto"/>
        </w:rPr>
      </w:pPr>
    </w:p>
    <w:p>
      <w:pPr>
        <w:ind w:left="200" w:hanging="200"/>
        <w:spacing w:after="0"/>
        <w:tabs>
          <w:tab w:leader="none" w:pos="2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Safe and well tolerated</w:t>
      </w:r>
    </w:p>
    <w:p>
      <w:pPr>
        <w:ind w:left="300" w:right="20" w:hanging="300"/>
        <w:spacing w:after="0" w:line="237" w:lineRule="auto"/>
        <w:tabs>
          <w:tab w:leader="none" w:pos="18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most frequent AEs (greater than 5% frequency) included local application site reactions, nasopharyngitis and urinary tract infections, or UTIs</w:t>
      </w:r>
    </w:p>
    <w:p>
      <w:pPr>
        <w:spacing w:after="0" w:line="2" w:lineRule="exact"/>
        <w:rPr>
          <w:rFonts w:ascii="Arial" w:cs="Arial" w:eastAsia="Arial" w:hAnsi="Arial"/>
          <w:sz w:val="17"/>
          <w:szCs w:val="17"/>
          <w:color w:val="auto"/>
        </w:rPr>
      </w:pPr>
    </w:p>
    <w:p>
      <w:pPr>
        <w:jc w:val="center"/>
        <w:ind w:left="300" w:right="220" w:hanging="300"/>
        <w:spacing w:after="0" w:line="252" w:lineRule="auto"/>
        <w:tabs>
          <w:tab w:leader="none" w:pos="1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Fewer related treatment emergent AEs for TV-45070 (18%) versus placebo (30%)</w:t>
      </w:r>
    </w:p>
    <w:p>
      <w:pPr>
        <w:ind w:left="200" w:hanging="200"/>
        <w:spacing w:after="0" w:line="237" w:lineRule="auto"/>
        <w:tabs>
          <w:tab w:leader="none" w:pos="2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Low plasma exposure</w:t>
      </w:r>
    </w:p>
    <w:p>
      <w:pPr>
        <w:ind w:left="300" w:right="140" w:hanging="300"/>
        <w:spacing w:after="0" w:line="237" w:lineRule="auto"/>
        <w:tabs>
          <w:tab w:leader="none" w:pos="1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 meaningful central nervous system side effects</w:t>
      </w:r>
    </w:p>
    <w:p>
      <w:pPr>
        <w:spacing w:after="0" w:line="1" w:lineRule="exact"/>
        <w:rPr>
          <w:rFonts w:ascii="Arial" w:cs="Arial" w:eastAsia="Arial" w:hAnsi="Arial"/>
          <w:sz w:val="17"/>
          <w:szCs w:val="17"/>
          <w:color w:val="auto"/>
        </w:rPr>
      </w:pPr>
    </w:p>
    <w:p>
      <w:pPr>
        <w:jc w:val="right"/>
        <w:ind w:left="300" w:hanging="300"/>
        <w:spacing w:after="0" w:line="252" w:lineRule="auto"/>
        <w:tabs>
          <w:tab w:leader="none" w:pos="1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Less application site pain for TV-45070 (16% placebo versus 3% TV-45070) and pruritus, or itch, (13% placebo versus 3% TV-45070)</w:t>
      </w:r>
    </w:p>
    <w:p>
      <w:pPr>
        <w:spacing w:after="0" w:line="1" w:lineRule="exact"/>
        <w:rPr>
          <w:rFonts w:ascii="Arial" w:cs="Arial" w:eastAsia="Arial" w:hAnsi="Arial"/>
          <w:sz w:val="16"/>
          <w:szCs w:val="16"/>
          <w:color w:val="auto"/>
        </w:rPr>
      </w:pPr>
    </w:p>
    <w:p>
      <w:pPr>
        <w:ind w:left="200" w:hanging="200"/>
        <w:spacing w:after="0"/>
        <w:tabs>
          <w:tab w:leader="none" w:pos="2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 drug-related SAEs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96"/>
        <w:spacing w:after="0"/>
        <w:rPr>
          <w:sz w:val="20"/>
          <w:szCs w:val="20"/>
          <w:color w:val="auto"/>
        </w:rPr>
      </w:pPr>
      <w:r>
        <w:rPr>
          <w:rFonts w:ascii="Arial" w:cs="Arial" w:eastAsia="Arial" w:hAnsi="Arial"/>
          <w:sz w:val="13"/>
          <w:szCs w:val="13"/>
          <w:b w:val="1"/>
          <w:bCs w:val="1"/>
          <w:color w:val="auto"/>
        </w:rPr>
        <w:t>KEY EFFICACY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23190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8" w:lineRule="exact"/>
        <w:rPr>
          <w:sz w:val="20"/>
          <w:szCs w:val="20"/>
          <w:color w:val="auto"/>
        </w:rPr>
      </w:pPr>
    </w:p>
    <w:p>
      <w:pPr>
        <w:ind w:left="304" w:right="20" w:hanging="304"/>
        <w:spacing w:after="0" w:line="237" w:lineRule="auto"/>
        <w:tabs>
          <w:tab w:leader="none" w:pos="19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There was a reduction in the primary efficacy endpoint (change from baseline in mean daily pain score) for TV-45070 and placebo, but the difference between treatments was not statistically significant</w:t>
      </w:r>
    </w:p>
    <w:p>
      <w:pPr>
        <w:spacing w:after="0" w:line="2" w:lineRule="exact"/>
        <w:rPr>
          <w:rFonts w:ascii="Arial" w:cs="Arial" w:eastAsia="Arial" w:hAnsi="Arial"/>
          <w:sz w:val="17"/>
          <w:szCs w:val="17"/>
          <w:color w:val="auto"/>
        </w:rPr>
      </w:pPr>
    </w:p>
    <w:p>
      <w:pPr>
        <w:ind w:left="304" w:right="300" w:hanging="304"/>
        <w:spacing w:after="0" w:line="237" w:lineRule="auto"/>
        <w:tabs>
          <w:tab w:leader="none" w:pos="1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Significantly increased proportion of TV-45070-treated patients reported 30% or greater (p=0.049) and 50% or greater (p=0.0078) reduction in their pain compared to placebo</w:t>
      </w:r>
    </w:p>
    <w:p>
      <w:pPr>
        <w:spacing w:after="0" w:line="2" w:lineRule="exact"/>
        <w:rPr>
          <w:rFonts w:ascii="Arial" w:cs="Arial" w:eastAsia="Arial" w:hAnsi="Arial"/>
          <w:sz w:val="17"/>
          <w:szCs w:val="17"/>
          <w:color w:val="auto"/>
        </w:rPr>
      </w:pPr>
    </w:p>
    <w:p>
      <w:pPr>
        <w:ind w:left="304" w:hanging="304"/>
        <w:spacing w:after="0" w:line="239" w:lineRule="auto"/>
        <w:tabs>
          <w:tab w:leader="none" w:pos="18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retrospective exploratory analysis not described in the study protocol showed that a significant increased proportion of TV-45070-treated patients reported 30% or greater improvement in sleep (p=0.034) compared to placebo</w:t>
      </w:r>
    </w:p>
    <w:p>
      <w:pPr>
        <w:spacing w:after="0" w:line="123" w:lineRule="exact"/>
        <w:rPr>
          <w:sz w:val="20"/>
          <w:szCs w:val="20"/>
          <w:color w:val="auto"/>
        </w:rPr>
      </w:pPr>
    </w:p>
    <w:p>
      <w:pPr>
        <w:sectPr>
          <w:pgSz w:w="11900" w:h="16838" w:orient="portrait"/>
          <w:cols w:equalWidth="0" w:num="3">
            <w:col w:w="3720" w:space="400"/>
            <w:col w:w="3540" w:space="216"/>
            <w:col w:w="3544"/>
          </w:cols>
          <w:pgMar w:left="240" w:top="444" w:right="239" w:bottom="1440" w:gutter="0" w:footer="0" w:header="0"/>
          <w:type w:val="continuous"/>
        </w:sectPr>
      </w:pPr>
    </w:p>
    <w:p>
      <w:pPr>
        <w:ind w:right="40"/>
        <w:spacing w:after="0"/>
        <w:rPr>
          <w:sz w:val="20"/>
          <w:szCs w:val="20"/>
          <w:color w:val="auto"/>
        </w:rPr>
      </w:pPr>
      <w:r>
        <w:rPr>
          <w:rFonts w:ascii="Arial" w:cs="Arial" w:eastAsia="Arial" w:hAnsi="Arial"/>
          <w:sz w:val="17"/>
          <w:szCs w:val="17"/>
          <w:color w:val="auto"/>
        </w:rPr>
        <w:t>Topical TV-45070 was well-tolerated with no drug-related SAEs. No drug-related centrally mediated side effects of dizziness and drowsiness were observed in this study. In addition, while on topical TV-45070, PHN patients reported reduced site application pain (3% TV-45070 versus 16% placebo) and less pruritus, or itch, (3% TV-45070 versus 13% placebo) compared to while on placebo treatment. Chronic itch is an important co-morbidity for many PHN patients. The most frequently reported AEs included local application site reactions, nasopharyngitis and UTIs.</w:t>
      </w:r>
    </w:p>
    <w:p>
      <w:pPr>
        <w:spacing w:after="0" w:line="10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There was a reduction in the primary efficacy endpoint (change from baseline in mean daily pain score) for TV-45070 and placebo, but the difference between treatments was not statistically significant. Multiple secondary endpoints were studied, including the proportion of subjects achieving at least 30% and 50% improvements in pain, the use of rescue analgesic medications, and the change in Daily Sleep Interference Scale score. A greater proportion of subjects on TV-45070 experienced a clinically meaningful reduction in their pain during the trial, which is a 30% or greater reduction in pain. A statistically significant larger proportion of subjects on topical TV-45070 exhibited a 30% or greater (p=0.049) and a 50% or greater (p=0.0078) reduction in pain compared to placebo. A greater proportion of subjects on topical TV-45070 exhibited a statistically significant 30% or greater (p=0.034) improvement in sleep compared to placebo. Importantly, a slight trend to reduced use of rescue pain medication in the responders on TV-45070 was observed, suggesting rescue use did not explain the improved efficacy response in these subjects. These data support the development of topical TV-45070 as a treatment for PHN.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4" w:right="239" w:bottom="1440" w:gutter="0" w:footer="0" w:header="0"/>
          <w:type w:val="continuous"/>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60"/>
        <w:spacing w:after="0" w:line="245" w:lineRule="auto"/>
        <w:rPr>
          <w:sz w:val="20"/>
          <w:szCs w:val="20"/>
          <w:color w:val="auto"/>
        </w:rPr>
      </w:pPr>
      <w:r>
        <w:rPr>
          <w:rFonts w:ascii="Arial" w:cs="Arial" w:eastAsia="Arial" w:hAnsi="Arial"/>
          <w:sz w:val="17"/>
          <w:szCs w:val="17"/>
          <w:color w:val="auto"/>
        </w:rPr>
        <w:t>TV-45070 demonstrated a statistically significant increase in the proportion of clinically meaningful responders (30% or greater and 50% or greater reduction in pain)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72390</wp:posOffset>
            </wp:positionV>
            <wp:extent cx="3163570" cy="2228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6357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There is a relatively common genetic variant of Nav1.7 called the R1150W gene variant. We estimate that this variant has a frequency of 6% to 30% in different ethnic populations. Publications have reported that subjects with this variant who suffer from various painful disorders, including OA, report a greater amount of pain compared to those subjects who do not have this variant. Peripheral nervous system cell-based assays suggest this variant increases the activity of the Nav1.7 channel and the number of resultant nerve signaling action potentials. This increased activity may explain why patients with this variant feel more pain.</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genotyped the PHN trial subjects for R1150W status to explore if the variant could predict a greater likelihood of response to TV-45070 due to its inhibition of NAV1.7. In our PHN trial there were eight carriers of this R1150W variant who were among the evaluable subjects. Of these carriers, five out of eight (63%) had a 30% or greater reduction in their pain when on topical TV-45070. Although it was not a pre-selected endpoint of the trial, a trend towards greater response to TV-45070 was observed in R1150W-carriers versus non-carriers. Due to these observations, stratification of subjects for R1150W in subsequent large Phase 2b trials is planned.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 larger proportion of Nav1.7 R1150W-carriers had a clinically meaningful 30% or greater response to TV-45070 than non-carriers.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78740</wp:posOffset>
            </wp:positionV>
            <wp:extent cx="2687955" cy="2155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7955" cy="2155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300"/>
          </w:cols>
          <w:pgMar w:left="240" w:top="444" w:right="3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Development Plans for TV-45070</w:t>
      </w:r>
    </w:p>
    <w:p>
      <w:pPr>
        <w:spacing w:after="0" w:line="4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collaborating with Teva on the development of topical TV-45070. Our agreement with Teva requires them to complete three Phase 2 or later stage clinical trials. Using a topical (ointment) formulation of TV-45070, Teva has initiated a 300-patient, randomized Phase 2b clinical trial in OA of the knee, and data are expected in the third quarter of 2015. Teva is also developing topical TV-45070 in neuropathic pain indications, and is currently planning a Phase 2b clinical trial in patients with PHN that is expected to start in the first half of 2015. In addition, we are working with Teva to evaluate the opportunity of developing TV-45070 for the orphan disease EM.</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of Topical TV-45070 for the Treatment of OA</w:t>
      </w:r>
    </w:p>
    <w:p>
      <w:pPr>
        <w:spacing w:after="0" w:line="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Based on clinical proof-of-concept data of TV-45070 in the completed clinical trial of third molar tooth extraction, an established pain model of nociceptive pain, Teva has selected to develop topical TV-45070 for the treatment of nociceptive pain in knee OA and recently commenced a randomized Phase 2b study. The rationale supporting the development of TV-45070 in OA includes:</w:t>
      </w:r>
    </w:p>
    <w:p>
      <w:pPr>
        <w:spacing w:after="0" w:line="24" w:lineRule="exact"/>
        <w:rPr>
          <w:sz w:val="20"/>
          <w:szCs w:val="20"/>
          <w:color w:val="auto"/>
        </w:rPr>
      </w:pPr>
    </w:p>
    <w:p>
      <w:pPr>
        <w:ind w:left="780" w:hanging="441"/>
        <w:spacing w:after="0"/>
        <w:tabs>
          <w:tab w:leader="none" w:pos="78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Clinical proof-of-concept was observed with TV-45070 in the third molar extraction model of nociceptive pain.</w:t>
      </w:r>
    </w:p>
    <w:p>
      <w:pPr>
        <w:spacing w:after="0" w:line="17" w:lineRule="exact"/>
        <w:rPr>
          <w:rFonts w:ascii="Arial" w:cs="Arial" w:eastAsia="Arial" w:hAnsi="Arial"/>
          <w:sz w:val="26"/>
          <w:szCs w:val="26"/>
          <w:color w:val="auto"/>
          <w:vertAlign w:val="superscript"/>
        </w:rPr>
      </w:pPr>
    </w:p>
    <w:p>
      <w:pPr>
        <w:ind w:left="780" w:right="280" w:hanging="441"/>
        <w:spacing w:after="0" w:line="191" w:lineRule="auto"/>
        <w:tabs>
          <w:tab w:leader="none" w:pos="78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In preclinical models, topical TV-45070 has exhibited an ability to penetrate the knee joint and reside locally at relatively high concentrations while maintaining low plasma concentrations.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1"/>
        </w:numPr>
        <w:rPr>
          <w:rFonts w:ascii="Arial" w:cs="Arial" w:eastAsia="Arial" w:hAnsi="Arial"/>
          <w:sz w:val="25"/>
          <w:szCs w:val="25"/>
          <w:color w:val="auto"/>
          <w:vertAlign w:val="superscript"/>
        </w:rPr>
      </w:pPr>
      <w:r>
        <w:rPr>
          <w:rFonts w:ascii="Arial" w:cs="Arial" w:eastAsia="Arial" w:hAnsi="Arial"/>
          <w:sz w:val="16"/>
          <w:szCs w:val="16"/>
          <w:color w:val="auto"/>
        </w:rPr>
        <w:t>We have identified a CIP patient with Nav1.7 deficiency and painless late stage OA of the knee.</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71"/>
        </w:numPr>
        <w:rPr>
          <w:rFonts w:ascii="Arial" w:cs="Arial" w:eastAsia="Arial" w:hAnsi="Arial"/>
          <w:sz w:val="23"/>
          <w:szCs w:val="23"/>
          <w:color w:val="auto"/>
          <w:vertAlign w:val="superscript"/>
        </w:rPr>
      </w:pPr>
      <w:r>
        <w:rPr>
          <w:rFonts w:ascii="Arial" w:cs="Arial" w:eastAsia="Arial" w:hAnsi="Arial"/>
          <w:sz w:val="15"/>
          <w:szCs w:val="15"/>
          <w:color w:val="auto"/>
        </w:rPr>
        <w:t>Published data for the R1150W variant suggests a role of Nav1.7 in OA pain.</w:t>
      </w:r>
    </w:p>
    <w:p>
      <w:pPr>
        <w:spacing w:after="0" w:line="17" w:lineRule="exact"/>
        <w:rPr>
          <w:rFonts w:ascii="Arial" w:cs="Arial" w:eastAsia="Arial" w:hAnsi="Arial"/>
          <w:sz w:val="23"/>
          <w:szCs w:val="23"/>
          <w:color w:val="auto"/>
          <w:vertAlign w:val="superscript"/>
        </w:rPr>
      </w:pPr>
    </w:p>
    <w:p>
      <w:pPr>
        <w:ind w:left="780" w:right="220" w:hanging="441"/>
        <w:spacing w:after="0" w:line="191" w:lineRule="auto"/>
        <w:tabs>
          <w:tab w:leader="none" w:pos="78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Application of TV-45070 to the human torso in Phase 1 and Phase 2 clinical trials to date showed low systemic exposure of TV-45070, which may in turn reduce systemic adverse events.</w:t>
      </w:r>
    </w:p>
    <w:p>
      <w:pPr>
        <w:spacing w:after="0" w:line="19" w:lineRule="exact"/>
        <w:rPr>
          <w:rFonts w:ascii="Arial" w:cs="Arial" w:eastAsia="Arial" w:hAnsi="Arial"/>
          <w:sz w:val="26"/>
          <w:szCs w:val="26"/>
          <w:color w:val="auto"/>
          <w:vertAlign w:val="superscript"/>
        </w:rPr>
      </w:pPr>
    </w:p>
    <w:p>
      <w:pPr>
        <w:ind w:left="780" w:right="60" w:hanging="441"/>
        <w:spacing w:after="0" w:line="191" w:lineRule="auto"/>
        <w:tabs>
          <w:tab w:leader="none" w:pos="78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Central nervous system, or CNS, side effects were not observed in the topical PHN trial due to low plasma levels, which we believe is a benefit given evidence that OA patients have shown poor compliance with products that trigger common CNS side effects.</w:t>
      </w:r>
    </w:p>
    <w:p>
      <w:pPr>
        <w:spacing w:after="0" w:line="19" w:lineRule="exact"/>
        <w:rPr>
          <w:rFonts w:ascii="Arial" w:cs="Arial" w:eastAsia="Arial" w:hAnsi="Arial"/>
          <w:sz w:val="26"/>
          <w:szCs w:val="26"/>
          <w:color w:val="auto"/>
          <w:vertAlign w:val="superscript"/>
        </w:rPr>
      </w:pPr>
    </w:p>
    <w:p>
      <w:pPr>
        <w:ind w:left="780" w:right="880" w:hanging="441"/>
        <w:spacing w:after="0" w:line="191" w:lineRule="auto"/>
        <w:tabs>
          <w:tab w:leader="none" w:pos="780" w:val="left"/>
        </w:tabs>
        <w:numPr>
          <w:ilvl w:val="0"/>
          <w:numId w:val="71"/>
        </w:numPr>
        <w:rPr>
          <w:rFonts w:ascii="Arial" w:cs="Arial" w:eastAsia="Arial" w:hAnsi="Arial"/>
          <w:sz w:val="26"/>
          <w:szCs w:val="26"/>
          <w:color w:val="auto"/>
          <w:vertAlign w:val="superscript"/>
        </w:rPr>
      </w:pPr>
      <w:r>
        <w:rPr>
          <w:rFonts w:ascii="Arial" w:cs="Arial" w:eastAsia="Arial" w:hAnsi="Arial"/>
          <w:sz w:val="17"/>
          <w:szCs w:val="17"/>
          <w:color w:val="auto"/>
        </w:rPr>
        <w:t>Injections of lidocaine, a weak blocker of sodium channels, into human knee joints provides short term relief from OA pain providing pharmacological validation that a sodium channel inhibitor can provide relief from OA pain.</w:t>
      </w:r>
    </w:p>
    <w:p>
      <w:pPr>
        <w:spacing w:after="0" w:line="110"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Teva filed an IND application with the FDA in November 2013 and, in the first quarter of 2014, commenced a well-powered Phase 2b single knee OA clinical trial. The trial is being conducted at approximately 35 U.S. sites and is a randomized, double-blind, placebo controlled study. Teva plans to enroll 300 patients who will be randomized to receive either placebo, 4% or 8% topical TV-45070. Patients will apply the treatment twice a day to the affected knee for four weeks.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primary efficacy endpoint is the change from baseline to the last five days of treatment in average evening pain intensity in the treated knee when walking on a flat surface, as measured using the Western Ontario and McMasters Universities Arthritis Index, or WOMAC, scale. Secondary endpoints include the full WOMAC pain subscale, responder rates for 30% and 50% improvement in average evening pain intensity, the percentage of patients who are responders per Outcome Measures in Rheumatoid Arthritis Clinical Trials-Osteoarthritis Research Society International, or OMERACT-OARSI, criteria at week four, other quality of life assessments and various safety and pharmacokinetic analyses.</w:t>
      </w:r>
    </w:p>
    <w:p>
      <w:pPr>
        <w:spacing w:after="0" w:line="111"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Exploratory efficacy analyses will also include stratification of the patients based on their R1150W status to evaluate the response to TV-45070 in the presence of this Nav1.7 variant.</w:t>
      </w:r>
    </w:p>
    <w:p>
      <w:pPr>
        <w:spacing w:after="0" w:line="104" w:lineRule="exact"/>
        <w:rPr>
          <w:sz w:val="20"/>
          <w:szCs w:val="20"/>
          <w:color w:val="auto"/>
        </w:rPr>
      </w:pPr>
    </w:p>
    <w:p>
      <w:pPr>
        <w:ind w:right="700"/>
        <w:spacing w:after="0" w:line="285" w:lineRule="auto"/>
        <w:rPr>
          <w:sz w:val="20"/>
          <w:szCs w:val="20"/>
          <w:color w:val="auto"/>
        </w:rPr>
      </w:pPr>
      <w:r>
        <w:rPr>
          <w:rFonts w:ascii="Arial" w:cs="Arial" w:eastAsia="Arial" w:hAnsi="Arial"/>
          <w:sz w:val="17"/>
          <w:szCs w:val="17"/>
          <w:color w:val="auto"/>
        </w:rPr>
        <w:t xml:space="preserve">We anticipate top line data from this study to be available in the third quarter of 2015 and, if positive, Teva plans to initiate a Phase 3 clinical trial. </w:t>
      </w:r>
      <w:r>
        <w:rPr>
          <w:rFonts w:ascii="Arial" w:cs="Arial" w:eastAsia="Arial" w:hAnsi="Arial"/>
          <w:sz w:val="17"/>
          <w:szCs w:val="17"/>
          <w:i w:val="1"/>
          <w:iCs w:val="1"/>
          <w:color w:val="auto"/>
        </w:rPr>
        <w:t>About Osteoarthritis Pain</w:t>
      </w:r>
    </w:p>
    <w:p>
      <w:pPr>
        <w:ind w:right="20"/>
        <w:spacing w:after="0"/>
        <w:rPr>
          <w:sz w:val="20"/>
          <w:szCs w:val="20"/>
          <w:color w:val="auto"/>
        </w:rPr>
      </w:pPr>
      <w:r>
        <w:rPr>
          <w:rFonts w:ascii="Arial" w:cs="Arial" w:eastAsia="Arial" w:hAnsi="Arial"/>
          <w:sz w:val="17"/>
          <w:szCs w:val="17"/>
          <w:color w:val="auto"/>
        </w:rPr>
        <w:t>OA is a degenerative disorder that affects joints, most often the knees, hands, hips, spine and feet. It is characterized by the gradual deterioration of the cartilage in the joint often with joint space narrowing. The major symptom of OA is progressive pain, which may lead to stiffness and loss of mobility, as well as swelling around the joints. It has been estimated that approximately 9% of the U.S. population have pain associated with OA, which translates into approximately 28 million patients.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00"/>
          </w:cols>
          <w:pgMar w:left="240" w:top="444" w:right="2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Arthritic pain, including OA, is generally thought to have an inflammatory component and is often treated with anti-inflammatory pain medicines, which work by inhibiting the effects of inflammatory molecules, such as prostaglandins. Acetaminophen and non-selective non-steroidal anti-inflammatory drugs, or NSAIDs, are generally considered the first-line therapy for OA. Non-selective NSAIDs are often replaced by selective NSAIDs that inhibit cyclooxygenase-2, or COX-2, for those individuals at risk of upper gastrointestinal, or GI, adverse reactions including bleeding, ulcers and perforation. If allowed to progress, these GI adverse events can be fatal and NSAID drugs have a FDA black-box warning for these reactions. Although the COX-2 selective inhibitors have a reduced risk of GI adverse reactions, they also have an increased risk of cardiovascular events that can be fatal. This cardiovascular risk led to some COX-2 products being withdrawn from the market and the addition of a black-box warning for such cardiovascular events. Despite limitations, these anti-inflammatory drugs are widely used in OA patients and provide relief from mild to moderate pain. Patients with severe symptomatic OA who fail to respond to these drugs often have joint replacement surgery and may require narcotics or injections of anesthetic agents into the arthritic joint while waiting for such surgery. We believe that the adverse effects associated with narcotics, especially in the elderly, and the difficulty of injections into the joint, combined with the large number of patients with moderate to severe OA, provide a significant market opportunity for a product with a novel mechanism, such as topical TV-45070. We believe that TV-45070 may avoid many of the efficacy limitations and adverse effects observed with acetaminophen, non-selective NSAIDS, COX-2 inhibitors and narcotics.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of Topical TV-45070 for the Treatment of Neuropathic Pain Indications</w:t>
      </w:r>
    </w:p>
    <w:p>
      <w:pPr>
        <w:spacing w:after="0" w:line="42"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Teva is also developing topical TV-45070 for neuropathic pain disorders, including PHN. Teva is in the process of finalizing plans for a Phase 2b study, which we expect to begin in the first half of 2015. We believe there is a rationale to support the development of TV-45070 in PHN, including:</w:t>
      </w:r>
    </w:p>
    <w:p>
      <w:pPr>
        <w:spacing w:after="0" w:line="20" w:lineRule="exact"/>
        <w:rPr>
          <w:sz w:val="20"/>
          <w:szCs w:val="20"/>
          <w:color w:val="auto"/>
        </w:rPr>
      </w:pPr>
    </w:p>
    <w:p>
      <w:pPr>
        <w:ind w:left="780" w:hanging="441"/>
        <w:spacing w:after="0"/>
        <w:tabs>
          <w:tab w:leader="none" w:pos="78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We observed efficacy findings in our PHN Phase 2 proof of concept trial.</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We observed improved responder rates for carriers of the R1150W variant in our PHN Phase 2 proof of concept trial.</w:t>
      </w:r>
    </w:p>
    <w:p>
      <w:pPr>
        <w:spacing w:after="0" w:line="17" w:lineRule="exact"/>
        <w:rPr>
          <w:rFonts w:ascii="Arial" w:cs="Arial" w:eastAsia="Arial" w:hAnsi="Arial"/>
          <w:sz w:val="23"/>
          <w:szCs w:val="23"/>
          <w:color w:val="auto"/>
          <w:vertAlign w:val="superscript"/>
        </w:rPr>
      </w:pPr>
    </w:p>
    <w:p>
      <w:pPr>
        <w:ind w:left="780" w:right="380" w:hanging="441"/>
        <w:spacing w:after="0" w:line="191" w:lineRule="auto"/>
        <w:tabs>
          <w:tab w:leader="none" w:pos="78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Topical TV-45070 has exhibited an ability to penetrate the skin of PHN patients and reside locally, in both the skin and underlying tissue, at relatively high concentrations.</w:t>
      </w:r>
    </w:p>
    <w:p>
      <w:pPr>
        <w:spacing w:after="0" w:line="19" w:lineRule="exact"/>
        <w:rPr>
          <w:rFonts w:ascii="Arial" w:cs="Arial" w:eastAsia="Arial" w:hAnsi="Arial"/>
          <w:sz w:val="26"/>
          <w:szCs w:val="26"/>
          <w:color w:val="auto"/>
          <w:vertAlign w:val="superscript"/>
        </w:rPr>
      </w:pPr>
    </w:p>
    <w:p>
      <w:pPr>
        <w:ind w:left="780" w:right="20" w:hanging="441"/>
        <w:spacing w:after="0" w:line="191" w:lineRule="auto"/>
        <w:tabs>
          <w:tab w:leader="none" w:pos="78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Application of TV-45070 to the human torso in Phase 1 and Phase 2 clinical trials to date resulted in low systemic exposure of TV-45070, which may reduce systemic adverse events.</w:t>
      </w:r>
    </w:p>
    <w:p>
      <w:pPr>
        <w:spacing w:after="0" w:line="19" w:lineRule="exact"/>
        <w:rPr>
          <w:rFonts w:ascii="Arial" w:cs="Arial" w:eastAsia="Arial" w:hAnsi="Arial"/>
          <w:sz w:val="26"/>
          <w:szCs w:val="26"/>
          <w:color w:val="auto"/>
          <w:vertAlign w:val="superscript"/>
        </w:rPr>
      </w:pPr>
    </w:p>
    <w:p>
      <w:pPr>
        <w:ind w:left="780" w:right="260" w:hanging="441"/>
        <w:spacing w:after="0" w:line="191" w:lineRule="auto"/>
        <w:tabs>
          <w:tab w:leader="none" w:pos="78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CNS side effects were not observed in the topical PHN trial due to low plasma levels, which we believe is a benefit given evidence that PHN patients have shown poor compliance with products that trigger common CNS side effects.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2"/>
        </w:numPr>
        <w:rPr>
          <w:rFonts w:ascii="Arial" w:cs="Arial" w:eastAsia="Arial" w:hAnsi="Arial"/>
          <w:sz w:val="25"/>
          <w:szCs w:val="25"/>
          <w:color w:val="auto"/>
          <w:vertAlign w:val="superscript"/>
        </w:rPr>
      </w:pPr>
      <w:r>
        <w:rPr>
          <w:rFonts w:ascii="Arial" w:cs="Arial" w:eastAsia="Arial" w:hAnsi="Arial"/>
          <w:sz w:val="16"/>
          <w:szCs w:val="16"/>
          <w:color w:val="auto"/>
        </w:rPr>
        <w:t>Topical TV-45070 in the PHN Phase 2 proof-of-concept trial reduced the incidence of itch compared to placebo.</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Lidocaine, a weak sodium channel blocker, provides relief of PHN pain and is approved and widely used for this indication.</w:t>
      </w:r>
    </w:p>
    <w:p>
      <w:pPr>
        <w:spacing w:after="0" w:line="108"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Teva has an IND with the FDA for the development of TV-45070 as a treatment of neuropathic pain. Teva is currently finalizing its plans for a Phase 2b PHN trial that is expected to commence in the first half of 2015.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Postherpetic Neuralgia</w:t>
      </w:r>
    </w:p>
    <w:p>
      <w:pPr>
        <w:spacing w:after="0" w:line="2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PHN is a painful complication of </w:t>
      </w:r>
      <w:r>
        <w:rPr>
          <w:rFonts w:ascii="Arial" w:cs="Arial" w:eastAsia="Arial" w:hAnsi="Arial"/>
          <w:sz w:val="17"/>
          <w:szCs w:val="17"/>
          <w:i w:val="1"/>
          <w:iCs w:val="1"/>
          <w:color w:val="auto"/>
        </w:rPr>
        <w:t>Herpes zoster</w:t>
      </w:r>
      <w:r>
        <w:rPr>
          <w:rFonts w:ascii="Arial" w:cs="Arial" w:eastAsia="Arial" w:hAnsi="Arial"/>
          <w:sz w:val="17"/>
          <w:szCs w:val="17"/>
          <w:color w:val="auto"/>
        </w:rPr>
        <w:t xml:space="preserve"> infection, occurring particularly in patients above the age of 50. </w:t>
      </w:r>
      <w:r>
        <w:rPr>
          <w:rFonts w:ascii="Arial" w:cs="Arial" w:eastAsia="Arial" w:hAnsi="Arial"/>
          <w:sz w:val="17"/>
          <w:szCs w:val="17"/>
          <w:i w:val="1"/>
          <w:iCs w:val="1"/>
          <w:color w:val="auto"/>
        </w:rPr>
        <w:t>Herpes zoster</w:t>
      </w:r>
      <w:r>
        <w:rPr>
          <w:rFonts w:ascii="Arial" w:cs="Arial" w:eastAsia="Arial" w:hAnsi="Arial"/>
          <w:sz w:val="17"/>
          <w:szCs w:val="17"/>
          <w:color w:val="auto"/>
        </w:rPr>
        <w:t xml:space="preserve">, otherwise known as shingles, generally manifests as a painful skin rash with blisters in a limited area on one side of the body. Pain can occur both before and during the rash, and can also persist after the infection has resolved. PHN is defined as pain that persists for 120 days or longer after the onset of rash. It is estimated that the annual incidence of </w:t>
      </w:r>
      <w:r>
        <w:rPr>
          <w:rFonts w:ascii="Arial" w:cs="Arial" w:eastAsia="Arial" w:hAnsi="Arial"/>
          <w:sz w:val="17"/>
          <w:szCs w:val="17"/>
          <w:i w:val="1"/>
          <w:iCs w:val="1"/>
          <w:color w:val="auto"/>
        </w:rPr>
        <w:t>Herpes zoster</w:t>
      </w:r>
      <w:r>
        <w:rPr>
          <w:rFonts w:ascii="Arial" w:cs="Arial" w:eastAsia="Arial" w:hAnsi="Arial"/>
          <w:sz w:val="17"/>
          <w:szCs w:val="17"/>
          <w:color w:val="auto"/>
        </w:rPr>
        <w:t xml:space="preserve"> is between 230 and 630 cases per 100,000 people, with PHN occurring in approximately 20% of cases, resulting in approximately 200,000 PHN patients in the U.S.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Like other forms of neuropathic pain, there is a need for improved treatments for PHN. The current leading drugs used to treat PHN suffer from low efficacy for many patients and common dose limiting side effects. It has been reported that 30% to 50% of PHN patients achieve a 30% to 50% improvement in their pain with these agents. Currently prescribed treatments include Pfizer’s Lyrica, and generic forms of gabapentin, both of which target the same mechanism. Common side effects for these drugs include sleepiness, dizziness, blurred vision, edema and weight gain.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00"/>
          </w:cols>
          <w:pgMar w:left="240" w:top="444"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Development of Topical TV-45070 as a treatment for Erythromelalgia</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We are collaborating with Teva on the feasibility of developing topical TV-45070 for EM. We believe there is rationale to support the development of TV-</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45070 in EM, including:</w:t>
      </w:r>
    </w:p>
    <w:p>
      <w:pPr>
        <w:spacing w:after="0" w:line="30" w:lineRule="exact"/>
        <w:rPr>
          <w:sz w:val="20"/>
          <w:szCs w:val="20"/>
          <w:color w:val="auto"/>
        </w:rPr>
      </w:pPr>
    </w:p>
    <w:p>
      <w:pPr>
        <w:ind w:left="780" w:hanging="441"/>
        <w:spacing w:after="0"/>
        <w:tabs>
          <w:tab w:leader="none" w:pos="780" w:val="left"/>
        </w:tabs>
        <w:numPr>
          <w:ilvl w:val="0"/>
          <w:numId w:val="73"/>
        </w:numPr>
        <w:rPr>
          <w:rFonts w:ascii="Arial" w:cs="Arial" w:eastAsia="Arial" w:hAnsi="Arial"/>
          <w:sz w:val="26"/>
          <w:szCs w:val="26"/>
          <w:color w:val="auto"/>
          <w:vertAlign w:val="superscript"/>
        </w:rPr>
      </w:pPr>
      <w:r>
        <w:rPr>
          <w:rFonts w:ascii="Arial" w:cs="Arial" w:eastAsia="Arial" w:hAnsi="Arial"/>
          <w:sz w:val="17"/>
          <w:szCs w:val="17"/>
          <w:color w:val="auto"/>
        </w:rPr>
        <w:t>TV-45070 has demonstrated promising clinical data in Phase 2 proof of concept trials for EM pain.</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3"/>
        </w:numPr>
        <w:rPr>
          <w:rFonts w:ascii="Arial" w:cs="Arial" w:eastAsia="Arial" w:hAnsi="Arial"/>
          <w:sz w:val="23"/>
          <w:szCs w:val="23"/>
          <w:color w:val="auto"/>
          <w:vertAlign w:val="superscript"/>
        </w:rPr>
      </w:pPr>
      <w:r>
        <w:rPr>
          <w:rFonts w:ascii="Arial" w:cs="Arial" w:eastAsia="Arial" w:hAnsi="Arial"/>
          <w:sz w:val="15"/>
          <w:szCs w:val="15"/>
          <w:color w:val="auto"/>
        </w:rPr>
        <w:t>EM pain is generally localized to the feet and hands, making application of topical TV-45070 a practical method of administration.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73"/>
        </w:numPr>
        <w:rPr>
          <w:rFonts w:ascii="Arial" w:cs="Arial" w:eastAsia="Arial" w:hAnsi="Arial"/>
          <w:sz w:val="23"/>
          <w:szCs w:val="23"/>
          <w:color w:val="auto"/>
          <w:vertAlign w:val="superscript"/>
        </w:rPr>
      </w:pPr>
      <w:r>
        <w:rPr>
          <w:rFonts w:ascii="Arial" w:cs="Arial" w:eastAsia="Arial" w:hAnsi="Arial"/>
          <w:sz w:val="15"/>
          <w:szCs w:val="15"/>
          <w:color w:val="auto"/>
        </w:rPr>
        <w:t>EM pain appears to have a peripheral component.</w:t>
      </w:r>
    </w:p>
    <w:p>
      <w:pPr>
        <w:spacing w:after="0" w:line="17" w:lineRule="exact"/>
        <w:rPr>
          <w:rFonts w:ascii="Arial" w:cs="Arial" w:eastAsia="Arial" w:hAnsi="Arial"/>
          <w:sz w:val="23"/>
          <w:szCs w:val="23"/>
          <w:color w:val="auto"/>
          <w:vertAlign w:val="superscript"/>
        </w:rPr>
      </w:pPr>
    </w:p>
    <w:p>
      <w:pPr>
        <w:ind w:left="780" w:right="80" w:hanging="441"/>
        <w:spacing w:after="0" w:line="191" w:lineRule="auto"/>
        <w:tabs>
          <w:tab w:leader="none" w:pos="780" w:val="left"/>
        </w:tabs>
        <w:numPr>
          <w:ilvl w:val="0"/>
          <w:numId w:val="73"/>
        </w:numPr>
        <w:rPr>
          <w:rFonts w:ascii="Arial" w:cs="Arial" w:eastAsia="Arial" w:hAnsi="Arial"/>
          <w:sz w:val="26"/>
          <w:szCs w:val="26"/>
          <w:color w:val="auto"/>
          <w:vertAlign w:val="superscript"/>
        </w:rPr>
      </w:pPr>
      <w:r>
        <w:rPr>
          <w:rFonts w:ascii="Arial" w:cs="Arial" w:eastAsia="Arial" w:hAnsi="Arial"/>
          <w:sz w:val="17"/>
          <w:szCs w:val="17"/>
          <w:color w:val="auto"/>
        </w:rPr>
        <w:t>Nav1.7, which is the target for TV-45070, is expressed in peripheral nerve endings in the skin and there is genetic data showing overactivity of this target in patients with EM.</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 large clinical trial has been performed for the rare orphan disorder of EM and there are no treatments specifically approved for this disorder. Based on our proof-of-concept data in EM for TV-45070 and given the high unmet need in this patient population, we and Teva held an end of Phase 2 meeting with the FDA and a meeting with the EMA in September 2013 and February 2014, respectively, to discuss the clinical development program. We are currently working with Teva to evaluate the opportunity to develop TV-45070 in EM, which may include us being responsible for future EM clinical development.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Erythromelalgia</w:t>
      </w: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EM is a disorder of severe neuropathic pain where, in certain families, mutations causing increased activity of the Nav1.7 sodium channel have been identified. The disorder is characterized by recurrent flares of intense burning pain with redness of the skin in the feet, hands or both. Although there is a range in age of onset and age of diagnosis, the typical diagnosis for EM is between 50 and 60 years. These painful flares are triggered by a variety of factors including heat exposure, exercise and humidity. Most EM patients experience several painful flares a day and for some, these flares may progress into a state of chronic severe burning pain. Many EM patients seek relief by modulating their environment because they do not respond well to existing pharmacotherapies. For example, patients may seek relief by immersing their limbs in cold or ice water, sometimes for many hours a day. Because of complications related to this method of cooling, some EM patients require amputation of their feet. While the condition is variable in nature, normal daily functioning such as walking, standing, working, socializing, exercising and sleeping is generally significantly impaired. For example, in a study of 32 pediatric EM patients published by the Mayo Clinic, 13% of these EM patients were wheelchair bound due to the severity of their EM symptoms.</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annual incidence of EM cases has been reported in studies and ranges from 0.36 cases per 100,000 people in Sweden to 1.3 cases per 100,000 people in the U.S. An additional study estimated EM prevalence in Dunedin, New Zealand to be 15 of every 100,000 individuals. With assumed average disease duration of 20 years, these incidence and prevalence data, when extrapolated, would predict approximately 50,000 patients in the U.S. with EM. Of these, we estimate approximately 43,000 may have primary EM, with the remainder having EM that is secondary to another disorder. These estimates of prevalence comprise patients of all ages (from infants to the elderly) and at all stages of disease severity. Furthermore, the prevalence of EM in the U.S. has not to our knowledge been directly determined. In addition, a number of EM patients might not currently be diagnosed or be followed by a specialist physician. Given the above, this prevalence estimate may not represent the number of patients that might be eligible for our clinical trials or that might represent the eligible treatment population for a commercial product.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GDC-0276 and Other Selective Inhibitors of Nav1.7 for the Treatment of Pain</w:t>
      </w:r>
    </w:p>
    <w:p>
      <w:pPr>
        <w:spacing w:after="0" w:line="4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In December 2011, we entered into a collaborative research and license agreement with Genentech and its affiliate, Roche, to discover and develop selective oral inhibitors of Nav1.7 for the treatment of pain. Based on our discovery of Nav1.7 deficiency underlying CIP, we believe that Nav1.7 is a highly-validated target for the treatment of pain. Our Genentech collaboration is focused on discovering and developing selective oral Nav1.7 inhibitors, which is in contrast to our Teva partnership that is focused on developing a topical drug that targets a number of different sodium channels, including Nav1.7.</w:t>
      </w:r>
    </w:p>
    <w:p>
      <w:pPr>
        <w:spacing w:after="0" w:line="111" w:lineRule="exact"/>
        <w:rPr>
          <w:sz w:val="20"/>
          <w:szCs w:val="20"/>
          <w:color w:val="auto"/>
        </w:rPr>
      </w:pPr>
    </w:p>
    <w:p>
      <w:pPr>
        <w:ind w:right="440"/>
        <w:spacing w:after="0" w:line="245" w:lineRule="auto"/>
        <w:rPr>
          <w:sz w:val="20"/>
          <w:szCs w:val="20"/>
          <w:color w:val="auto"/>
        </w:rPr>
      </w:pPr>
      <w:r>
        <w:rPr>
          <w:rFonts w:ascii="Arial" w:cs="Arial" w:eastAsia="Arial" w:hAnsi="Arial"/>
          <w:sz w:val="17"/>
          <w:szCs w:val="17"/>
          <w:color w:val="auto"/>
        </w:rPr>
        <w:t>The first small-molecule, preclinical product candidate that was selected for development under our collaboration is GDC-0276. In September 2014, Genentech initiated a Phase 1 clinical trial for GDC-0276.</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80"/>
          </w:cols>
          <w:pgMar w:left="240" w:top="444" w:right="2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 xml:space="preserve">To study the effects of targeting Nav1.7 for the treatment of pain, we developed an animal model of inherited EM, or IEM, by expressing human Nav1.7 carrying a known IEM mutation in mice. These mice demonstrate a greater sensitivity to pain. As shown in the figure below, with a single dose of GDC-0276, these mice have fewer pain events demonstrating the ability of GDC-0276 to inhibit Nav1.7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74930</wp:posOffset>
            </wp:positionV>
            <wp:extent cx="2958465" cy="22371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95846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agreement, Genentech paid us an upfront fee of $10.0 million, a $5.0 million milestone payment for the selection of GDC-0276 for</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an $8.0 million milestone payment upon the approval by Health Canada of the CTA for GDC-0276. We are also eligible to receive pre-</w:t>
      </w:r>
    </w:p>
    <w:p>
      <w:pPr>
        <w:spacing w:after="0" w:line="237" w:lineRule="auto"/>
        <w:rPr>
          <w:sz w:val="20"/>
          <w:szCs w:val="20"/>
          <w:color w:val="auto"/>
        </w:rPr>
      </w:pPr>
      <w:r>
        <w:rPr>
          <w:rFonts w:ascii="Arial" w:cs="Arial" w:eastAsia="Arial" w:hAnsi="Arial"/>
          <w:sz w:val="17"/>
          <w:szCs w:val="17"/>
          <w:color w:val="auto"/>
        </w:rPr>
        <w:t>commercial and commercial milestone payments with respect to the licensed products totaling up to an additional $613.0 million, comprised of up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$45.5 million in preclinical and clinical milestone payments, up to $387.5 million in regulatory milestone payments, and up to $180.0 million in sales-based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for multiple products and indications. In addition, we are eligible to receive royalties based on net sales of the licensed products,</w:t>
      </w:r>
    </w:p>
    <w:p>
      <w:pPr>
        <w:spacing w:after="0" w:line="237" w:lineRule="auto"/>
        <w:rPr>
          <w:sz w:val="20"/>
          <w:szCs w:val="20"/>
          <w:color w:val="auto"/>
        </w:rPr>
      </w:pPr>
      <w:r>
        <w:rPr>
          <w:rFonts w:ascii="Arial" w:cs="Arial" w:eastAsia="Arial" w:hAnsi="Arial"/>
          <w:sz w:val="17"/>
          <w:szCs w:val="17"/>
          <w:color w:val="auto"/>
        </w:rPr>
        <w:t>which range from a mid single-digit percentage to ten percent for small-molecule inhibitors for the timeframe that such products are covered by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licensed patents and a low single-digit percentage thereafter, plus a low single-digit percentage for large-molecule inhibitors of Nav1.7.</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 limiting side effects for many patients. An orally administered selective Nav1.7 inhibitor could present a novel mechanism for the treatment of moderate to severe pain as a single agent or in combination with existing analgesics that work through different mechanisms. This mechanism contrasts with our non-selective sodium channel inhibition approach taken with TV-45070. We believe that the selective inhibition of Nav1.7 may lower the potential for dose-limiting central nervous system side-effects and allow for an improved side-effect profile for oral administration of such an inhibitor, which could potentially allow for the treatment of pain that has a central or deep tissue component, including cancer pain and neuropathic pain.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Candidates in Discovery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Selective Small-Molecule Sodium Channel Inhibitors for the Treatment of Dravet Syndrome</w:t>
      </w:r>
    </w:p>
    <w:p>
      <w:pPr>
        <w:spacing w:after="0" w:line="4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are developing selective inhibitors of the voltage-gated sodium channel Nav1.6 as a treatment for the orphan disease DS. We have developed considerable expertise in voltage-gated sodium channel biology and have accumulated significant experience in the development of selective sodium channel inhibitors. We are leveraging this expertise and chemistry know-how for the development of selective inhibitors of Nav1.6. for the treatment of DS.</w:t>
      </w:r>
    </w:p>
    <w:p>
      <w:pPr>
        <w:spacing w:after="0" w:line="9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DS is a severe form of childhood epilepsy that typically causes mental retardation and, in approximately 10% of cases, premature death before the age of 12 years. The frequency of DS in the U.S. has been estimated to be one in 20,000 to 40,000 births, which, when applied to U.S. federal census data, correlates to approximately 7,500 to 15,000 patients with DS in the 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4"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With our collaborators from McGill University, we identified the genetic link between rare human epilepsy and mutations in the Nav1.1 gene. It is now estimated that approximately 80% of DS cases are believed to be due to mutations in one copy of the Nav1.1 voltage-gated sodium channel that cause a partial loss of Nav1.1 function. Nav1.1 plays a critical role in the normal functioning of inhibitory pathways in the brain. The lack of fully functioning Nav1.1 and inhibitory pathways allows the brain excitatory pathways to be unopposed resulting in the severe seizures of DS. The brain excitatory pathways are preferentially mediated by the voltage-gated sodium channel Nav1.6 and therefore if we are able to selectively inhibit Nav1.6 with a small-molecule compound, we expect to taper this neuronal excitation and thereby treat DS. To further support inhibiting Nav1.6 as a potential therapeutic approach to treat DS, published data has shown that seizures and premature death observed in a DS mouse model can be corrected when these animals are bred with a Nav1.6 knockout mouse.</w:t>
      </w:r>
    </w:p>
    <w:p>
      <w:pPr>
        <w:spacing w:after="0" w:line="114"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DS is one of the most resistant epilepsies to treatment. Some benefit has been reported for drugs that increase the activity of the inhibitory brain pathways such as benzodiazepines and Stiripentol, while non-selective sodium channel blockers such as lamotrigine are contraindicated as they may worsen seizures due to further inhibition of Nav1.1. Other intractable childhood seizures that have been associated with genetically-linked partial loss of function of Nav1.1 or gain of function of Nav 1.6 may benefit from a selective inhibitor of Nav1.6 include intractable childhood epilepsy with generalized tonic-clonic seizures and sporadic infantile epileptic encephalopathy.</w:t>
      </w:r>
    </w:p>
    <w:p>
      <w:pPr>
        <w:spacing w:after="0" w:line="1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Based on our experience and know-how in developing selective ion channel inhibitors, we have identified potent, selective Nav1.6 inhibitors. We expect to have preclinical proof-of-concept data in the second half of 2014 in animal models of DS. We anticipate filing an IND for a drug candidate to treat DS in 2016. Given the orphan nature of this disorder, we believe that DS may represent an attractive opportunity for us to advance independently.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XEN801 for the Treatment of Acne</w:t>
      </w:r>
    </w:p>
    <w:p>
      <w:pPr>
        <w:spacing w:after="0" w:line="4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XEN801 is a selective, small molecule inhibitor of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disorders of enlarged or overactive sebaceous glands, including acne. Published literature studying animals deficient in skin SCD1 have shown that these animals have lower levels of certain lipids produced by sebaceous glands, increased levels of retinoic acid, and increased levels of retinoic acid induced proteins including greatly elevated expression of Lipocalin-2, or LCN2, a gene which transcribes neutrophil gelatinase-associated lipocalin, or NGAL. NGAL has been shown to mediate sebaceous gland cell death and may also have antibacterial properties. LCN2 is also highly upregulated and NGAL levels increased in a human sebaceous gland cell line treated with a SCD1 inhibitor. Published reports on isotretinoin, an approved acne treatment, also support the theory that isotretinoin’s therapeutic effects are achieved in part through increasing levels of NGAL.</w:t>
      </w:r>
    </w:p>
    <w:p>
      <w:pPr>
        <w:spacing w:after="0" w:line="11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discovered and developed novel small-molecule SCD1 inhibitors to which we have sole rights. In multiple animal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4"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In preclinical mouse models, XEN801 applied topically showed reduction in the size of sebaceous glands in the underlying skin in a time and dose 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72390</wp:posOffset>
            </wp:positionV>
            <wp:extent cx="3195955" cy="2228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959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these preclinical mouse efficacy studies, at the vehicle treated sites, numerous normally sized lipid loaded sebaceous glands are visible whereas only very small sebaceous glands with hardly any visible lipids are present at the XEN801 treated sites. These reductions are visible after two days of twice-daily treatment and reached statistical significance after seven days (data presented in the above figure), reverting to normal levels once the treatment is stopped. Skin areas distant from the XEN801 treated sites exhibit no changes in sebaceous glands which is consistent with the observed low plasma concentrations of XEN801 and the high local concentrations found in the skin at the treated sites.</w:t>
      </w:r>
    </w:p>
    <w:p>
      <w:pPr>
        <w:spacing w:after="0" w:line="111"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We believe these properties support the local treatment of acne and other dermatological disorders with topical XEN801 by decreasing the size of the sebaceous glands, while leaving the skin in other areas unaffected and not exposed unnecessarily to high drug concentrations.</w:t>
      </w:r>
    </w:p>
    <w:p>
      <w:pPr>
        <w:spacing w:after="0" w:line="14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anticipate selecting a development candidate for IND-enabling studies in the second half of 2014, filing an IND to initiate a Phase 1 trial in the first half of 2015 and initiating a proof-of-concept Phase 2 trial in the second half of 2015. We believe a selective, small-molecule inhibitor of SCD1 has therapeutic potential for skin disorders such as moderate to severe acne seborrhoea and sebaceous hyperplasia.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About Acne</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 xml:space="preserve">Acne is a multifactorial disease of the pilosebaceous unit, which are skin structures consisting of a hair follicle and its associated sebaceous gland. Increased levels of androgens, such as testosterone, which occurs during puberty cause an enlargement of the sebaceous gland that increases the amount of sebum, a naturally occurring oil, production. Acne develops as a result of blockages in the hair follicles due to the sebaceous glands becoming clogged with excess sebum and dead skin cells. Under these conditions, the bacteria </w:t>
      </w:r>
      <w:r>
        <w:rPr>
          <w:rFonts w:ascii="Arial" w:cs="Arial" w:eastAsia="Arial" w:hAnsi="Arial"/>
          <w:sz w:val="17"/>
          <w:szCs w:val="17"/>
          <w:i w:val="1"/>
          <w:iCs w:val="1"/>
          <w:color w:val="auto"/>
        </w:rPr>
        <w:t>proprionibacterium acnes</w:t>
      </w:r>
      <w:r>
        <w:rPr>
          <w:rFonts w:ascii="Arial" w:cs="Arial" w:eastAsia="Arial" w:hAnsi="Arial"/>
          <w:sz w:val="17"/>
          <w:szCs w:val="17"/>
          <w:color w:val="auto"/>
        </w:rPr>
        <w:t xml:space="preserve"> can multiply and cause the noticeable inflammatory lesions. We believe that topically applied SCD1 inhibitors will treat acne at its root cause by reducing the underlying sebaceous gland enlargement and reducing sebum production.</w:t>
      </w:r>
    </w:p>
    <w:p>
      <w:pPr>
        <w:spacing w:after="0" w:line="14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With its association with the onset of puberty, acne prevalence peaks in late adolescence and is estimated to affect 40 to 50 million people in the U.S, of which there are approximately 11 million and 1.2 million individuals with moderate and severe acne, respectively.</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Milder forms of acne are normally treated with over the counter products such as those containing benzoyl peroxide whereas moderate and severe forms of acne are often treated with the prescription drug isotretinoin. Isotretinoin is effective with the majority of patients reporting an improvement and approximately 50% of patients reporting remission of their acne. Scientific studies have shown that isotretinoin can cause apoptosis, a form of cell death, in sebaceous glands thereby reducing sebum production.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00"/>
          </w:cols>
          <w:pgMar w:left="240" w:top="444"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Isotretinoin treatment has been associated with relatively common side effects including thin and dry skin, hair loss, severe acne flares, blood lipid and liver enzyme elevations. However, the most significant adverse event of isotretinoin is birth defects if taken by women during pregnancy or even a short time before conception due to its teratogenic potential. In 2005, the FDA approved a risk management plan for isotretinoin called iPLEDGE. Under this program, general practitioners are prohibited to prescribe isotretinoin and patients are referred to dermatologists registered and activated in the iPLEDGE program. In addition, patients are also required to register and qualify for the iPLEDGE program. Isotretinoin can only be dispensed for a 30-day supply (no refills) by a registered pharmacy.</w:t>
      </w:r>
    </w:p>
    <w:p>
      <w:pPr>
        <w:spacing w:after="0" w:line="110"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We believe that a safer alternative drug (without an onerous risk mitigation plan) that potently reduces sebum production may be a significant treatment option for moderate to severe acne.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Selective Small-Molecule Inhibitors of Targets for the Treatment of Cardiovascular Disease</w:t>
      </w:r>
    </w:p>
    <w:p>
      <w:pPr>
        <w:spacing w:after="0" w:line="4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We entered into a collaborative research and option agreement with Merck in June 2009 to discover novel targets and compounds for the treatment of cardiovascular disease using our Extreme Genetics discovery platform. In 2012, Merck exercised its option to obtain an exclusive license to a target for cardiovascular disease and compound inhibitors that were discovered during the research collaboration. The target, when inhibited, is predicted to provide a beneficial lipid profile with the goal of protecting from cardiovascular disease.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Pipeline Opportunities</w:t>
      </w:r>
    </w:p>
    <w:p>
      <w:pPr>
        <w:spacing w:after="0" w:line="42"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Given the commercial opportunity and the pharmaceutical industry’s interest in the pain market, we are using our Extreme Genetics discovery platform and specialized insights into the biology of pain to identify new drug targets for this common medical problem. We formed a second collaboration with Genentech in March 2014 for pain genetics, where we intend to focus on rare phenotypes where individuals have an inability to perceive pain or where individuals have non-precipitated spontaneous severe pain. We believe these phenotypes may unlock new key molecular regulators of pain signaling in humans, which we will seek to validate as targets for new pain drugs. For example, we are analyzing CIP families that are not explained by Nav1.7 deficiency as well as families with severe pain phenotypes such as PEPD, inherited EM and cluster headache.</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to our study of rare human disorders of extreme pain or the absence of pain, we are also studying other rare disorders with extreme phenotypes that we believe could yield new drug targets in disorders where high medical need exists, such as neurological disorders like essential tremor. Given our expertise in ion channel drug discovery, we are also focusing our discovery efforts on the identification of ion channel targets where we believe novel selective inhibitors might represent significant therapeutic advances with a focus on orphan indications.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Alliances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with uniQure for Glybera</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Effective August 2000, we entered into a sublicense and research agreement with uniQure (formerly Amsterdam Molecular Therapeutics); pursuant to which we granted to uniQure an exclusive, worldwide sublicense under certain intellectual property controlled by us to develop and commercialize technology and compounds related to the variant of LPL, called LPL</w:t>
      </w:r>
      <w:r>
        <w:rPr>
          <w:rFonts w:ascii="Arial" w:cs="Arial" w:eastAsia="Arial" w:hAnsi="Arial"/>
          <w:sz w:val="10"/>
          <w:szCs w:val="10"/>
          <w:color w:val="auto"/>
        </w:rPr>
        <w:t>S447X</w:t>
      </w:r>
      <w:r>
        <w:rPr>
          <w:rFonts w:ascii="Arial" w:cs="Arial" w:eastAsia="Arial" w:hAnsi="Arial"/>
          <w:sz w:val="17"/>
          <w:szCs w:val="17"/>
          <w:color w:val="auto"/>
        </w:rPr>
        <w:t>. Together with collaborators from UBC, we demonstrated that the LPL</w:t>
      </w:r>
      <w:r>
        <w:rPr>
          <w:rFonts w:ascii="Arial" w:cs="Arial" w:eastAsia="Arial" w:hAnsi="Arial"/>
          <w:sz w:val="10"/>
          <w:szCs w:val="10"/>
          <w:color w:val="auto"/>
        </w:rPr>
        <w:t>S447X</w:t>
      </w:r>
      <w:r>
        <w:rPr>
          <w:rFonts w:ascii="Arial" w:cs="Arial" w:eastAsia="Arial" w:hAnsi="Arial"/>
          <w:sz w:val="17"/>
          <w:szCs w:val="17"/>
          <w:color w:val="auto"/>
        </w:rPr>
        <w:t xml:space="preserve"> variant resulted in increased LPL enzyme activity leading to reduced triglyceride levels in humans. Under our sublicense and research agreement with uniQure, we collaborated with uniQure and UBC on preclinical activities, and thereafter uniQure developed an LPL gene therapy product, Glybera, which contains the LPL</w:t>
      </w:r>
      <w:r>
        <w:rPr>
          <w:rFonts w:ascii="Arial" w:cs="Arial" w:eastAsia="Arial" w:hAnsi="Arial"/>
          <w:sz w:val="10"/>
          <w:szCs w:val="10"/>
          <w:color w:val="auto"/>
        </w:rPr>
        <w:t>S447X</w:t>
      </w:r>
      <w:r>
        <w:rPr>
          <w:rFonts w:ascii="Arial" w:cs="Arial" w:eastAsia="Arial" w:hAnsi="Arial"/>
          <w:sz w:val="17"/>
          <w:szCs w:val="17"/>
          <w:color w:val="auto"/>
        </w:rPr>
        <w:t xml:space="preserve"> variant. Glybera was approved in the EU in October 2012 to treat LPLD in patients with severe or multiple pancreatic attacks despite dietary fat restrictions. uniQure conducted the clinical trials and is responsible for the commercialization of Glybera.</w:t>
      </w:r>
    </w:p>
    <w:p>
      <w:pPr>
        <w:spacing w:after="0" w:line="1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Under the terms of the agreement, we are eligible to receive mid single-digit royalties on net sales of the licensed products, for sales made by uniQure and its affiliates. The royalty rates for sales made by uniQure and its affiliates are reduced to a low single-digit in countries where the licensed technology and products are not covered by a valid patent claim. Such royalties are payable until the expiration of the last licensed patent from UBC. In July 2013, uniQure announced that it had entered into a partnership with Chiesi for the commercialization of Glybera in the EU and more than a dozen other countries including Brazil, China, Mexico and Russia. We believe that Chiesi plans to launch Glybera in the fourth quarter of 2014 or the first quarter of 2015 in the EU and that uniQure is pursuing a U.S. product approval strategy with plans to file a BLA with the FDA following receipt of the results from a planned Phase 4 trial expected to begin in mid-2015. With respect to uniQure’s sublicense to Chiesi for the commercialization of Glybera in the EU and more than a dozen other countries including Brazil, China, Mexico and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4"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Russia, we are eligible to receive a percentage in the low twenties of all non-royalty compensation relating to the licensed technology or products that uniQure receives from Chiesi (including,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licensed technology or products during the period expiring ten years after the date of the first sale by or on behalf of Chiesi. If uniQure grants a sublicense to a third party other than to Chiesi, then we are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w:t>
      </w:r>
    </w:p>
    <w:p>
      <w:pPr>
        <w:spacing w:after="0" w:line="11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We are eligible to receive certain additional milestone payments of less than CAD$1.0 million for Glybera and for each subsequent product, if any, developed pursuant to the agreement with uniQure. We, in turn, have certain payment obligations to our licensor, UBC, based on amounts received from uniQure or otherwise based on the exploitation of the licensed intellectual property.</w:t>
      </w:r>
    </w:p>
    <w:p>
      <w:pPr>
        <w:spacing w:after="0" w:line="108"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Our sublicense agreement with uniQure expires on the date of the expiration of the UBC license agreement. Either party may terminate the agreement in the event of the other party’s default under the agreement that remains uncured for 20 days after receipt of notice from the non-breaching party.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with UBC</w:t>
      </w:r>
    </w:p>
    <w:p>
      <w:pPr>
        <w:spacing w:after="0" w:line="44" w:lineRule="exact"/>
        <w:rPr>
          <w:sz w:val="20"/>
          <w:szCs w:val="20"/>
          <w:color w:val="auto"/>
        </w:rPr>
      </w:pPr>
    </w:p>
    <w:p>
      <w:pPr>
        <w:jc w:val="both"/>
        <w:ind w:right="60"/>
        <w:spacing w:after="0" w:line="241" w:lineRule="auto"/>
        <w:rPr>
          <w:sz w:val="20"/>
          <w:szCs w:val="20"/>
          <w:color w:val="auto"/>
        </w:rPr>
      </w:pPr>
      <w:r>
        <w:rPr>
          <w:rFonts w:ascii="Arial" w:cs="Arial" w:eastAsia="Arial" w:hAnsi="Arial"/>
          <w:sz w:val="17"/>
          <w:szCs w:val="17"/>
          <w:color w:val="auto"/>
        </w:rPr>
        <w:t>Effective August 2000, we entered into a license agreement with UBC pursuant to which UBC granted to us an exclusive, worldwide license under UBC’s interest in certain intellectual property controlled by UBC to develop and commercialize technology and compounds in the field of gene therapy, including products that related to the variant of LPL, called LPL</w:t>
      </w:r>
      <w:r>
        <w:rPr>
          <w:rFonts w:ascii="Arial" w:cs="Arial" w:eastAsia="Arial" w:hAnsi="Arial"/>
          <w:sz w:val="10"/>
          <w:szCs w:val="10"/>
          <w:color w:val="auto"/>
        </w:rPr>
        <w:t>S447X</w:t>
      </w:r>
      <w:r>
        <w:rPr>
          <w:rFonts w:ascii="Arial" w:cs="Arial" w:eastAsia="Arial" w:hAnsi="Arial"/>
          <w:sz w:val="17"/>
          <w:szCs w:val="17"/>
          <w:color w:val="auto"/>
        </w:rPr>
        <w:t>.</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Under the terms of the agreement, UBC is eligible to receive certain pre-commercial milestone payments. UBC is also eligible to receive a mid single-digit percentage of certain compensation that we receive based on sublicenses granted by us to a third party relating to the licensed technology or products, including in connection with our sublicensing agreement with uniQure for LPL</w:t>
      </w:r>
      <w:r>
        <w:rPr>
          <w:rFonts w:ascii="Arial" w:cs="Arial" w:eastAsia="Arial" w:hAnsi="Arial"/>
          <w:sz w:val="10"/>
          <w:szCs w:val="10"/>
          <w:color w:val="auto"/>
        </w:rPr>
        <w:t>S447X</w:t>
      </w:r>
      <w:r>
        <w:rPr>
          <w:rFonts w:ascii="Arial" w:cs="Arial" w:eastAsia="Arial" w:hAnsi="Arial"/>
          <w:sz w:val="17"/>
          <w:szCs w:val="17"/>
          <w:color w:val="auto"/>
        </w:rPr>
        <w:t>.</w:t>
      </w:r>
    </w:p>
    <w:p>
      <w:pPr>
        <w:spacing w:after="0" w:line="108"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Through June 30, 2014, we have paid to UBC upfront fees and milestone payments totaling CAD$230,000 and are obligated to pay a certain additional milestone payment of approximately CAD$200,000 for Glybera and further milestone payments of CAD$322,500 for each subsequent product, if any, developed pursuant to our sublicensing agreement with uniQure.</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Our license agreement with UBC expires on the date of the expiration of the last patent granted under such license. In the event that our sublicense with uniQure is terminated, we may terminate the agreement with 30 days advance notice to UBC. Either party may terminate the agreement in the event of the other party’s default under the agreement that remains uncured for 30 days after receipt of notice from the non-breaching party, and UBC may terminate without such cure period in the event of certain types of breach by us.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with Teva for TV-45070</w:t>
      </w:r>
    </w:p>
    <w:p>
      <w:pPr>
        <w:spacing w:after="0" w:line="44"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In December 2012, we entered into a collaborative development and license agreement with Teva, through its subsidiary, Ivax, pursuant to which we granted Teva an exclusive worldwide license to develop and commercialize certain products, including TV-45070.</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Under the terms of the agreement, Teva paid us an upfront fee of $41.0 million. We are collaborating with Teva to further develop TV-45070, and Teva is funding all development costs with respect to the licensed products. Teva is providing funding to us for certain of our full-time equivalents, or FTEs, performing the research collaboration plan.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ending upon the latest of (a) expiration of the last valid claim of a licensed patent covering the product, (b) the date on which such product loses market exclusivity and (c) the 10th anniversary of first commercial sale, in each case on a country-by-country basis.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380"/>
          </w:cols>
          <w:pgMar w:left="240" w:top="444"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an option to a 20% to 30% co-promotion interest for products incorporating TV-45070 in the U.S. Our exercise of this option is subject to meeting objective financial conditions, staffing requirements and compliance standards to be determined in Teva’s reasonable discretion in accordance with standard industry practice. Our co-promotion option is exercisable upon the filing of the first new drug application, or NDA, for a TV-45070 product with the FDA and we will be obligated to pay an opt-in fee to Teva, which is calculated by multiplying our co-promotion interest (as a percentage) by the amount of certain milestones paid or payable by Teva, to which is added certain past and future development costs incurred by Teva with respect to the product for the U.S. Our co-promotion interest is in the 20% to 30% range, and equals our percentage share of detailing activities and co-promotion expenses. Such opt-in fee is payable as a reduction to the milestone payments or our share of operating profits that Teva would otherwise owe to us or a combination of the two. If we exercise this option, upon paying an opt-in fee to Teva, we will be eligible to receive, in lieu of royalties with respect to such product sales in the U.S., a percentage share (equal to our co-promotion interest) of operating profits from such product sales in the U.S.</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agreement with Teva expires on the date of the expiration of all payment obligations to us under the agreement. Teva may terminate the agreement with 60 days advanced written notice to us after at least three Phase 2 (or later stage) clinical trials have been completed or in the event that safety or efficacy issues arise in the development of the licensed products. Either party may terminate the agreement in the event of the other party’s material breach which remains uncured for 90 business days. In certain termination circumstances, we would receive licenses to Teva intellectual property relating to TV-45070 clinical development and regulatory filings. If patents within such Teva intellectual property cover the TV-45070 product, then Teva is eligible to receive royalties from us based on a percentage of net product sales, within the mid single-digit range.</w:t>
      </w:r>
    </w:p>
    <w:p>
      <w:pPr>
        <w:spacing w:after="0" w:line="11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Pursuant to the terms of our agreement, we have the right to require Teva or an affiliate of Teva, upon written notice, to purchase common shares issued in this offering if they have commenced a Phase 2b clinical trial of any licensed product under the agreement and if certain minimum price per common share and gross proceed thresholds are met in connection with this offering or the offering is otherwise approved by our shareholders. The number of common shares Teva or its affiliate would be required to purchase in the offering upon receipt of such notice would equal the lesser of:</w:t>
      </w:r>
    </w:p>
    <w:p>
      <w:pPr>
        <w:spacing w:after="0" w:line="122" w:lineRule="exact"/>
        <w:rPr>
          <w:sz w:val="20"/>
          <w:szCs w:val="20"/>
          <w:color w:val="auto"/>
        </w:rPr>
      </w:pPr>
    </w:p>
    <w:p>
      <w:pPr>
        <w:ind w:left="780" w:right="400" w:hanging="441"/>
        <w:spacing w:after="0" w:line="191" w:lineRule="auto"/>
        <w:tabs>
          <w:tab w:leader="none" w:pos="780" w:val="left"/>
        </w:tabs>
        <w:numPr>
          <w:ilvl w:val="0"/>
          <w:numId w:val="74"/>
        </w:numPr>
        <w:rPr>
          <w:rFonts w:ascii="Arial" w:cs="Arial" w:eastAsia="Arial" w:hAnsi="Arial"/>
          <w:sz w:val="26"/>
          <w:szCs w:val="26"/>
          <w:color w:val="auto"/>
          <w:vertAlign w:val="superscript"/>
        </w:rPr>
      </w:pPr>
      <w:r>
        <w:rPr>
          <w:rFonts w:ascii="Arial" w:cs="Arial" w:eastAsia="Arial" w:hAnsi="Arial"/>
          <w:sz w:val="17"/>
          <w:szCs w:val="17"/>
          <w:color w:val="auto"/>
        </w:rPr>
        <w:t>$20.0 million divided by the initial public offering price of our common shares in this offering, if this offering occurs on or after the date Teva commences a Phase 3 trial of any licensed product;</w:t>
      </w:r>
    </w:p>
    <w:p>
      <w:pPr>
        <w:spacing w:after="0" w:line="19" w:lineRule="exact"/>
        <w:rPr>
          <w:rFonts w:ascii="Arial" w:cs="Arial" w:eastAsia="Arial" w:hAnsi="Arial"/>
          <w:sz w:val="26"/>
          <w:szCs w:val="26"/>
          <w:color w:val="auto"/>
          <w:vertAlign w:val="superscript"/>
        </w:rPr>
      </w:pPr>
    </w:p>
    <w:p>
      <w:pPr>
        <w:ind w:left="780" w:right="640" w:hanging="441"/>
        <w:spacing w:after="0" w:line="191" w:lineRule="auto"/>
        <w:tabs>
          <w:tab w:leader="none" w:pos="780" w:val="left"/>
        </w:tabs>
        <w:numPr>
          <w:ilvl w:val="0"/>
          <w:numId w:val="74"/>
        </w:numPr>
        <w:rPr>
          <w:rFonts w:ascii="Arial" w:cs="Arial" w:eastAsia="Arial" w:hAnsi="Arial"/>
          <w:sz w:val="26"/>
          <w:szCs w:val="26"/>
          <w:color w:val="auto"/>
          <w:vertAlign w:val="superscript"/>
        </w:rPr>
      </w:pPr>
      <w:r>
        <w:rPr>
          <w:rFonts w:ascii="Arial" w:cs="Arial" w:eastAsia="Arial" w:hAnsi="Arial"/>
          <w:sz w:val="17"/>
          <w:szCs w:val="17"/>
          <w:color w:val="auto"/>
        </w:rPr>
        <w:t>$10.0 million divided by the initial public offering price of our common shares in this offering, if this offering occurs prior to the date Teva commences a Phase 3 trial of any licensed product;</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4"/>
        </w:numPr>
        <w:rPr>
          <w:rFonts w:ascii="Arial" w:cs="Arial" w:eastAsia="Arial" w:hAnsi="Arial"/>
          <w:sz w:val="25"/>
          <w:szCs w:val="25"/>
          <w:color w:val="auto"/>
          <w:vertAlign w:val="superscript"/>
        </w:rPr>
      </w:pPr>
      <w:r>
        <w:rPr>
          <w:rFonts w:ascii="Arial" w:cs="Arial" w:eastAsia="Arial" w:hAnsi="Arial"/>
          <w:sz w:val="16"/>
          <w:szCs w:val="16"/>
          <w:color w:val="auto"/>
        </w:rPr>
        <w:t>19% of our issued and outstanding shares after giving effect to the common shares issued in this offering;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74"/>
        </w:numPr>
        <w:rPr>
          <w:rFonts w:ascii="Arial" w:cs="Arial" w:eastAsia="Arial" w:hAnsi="Arial"/>
          <w:sz w:val="23"/>
          <w:szCs w:val="23"/>
          <w:color w:val="auto"/>
          <w:vertAlign w:val="superscript"/>
        </w:rPr>
      </w:pPr>
      <w:r>
        <w:rPr>
          <w:rFonts w:ascii="Arial" w:cs="Arial" w:eastAsia="Arial" w:hAnsi="Arial"/>
          <w:sz w:val="15"/>
          <w:szCs w:val="15"/>
          <w:color w:val="auto"/>
        </w:rPr>
        <w:t>a number of common shares that we specify in a notice to Teva.</w:t>
      </w:r>
    </w:p>
    <w:p>
      <w:pPr>
        <w:spacing w:after="0" w:line="108"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We have exercised our option and are requiring Teva or its affiliate to purchase 1,111,111 common shares in this offering, based upon the initial public offering price of $9.00 per share, pursuant to the terms of our agreement.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 with Genentech for GDC-0276 and Selective Inhibitors of Nav1.7 and Pain Genetics</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December 2011, we entered into a collaborative research and license agreement with Genentech and its affiliate, Roche, to discover and develop small and large molecules that selectively inhibit the Nav1.7 sodium channel and companion diagnostics for the potential treatment of pain. Pursuant to this agreement, we granted Genentech a worldwide exclusive license to develop and commercialize compounds directed to Nav1.7 and products incorporating such compounds for all uses. We also granted Genentech a worldwide non-exclusive license to diagnostic products for the purpose of developing or commercializing such compounds.</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terms of the agreement, Genentech paid us an upfront fee of $10.0 million, a $5.0 million milestone payment for the selection of GDC-0276 for development and an $8.0 million milestone payment upon the approval by Health Canada of the CTA for GDC-0276. Genentech is providing funding to us for certain of our full-time equivalents, or FTEs, performing the research collaboration plan. In addition, we are eligible to receive pre- commercial and commercial milestone payments with respect to the licensed products totaling up to an additional $613.0 million, comprised of up to $45.5 million in preclinical and clinical milestone payments, up to $387.5 million in regulatory milestone payments, and up to $180.0 million in sales-based milestone payments for multiple products and indications. In addition, we are eligible to receive royalties based on net sales of the licensed products, which range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44"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from a mid single-digit percentage to ten percent for small-molecule inhibitors for the timeframe that such products are covered by the licensed patents and a low single-digit percentage thereafter until the date that is ten years after first commercial sale on a country-by-country basis, plus a low single-digit percentage for large molecule inhibitors of Nav1.7 for a period of ten years from first commercial sale on a country-by-country basis.</w:t>
      </w:r>
    </w:p>
    <w:p>
      <w:pPr>
        <w:spacing w:after="0" w:line="10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agreement with Genentech expires on the date of the expiration of all payment obligations to us under the agreement. Genentech may terminate the agreement with three months advance notice anytime on or after the third anniversary of the effective date of the agreement, and each party may terminate the agreement in the event of a material breach by the other party that remains uncured after 90 days. In the event that Genentech terminates the agreement due to our breach, Genentech retains its licenses and its payment obligations to us are reduced. In the event that we terminate the agreement due to Genentech’s breach, the rights and licenses granted to Genentech revert back to us, subject to certain rights to make and use certain large-molecule product candidates that are retained by Genentech, and Genentech is obligated to assign certain regulatory approvals and grant certain licenses to us to enable us to develop and commercialize certain terminated products outside of the collaboration.</w:t>
      </w:r>
    </w:p>
    <w:p>
      <w:pPr>
        <w:spacing w:after="0" w:line="10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In March 2014, we entered into an additional agreement with Genentech for pain genetics, where we intend to use our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us and Genentech. We have also granted Genentech a time-limited, exclusive right of first negotiation on a target-by-target basis to form joint drug discovery collaborations. Under the terms of this agreement, Genentech paid us an upfront payment of $1.5 million and we are eligible for an additional $2.0 million in milestone payments. The agreement terminates upon the expiration of Genentech’s time-limited, exclusive right of first negotiation which shall be exercisable for two years. Genentech may terminate the agreement with three months advance notice anytime on or after the 12 month anniversary of the effective date of the agreement, and each party may terminate the agreement in the event of a material breach by the other party that remains uncured for 90 days. Furthermore, pursuant to the terms of a common share put agreement, an affiliate of Genentech will invest approximately $4.5 million in a private placement concurrent with this public offering at the same price per share as this public offering.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 with Merck for Cardiovascular Disease</w:t>
      </w:r>
    </w:p>
    <w:p>
      <w:pPr>
        <w:spacing w:after="0" w:line="4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June 2009, we entered into an exclusive collaborative research and option agreement with Merck, pursuant to which the parties conducted a research program to discover and develop novel small-molecule candidates for the potential treatment of cardiovascular disease. Merck provided payments to us for our FTEs who performed our activities pursuant to the research program conducted under the Merck agreement. The Merck collaborative research program ended in December 2012.</w:t>
      </w:r>
    </w:p>
    <w:p>
      <w:pPr>
        <w:spacing w:after="0" w:line="10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Under the terms of the agreement, Merck had the option to obtain an exclusive license under certain intellectual property controlled by us to develop and commercialize compounds and products directed to targets in the research program, which has now expired. In June 2012, Merck exercised its option and paid us $2.0 million to obtain such a worldwide exclusive license to develop and commercialize compound inhibitors of a target that was identified using our Extreme Genetics discovery platform. Through June 30, 2014, we have received milestone payments and an option fee totaling $9.0 million, and we are eligible for further research, development and regulatory milestone payments of up to $64.0 million, comprised of $21.0 million in preclinical and clinical milestone payments and up to $43.0 million in regulatory milestone payments for products directed to the licensed target, as well as royalties from the mid to high single-digit range in countries where such products are covered by a valid composition or method of use claim of a Xenon or Merck patent or, if not covered by such claims, royalties in the mid single-digit range for ten years after first commercial sale of such products.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We have an option to co-fund the Phase 1 and first Phase 2 clinical trials of product candidates licensed by Merck by paying Merck 50% of such development costs. Such co-funding option is available at the IND-filing stage for the applicable product candidate. If we exercise our co-funding option then the maximum eligible milestone amounts due to us increase to $86.5 million and the royalties increase to the high single-digit to the sub-teen double-digit range.</w:t>
      </w:r>
    </w:p>
    <w:p>
      <w:pPr>
        <w:spacing w:after="0" w:line="109"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Our agreement with Merck expires on the date of the expiration of all royalty payment obligations to us under the agreement. Merck has the right to terminate the agreement upon providing certain notices to us. Each party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4" w:right="2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terminate the agreement in the event of a material breach by the other party that remains uncured for 90 days after notice of such breach. In the event that Merck terminates the agreement due to our breach, the licenses granted to Merck survive and becomes fully paid up. In the event that we terminate the agreement due to Merck’s breach, the licenses granted to Merck terminate.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part of our business strategy, we generally file patent applications disclosing and claiming the drug targets and their novel uses that we identified with the use of our Extreme Genetics discovery platform, novel compositions that modulate such targets, methods of making and using such compositions and various therapeutic formulations of such compositions that cover our product candidates. In some cases, we also file claims on screening assays as well as compositions and methods for use in diagnosing certain diseases. We generally file applications in the U.S., Canada, the EU and other commercially significant foreign jurisdictions. We also rely on trade secrets, internal know-how, technological innovations and agreements with third parties to develop, maintain and protect our competitive position. Our ability to be competitive will depend on the success of this strategy.</w:t>
      </w:r>
    </w:p>
    <w:p>
      <w:pPr>
        <w:spacing w:after="0" w:line="110" w:lineRule="exact"/>
        <w:rPr>
          <w:sz w:val="20"/>
          <w:szCs w:val="20"/>
          <w:color w:val="auto"/>
        </w:rPr>
      </w:pPr>
    </w:p>
    <w:p>
      <w:pPr>
        <w:jc w:val="both"/>
        <w:ind w:right="220"/>
        <w:spacing w:after="0" w:line="241" w:lineRule="auto"/>
        <w:rPr>
          <w:sz w:val="20"/>
          <w:szCs w:val="20"/>
          <w:color w:val="auto"/>
        </w:rPr>
      </w:pPr>
      <w:r>
        <w:rPr>
          <w:rFonts w:ascii="Arial" w:cs="Arial" w:eastAsia="Arial" w:hAnsi="Arial"/>
          <w:sz w:val="17"/>
          <w:szCs w:val="17"/>
          <w:color w:val="auto"/>
        </w:rPr>
        <w:t>As of September 30, 2014, we owned, co-owned or licensed 50 issued or allowed U.S. patents and approximately 20 pending U.S. patent applications, including provisional and non-provisional filings. We also owned, co-owned or licensed an additional 525 pending and granted counterpart applications worldwide, including 129 country-specific validations of 11 European patents.</w:t>
      </w:r>
    </w:p>
    <w:p>
      <w:pPr>
        <w:spacing w:after="0" w:line="108"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We have in-licensed from UBC patent applications and patents related to Glybera, and methods of making and using Glybera. These include European Patent No. 1,200,117, Japanese Patent No. 5,095,894, Canadian Patent No. 2,370,081 and pending U.S. Patent Application No. 14/324,151. European Patent No. 1,200,117, Japanese Patent No. 5,095,894 and Canadian Patent No. 2,370,081, are expected to expire in June 2020 (absent any extensions of term); U.S. Patent Application No. 14/324,151, if issued, is expected to expire in 2020 (absent any extensions of term). In addition, U.S. Patent No.</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6,814,962, related European Patent No. 763,116, and pending counterpart U.S. Patent Application No. 13/584,203 have composition claims directed to various recombinant viruses containing LPL coding sequences and methods of using such viruses to treat various pathologies, and various other related patents and applications claiming priority to PCT/FR1995/00669 are directed to the preparation of recombinant viruses and uses in gene therapy, all of which are expected to expire between 2014 and 2015 (absent any extensions of term).</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2014, we owned five issued U.S. patents and five pending U.S. patent applications related to TV-45070, and methods of making and using this and certain related compounds. The issued patents are expected to expire between 2026 and 2030 (absent any extensions of term). In addition, we have 36 foreign issued patents (exclusive of European patent national validation) and filed 119 corresponding applications in various foreign jurisdictions relating to TV-45070.</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As of September 30, 2014, we, together with Genentech, co-owned two pending U.S. patent applications, one pending PCT international patent application and three corresponding patent applications in Argentina, Taiwan and the Cooperation Council for the Arab States of the Gulf relating to GDC-0276 and methods of making and using this and certain related compounds. Any patents issuing from these applications are expected to expire in 2033 (absent any extensions of term).</w:t>
      </w:r>
    </w:p>
    <w:p>
      <w:pPr>
        <w:spacing w:after="0" w:line="10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may obtain patents on our novel compositions before we obtain marketing approval for product candidates containing such compositions. Because patents are only valid for a limited period, and the life of a particular patent may begin prior to the commercial sale of the related product, the commercial value of any patent is limited. However, in certain circumstances, we may be able to seek patent term extensions for patents in the U.S. and in a number of European countries, compensating in part for delays in obtaining marketing approval, but we cannot be certain we will obtain such extensions.</w:t>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Further, the existence of issued patents does not guarantee our right to practice the patented technology or commercialize any product candidate covered by such a patent. Third parties may have or obtain rights to other patents that could be used to prevent or attempt to prevent us from commercializing our product candidates. If these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00"/>
          </w:cols>
          <w:pgMar w:left="240" w:top="444" w:right="2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the conduct of our business, we may infringe patents or other proprietary rights of third parties.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are not able to obtain a required license or develop alternative technologies, we may be unable to develop or commercialize some or all of our products, and our business could be adversely affected.</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Much of our scientific capabilities depend upon the knowledge, experience and skills of key scientific and technical personnel. To protect our rights to our proprietary know-how and technology, we require all our employees, consultants and advisors to enter into confidentiality agreements that require disclosure and assignment to us of ideas, developments, discoveries and inventions made by these employees, consultants and advisors in the course of their service to us.</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Although we believe our patents and patent applications provide us with a competitive advantage, the patent positions of biotechnology and pharmaceutical companies can be uncertain and involve complex legal and factual questions. We and our collaborators may not be able to develop patentable product candidates or processes or obtain patents from pending patent applications. Even if patent claims are allowed, the claims may not issue, or in the event of issuance, may not be sufficient to protect the technology owned by or licensed to us or to our collaborators. In certain cases where we have licensed rights to our intellectual property to our collaborators, such collaborators have assumed control of the prosecution and maintenance of the intellectual property portfolio related to such licensed rights. If our collaborators fail to adequately prosecute or maintain any portion of our licensed intellectual property, the competitive advantage and value of our intellectual property portfolio may be reduced. For more information, see “Risk Factors—Risks Related to Our Intellectual Property Rights.”</w:t>
      </w:r>
    </w:p>
    <w:p>
      <w:pPr>
        <w:spacing w:after="0" w:line="99"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We own a number of trademarks and intend to develop names for our product candidates and as appropriate seek to secure trademark protection for them, including domain name registration, in relevant jurisdictions.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have committed, and expect to continue to commit, significant resources to developing new product candidates. We have assembled experienced research and development teams at our Burnaby, British Columbia location with scientific, clinical and regulatory personnel. As of September 30, 2014, we had 53 employees primarily engaged in research and development. Of these employees, 23 hold a Ph.D. degree or M.D. (or equivalent) degree. From time to time we engage individuals on a contractual basis for limited time periods. Our research and development expenses for the years ended December 31, 2011, 2012 and 2013 and the six months ended June 30, 2013 and 2014 were $12.3 million, $10.5 million, $12.3 million, $7.0 million and $5.1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44"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We currently rely, and expect to continue to rely, on third parties and our collaborators for the manufacture of our product candidates for preclinical and clinical testing, as well as for commercial manufacture if our product candidates receive marketing approval. Accordingly, we have not internally developed any manufacturing facilities or hired related personnel.</w:t>
      </w:r>
    </w:p>
    <w:p>
      <w:pPr>
        <w:spacing w:after="0" w:line="10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To date, we have obtained materials for our product candidates from multiple third-party manufacturers. We believe that all of the materials required for the manufacture of our product candidates can be obtained from more than one source. However, the manufacturing processes for each of our product candidates, which include large and small-molecules, vary and sourcing adequate supplies may be made more difficult depending on the type of product candidate involved. For example, our small-molecule product candidates generally can be manufactured in reliable and reproducible synthetic processes from readily available starting materials. This chemistry generally is amenable to scale-up and does not require unusual equipment in the manufacturing process.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4"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biotechnology and pharmaceutical industries are highly competitive and are characterized by rapidly advancing technologies and a strong emphasis on proprietary products. While we believe that our technology, development experience, scientific knowledge and drug discovery approach provide us with certain advantages, we face potential competition in target discovery and product development from many different approaches and sources, including pharmaceutical and biotechnology companies, academic institutions and governmental agencies and public and private research institutions. Any product candidates or products that we or our collaborators successfully develop and commercialize will compete with existing products and new products that may become available in the future.</w:t>
      </w:r>
    </w:p>
    <w:p>
      <w:pPr>
        <w:spacing w:after="0" w:line="110"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With respect to target discovery activities, competitors and other third parties, including academic and clinical researchers, may be able to access rare families and identify targets before we do.</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key competitive factors affecting the success of all of our product candidates, if approved, are likely to be their efficacy, safety, convenience, price, the effectiveness of alternative products, the level of competition and the availability of coverage and adequate reimbursement from government and other third party payors.</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or EMA,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generic products.</w:t>
      </w:r>
    </w:p>
    <w:p>
      <w:pPr>
        <w:spacing w:after="0" w:line="111"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Aside from the product marketplace, our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82" w:lineRule="exact"/>
        <w:rPr>
          <w:sz w:val="20"/>
          <w:szCs w:val="20"/>
          <w:color w:val="auto"/>
        </w:rPr>
      </w:pPr>
    </w:p>
    <w:p>
      <w:pPr>
        <w:ind w:right="760"/>
        <w:spacing w:after="0" w:line="285" w:lineRule="auto"/>
        <w:rPr>
          <w:sz w:val="20"/>
          <w:szCs w:val="20"/>
          <w:color w:val="auto"/>
        </w:rPr>
      </w:pPr>
      <w:r>
        <w:rPr>
          <w:rFonts w:ascii="Arial" w:cs="Arial" w:eastAsia="Arial" w:hAnsi="Arial"/>
          <w:sz w:val="17"/>
          <w:szCs w:val="17"/>
          <w:color w:val="auto"/>
        </w:rPr>
        <w:t xml:space="preserve">Our products and product candidates may compete with various therapies and drugs, both in the marketplace and currently under development. </w:t>
      </w:r>
      <w:r>
        <w:rPr>
          <w:rFonts w:ascii="Arial" w:cs="Arial" w:eastAsia="Arial" w:hAnsi="Arial"/>
          <w:sz w:val="17"/>
          <w:szCs w:val="17"/>
          <w:b w:val="1"/>
          <w:bCs w:val="1"/>
          <w:i w:val="1"/>
          <w:iCs w:val="1"/>
          <w:color w:val="auto"/>
        </w:rPr>
        <w:t>Glybera (alipogene tiparvovec) Competition</w:t>
      </w:r>
    </w:p>
    <w:p>
      <w:pPr>
        <w:ind w:right="180"/>
        <w:spacing w:after="0" w:line="264" w:lineRule="auto"/>
        <w:rPr>
          <w:sz w:val="20"/>
          <w:szCs w:val="20"/>
          <w:color w:val="auto"/>
        </w:rPr>
      </w:pPr>
      <w:r>
        <w:rPr>
          <w:rFonts w:ascii="Arial" w:cs="Arial" w:eastAsia="Arial" w:hAnsi="Arial"/>
          <w:sz w:val="16"/>
          <w:szCs w:val="16"/>
          <w:color w:val="auto"/>
        </w:rPr>
        <w:t>There are no approved gene therapies currently on the market for LPLD.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LPL sequence containing the LPL</w:t>
      </w:r>
      <w:r>
        <w:rPr>
          <w:rFonts w:ascii="Arial" w:cs="Arial" w:eastAsia="Arial" w:hAnsi="Arial"/>
          <w:sz w:val="9"/>
          <w:szCs w:val="9"/>
          <w:color w:val="auto"/>
        </w:rPr>
        <w:t>S447X</w:t>
      </w:r>
      <w:r>
        <w:rPr>
          <w:rFonts w:ascii="Arial" w:cs="Arial" w:eastAsia="Arial" w:hAnsi="Arial"/>
          <w:sz w:val="16"/>
          <w:szCs w:val="16"/>
          <w:color w:val="auto"/>
        </w:rPr>
        <w:t xml:space="preserve"> genetic variant or otherwise.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TV-45070 and GDC-0276 Competition</w:t>
      </w:r>
    </w:p>
    <w:p>
      <w:pPr>
        <w:spacing w:after="0" w:line="4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developing Nav1.7 inhibitors for the treatment of pain, including Bioline Rx Ltd., Convergence Pharmaceuticals Limited, Dainippon Sumitomo Co., Ltd. and Pfizer, Inc. Moreover, we are aware of various other product candidates in development that target other mechanisms of action to treat various pain indications, including calcium channel inhibitors, nerve growth factor inhibitors and P2X purinoceptor 3 inhibitors. We are not aware of any drugs or therapies currently approved specifically for treating primary EM.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4"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developing both small-molecule and large-molecule product candidates. Our small-molecule product candidates are regulated as drugs by the FDA. The gene therapy product, Glybera, will be regulated by the FDA as a biologic. Within the FDA, the Center for Drug Evaluation and Research, or CDER, regulates drugs and the Center for Biologics Evaluation and Research, or CBER, regulates biological products. Drugs and biological products are subject to regulation under the Federal Food, Drug, and Cosmetic Act, or FD&amp;C Act, and other federal, provincial, state, local and foreign statutes and regulations. Biological products are also subject to regulation under the Public Health Service Act, or PHS Act. Both the FD&amp;C Act and the PHS Act, as applicable, and their corresponding regulations govern, among other things, the testing, manufacturing, safety, efficacy, labeling, packaging, storage, record keeping, distribution, import, export, reporting, advertising and other promotional practices involving drugs and biological products. FDA approval must be obtained before clinical testing of drugs or biological products is initiated, and each clinical study protocol for such product candidates is reviewed by the FDA prior to initiation in the U.S. FDA approval also must be obtained before marketing of drugs and biological products in the U.S. The process of obtaining regulatory approvals and the subsequent compliance with appropriate federal, provincial, state, local and foreign statutes and regulations require the expenditure of substantial time and financial resources and we may not be able to obtain the required regulatory approvals.</w:t>
      </w:r>
    </w:p>
    <w:p>
      <w:pPr>
        <w:spacing w:after="0" w:line="11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Federal and state agencies, congressional committees and foreign governments have expressed interest in further regulating biotechnology. In particular, ethical, social and legal concerns about genetic testing, genetic research and gene therapy could result in additional regulations restricting or prohibiting the processes we may use in discovering and developing our products candidates and in manufacturing and marketing Glybera and any other gene therapy products we or our collaborators may develop.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Development Process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or biological product may be marketed in the U.S. generally involves the following:</w:t>
      </w:r>
    </w:p>
    <w:p>
      <w:pPr>
        <w:spacing w:after="0" w:line="127" w:lineRule="exact"/>
        <w:rPr>
          <w:sz w:val="20"/>
          <w:szCs w:val="20"/>
          <w:color w:val="auto"/>
        </w:rPr>
      </w:pPr>
    </w:p>
    <w:p>
      <w:pPr>
        <w:ind w:left="780" w:right="120" w:hanging="441"/>
        <w:spacing w:after="0" w:line="191" w:lineRule="auto"/>
        <w:tabs>
          <w:tab w:leader="none" w:pos="780" w:val="left"/>
        </w:tabs>
        <w:numPr>
          <w:ilvl w:val="0"/>
          <w:numId w:val="75"/>
        </w:numPr>
        <w:rPr>
          <w:rFonts w:ascii="Arial" w:cs="Arial" w:eastAsia="Arial" w:hAnsi="Arial"/>
          <w:sz w:val="26"/>
          <w:szCs w:val="26"/>
          <w:color w:val="auto"/>
          <w:vertAlign w:val="superscript"/>
        </w:rPr>
      </w:pPr>
      <w:r>
        <w:rPr>
          <w:rFonts w:ascii="Arial" w:cs="Arial" w:eastAsia="Arial" w:hAnsi="Arial"/>
          <w:sz w:val="17"/>
          <w:szCs w:val="17"/>
          <w:color w:val="auto"/>
        </w:rPr>
        <w:t>completion of nonclinical laboratory tests and animal studies according to good laboratory practices, or GLPs, and applicable requirements for the humane use of laboratory animals or other applicable regulations;</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5"/>
        </w:numPr>
        <w:rPr>
          <w:rFonts w:ascii="Arial" w:cs="Arial" w:eastAsia="Arial" w:hAnsi="Arial"/>
          <w:sz w:val="25"/>
          <w:szCs w:val="25"/>
          <w:color w:val="auto"/>
          <w:vertAlign w:val="superscript"/>
        </w:rPr>
      </w:pPr>
      <w:r>
        <w:rPr>
          <w:rFonts w:ascii="Arial" w:cs="Arial" w:eastAsia="Arial" w:hAnsi="Arial"/>
          <w:sz w:val="16"/>
          <w:szCs w:val="16"/>
          <w:color w:val="auto"/>
        </w:rPr>
        <w:t>submission to the FDA of an application for an IND, which must become effective before human clinical studies may begin;</w:t>
      </w:r>
    </w:p>
    <w:p>
      <w:pPr>
        <w:spacing w:after="0" w:line="17" w:lineRule="exact"/>
        <w:rPr>
          <w:rFonts w:ascii="Arial" w:cs="Arial" w:eastAsia="Arial" w:hAnsi="Arial"/>
          <w:sz w:val="25"/>
          <w:szCs w:val="25"/>
          <w:color w:val="auto"/>
          <w:vertAlign w:val="superscript"/>
        </w:rPr>
      </w:pPr>
    </w:p>
    <w:p>
      <w:pPr>
        <w:ind w:left="780" w:right="20" w:hanging="441"/>
        <w:spacing w:after="0" w:line="204" w:lineRule="auto"/>
        <w:tabs>
          <w:tab w:leader="none" w:pos="780" w:val="left"/>
        </w:tabs>
        <w:numPr>
          <w:ilvl w:val="0"/>
          <w:numId w:val="75"/>
        </w:numPr>
        <w:rPr>
          <w:rFonts w:ascii="Arial" w:cs="Arial" w:eastAsia="Arial" w:hAnsi="Arial"/>
          <w:sz w:val="26"/>
          <w:szCs w:val="26"/>
          <w:color w:val="auto"/>
          <w:vertAlign w:val="superscript"/>
        </w:rPr>
      </w:pPr>
      <w:r>
        <w:rPr>
          <w:rFonts w:ascii="Arial" w:cs="Arial" w:eastAsia="Arial" w:hAnsi="Arial"/>
          <w:sz w:val="17"/>
          <w:szCs w:val="17"/>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product for its intended use;</w:t>
      </w:r>
    </w:p>
    <w:p>
      <w:pPr>
        <w:spacing w:after="0" w:line="20" w:lineRule="exact"/>
        <w:rPr>
          <w:rFonts w:ascii="Arial" w:cs="Arial" w:eastAsia="Arial" w:hAnsi="Arial"/>
          <w:sz w:val="26"/>
          <w:szCs w:val="26"/>
          <w:color w:val="auto"/>
          <w:vertAlign w:val="superscript"/>
        </w:rPr>
      </w:pPr>
    </w:p>
    <w:p>
      <w:pPr>
        <w:ind w:left="780" w:right="100" w:hanging="441"/>
        <w:spacing w:after="0" w:line="191" w:lineRule="auto"/>
        <w:tabs>
          <w:tab w:leader="none" w:pos="780" w:val="left"/>
        </w:tabs>
        <w:numPr>
          <w:ilvl w:val="0"/>
          <w:numId w:val="75"/>
        </w:numPr>
        <w:rPr>
          <w:rFonts w:ascii="Arial" w:cs="Arial" w:eastAsia="Arial" w:hAnsi="Arial"/>
          <w:sz w:val="26"/>
          <w:szCs w:val="26"/>
          <w:color w:val="auto"/>
          <w:vertAlign w:val="superscript"/>
        </w:rPr>
      </w:pPr>
      <w:r>
        <w:rPr>
          <w:rFonts w:ascii="Arial" w:cs="Arial" w:eastAsia="Arial" w:hAnsi="Arial"/>
          <w:sz w:val="17"/>
          <w:szCs w:val="17"/>
          <w:color w:val="auto"/>
        </w:rPr>
        <w:t>submission to the FDA of an NDA for drug products or a BLA for biological products for marketing approval that includes substantive evidence of safety, purity, and potency from results of nonclinical testing and clinical studies;</w:t>
      </w:r>
    </w:p>
    <w:p>
      <w:pPr>
        <w:spacing w:after="0" w:line="19" w:lineRule="exact"/>
        <w:rPr>
          <w:rFonts w:ascii="Arial" w:cs="Arial" w:eastAsia="Arial" w:hAnsi="Arial"/>
          <w:sz w:val="26"/>
          <w:szCs w:val="26"/>
          <w:color w:val="auto"/>
          <w:vertAlign w:val="superscript"/>
        </w:rPr>
      </w:pPr>
    </w:p>
    <w:p>
      <w:pPr>
        <w:ind w:left="780" w:right="80" w:hanging="441"/>
        <w:spacing w:after="0" w:line="204" w:lineRule="auto"/>
        <w:tabs>
          <w:tab w:leader="none" w:pos="780" w:val="left"/>
        </w:tabs>
        <w:numPr>
          <w:ilvl w:val="0"/>
          <w:numId w:val="75"/>
        </w:numPr>
        <w:rPr>
          <w:rFonts w:ascii="Arial" w:cs="Arial" w:eastAsia="Arial" w:hAnsi="Arial"/>
          <w:sz w:val="26"/>
          <w:szCs w:val="26"/>
          <w:color w:val="auto"/>
          <w:vertAlign w:val="superscript"/>
        </w:rPr>
      </w:pPr>
      <w:r>
        <w:rPr>
          <w:rFonts w:ascii="Arial" w:cs="Arial" w:eastAsia="Arial" w:hAnsi="Arial"/>
          <w:sz w:val="17"/>
          <w:szCs w:val="17"/>
          <w:color w:val="auto"/>
        </w:rPr>
        <w:t>satisfactory completion of an FDA inspection of the manufacturing facility or facilities where the product is produced to assess compliance with good manufacturing practices, or GMP, to assure that the facilities, methods and controls are adequate to preserve the product’s identity, strength, quality and purity;</w:t>
      </w:r>
    </w:p>
    <w:p>
      <w:pPr>
        <w:spacing w:after="0" w:line="2"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5"/>
        </w:numPr>
        <w:rPr>
          <w:rFonts w:ascii="Arial" w:cs="Arial" w:eastAsia="Arial" w:hAnsi="Arial"/>
          <w:sz w:val="25"/>
          <w:szCs w:val="25"/>
          <w:color w:val="auto"/>
          <w:vertAlign w:val="superscript"/>
        </w:rPr>
      </w:pPr>
      <w:r>
        <w:rPr>
          <w:rFonts w:ascii="Arial" w:cs="Arial" w:eastAsia="Arial" w:hAnsi="Arial"/>
          <w:sz w:val="16"/>
          <w:szCs w:val="16"/>
          <w:color w:val="auto"/>
        </w:rPr>
        <w:t>potential FDA audit of the nonclinical and clinical study sites that generated the data in support of the NDA or BLA;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75"/>
        </w:numPr>
        <w:rPr>
          <w:rFonts w:ascii="Arial" w:cs="Arial" w:eastAsia="Arial" w:hAnsi="Arial"/>
          <w:sz w:val="23"/>
          <w:szCs w:val="23"/>
          <w:color w:val="auto"/>
          <w:vertAlign w:val="superscript"/>
        </w:rPr>
      </w:pPr>
      <w:r>
        <w:rPr>
          <w:rFonts w:ascii="Arial" w:cs="Arial" w:eastAsia="Arial" w:hAnsi="Arial"/>
          <w:sz w:val="15"/>
          <w:szCs w:val="15"/>
          <w:color w:val="auto"/>
        </w:rPr>
        <w:t>FDA review and approval of the NDA, or licensure of the BLA.</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Before testing any drug or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00"/>
          </w:cols>
          <w:pgMar w:left="240" w:top="444" w:right="2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Clinical studies involve the administration of the drug or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AEs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studies are typically conducted in three sequential phases that may overlap or be combined:</w:t>
      </w:r>
    </w:p>
    <w:p>
      <w:pPr>
        <w:spacing w:after="0" w:line="109" w:lineRule="exact"/>
        <w:rPr>
          <w:sz w:val="20"/>
          <w:szCs w:val="20"/>
          <w:color w:val="auto"/>
        </w:rPr>
      </w:pPr>
    </w:p>
    <w:p>
      <w:pPr>
        <w:ind w:left="780" w:hanging="441"/>
        <w:spacing w:after="0" w:line="211" w:lineRule="auto"/>
        <w:tabs>
          <w:tab w:leader="none" w:pos="780" w:val="left"/>
        </w:tabs>
        <w:numPr>
          <w:ilvl w:val="0"/>
          <w:numId w:val="76"/>
        </w:numPr>
        <w:rPr>
          <w:rFonts w:ascii="Arial" w:cs="Arial" w:eastAsia="Arial" w:hAnsi="Arial"/>
          <w:sz w:val="26"/>
          <w:szCs w:val="26"/>
          <w:color w:val="auto"/>
          <w:vertAlign w:val="superscript"/>
        </w:rPr>
      </w:pPr>
      <w:r>
        <w:rPr>
          <w:rFonts w:ascii="Arial" w:cs="Arial" w:eastAsia="Arial" w:hAnsi="Arial"/>
          <w:sz w:val="17"/>
          <w:szCs w:val="17"/>
          <w:i w:val="1"/>
          <w:iCs w:val="1"/>
          <w:color w:val="auto"/>
        </w:rPr>
        <w:t>Phase 1</w:t>
      </w:r>
      <w:r>
        <w:rPr>
          <w:rFonts w:ascii="Arial" w:cs="Arial" w:eastAsia="Arial" w:hAnsi="Arial"/>
          <w:sz w:val="17"/>
          <w:szCs w:val="17"/>
          <w:color w:val="auto"/>
        </w:rPr>
        <w:t>. The drug or biological product is initially introduced into healthy human subjects and tested for safety. In the case of some products for</w:t>
      </w:r>
      <w:r>
        <w:rPr>
          <w:rFonts w:ascii="Arial" w:cs="Arial" w:eastAsia="Arial" w:hAnsi="Arial"/>
          <w:sz w:val="17"/>
          <w:szCs w:val="17"/>
          <w:i w:val="1"/>
          <w:iCs w:val="1"/>
          <w:color w:val="auto"/>
        </w:rPr>
        <w:t xml:space="preserve"> </w:t>
      </w:r>
      <w:r>
        <w:rPr>
          <w:rFonts w:ascii="Arial" w:cs="Arial" w:eastAsia="Arial" w:hAnsi="Arial"/>
          <w:sz w:val="17"/>
          <w:szCs w:val="17"/>
          <w:color w:val="auto"/>
        </w:rPr>
        <w:t>severe or life-threatening diseases, especially when the product may be too inherently toxic to ethically administer to healthy volunteers, the initial human testing is often conducted in patients.</w:t>
      </w:r>
    </w:p>
    <w:p>
      <w:pPr>
        <w:ind w:left="780" w:right="140" w:hanging="441"/>
        <w:spacing w:after="0" w:line="210" w:lineRule="auto"/>
        <w:tabs>
          <w:tab w:leader="none" w:pos="780" w:val="left"/>
        </w:tabs>
        <w:numPr>
          <w:ilvl w:val="0"/>
          <w:numId w:val="76"/>
        </w:numPr>
        <w:rPr>
          <w:rFonts w:ascii="Arial" w:cs="Arial" w:eastAsia="Arial" w:hAnsi="Arial"/>
          <w:sz w:val="26"/>
          <w:szCs w:val="26"/>
          <w:color w:val="auto"/>
          <w:vertAlign w:val="superscript"/>
        </w:rPr>
      </w:pPr>
      <w:r>
        <w:rPr>
          <w:rFonts w:ascii="Arial" w:cs="Arial" w:eastAsia="Arial" w:hAnsi="Arial"/>
          <w:sz w:val="17"/>
          <w:szCs w:val="17"/>
          <w:i w:val="1"/>
          <w:iCs w:val="1"/>
          <w:color w:val="auto"/>
        </w:rPr>
        <w:t>Phase 2</w:t>
      </w:r>
      <w:r>
        <w:rPr>
          <w:rFonts w:ascii="Arial" w:cs="Arial" w:eastAsia="Arial" w:hAnsi="Arial"/>
          <w:sz w:val="17"/>
          <w:szCs w:val="17"/>
          <w:color w:val="auto"/>
        </w:rPr>
        <w:t>. The drug or biological product is evaluated in a limited patient population to identify possible adverse effects and safety risks, to</w:t>
      </w:r>
      <w:r>
        <w:rPr>
          <w:rFonts w:ascii="Arial" w:cs="Arial" w:eastAsia="Arial" w:hAnsi="Arial"/>
          <w:sz w:val="17"/>
          <w:szCs w:val="17"/>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optimal dosage and dosing schedule.</w:t>
      </w:r>
    </w:p>
    <w:p>
      <w:pPr>
        <w:spacing w:after="0" w:line="2" w:lineRule="exact"/>
        <w:rPr>
          <w:rFonts w:ascii="Arial" w:cs="Arial" w:eastAsia="Arial" w:hAnsi="Arial"/>
          <w:sz w:val="26"/>
          <w:szCs w:val="26"/>
          <w:color w:val="auto"/>
          <w:vertAlign w:val="superscript"/>
        </w:rPr>
      </w:pPr>
    </w:p>
    <w:p>
      <w:pPr>
        <w:ind w:left="780" w:right="160" w:hanging="441"/>
        <w:spacing w:after="0" w:line="210" w:lineRule="auto"/>
        <w:tabs>
          <w:tab w:leader="none" w:pos="780" w:val="left"/>
        </w:tabs>
        <w:numPr>
          <w:ilvl w:val="0"/>
          <w:numId w:val="76"/>
        </w:numPr>
        <w:rPr>
          <w:rFonts w:ascii="Arial" w:cs="Arial" w:eastAsia="Arial" w:hAnsi="Arial"/>
          <w:sz w:val="26"/>
          <w:szCs w:val="26"/>
          <w:color w:val="auto"/>
          <w:vertAlign w:val="superscript"/>
        </w:rPr>
      </w:pPr>
      <w:r>
        <w:rPr>
          <w:rFonts w:ascii="Arial" w:cs="Arial" w:eastAsia="Arial" w:hAnsi="Arial"/>
          <w:sz w:val="17"/>
          <w:szCs w:val="17"/>
          <w:i w:val="1"/>
          <w:iCs w:val="1"/>
          <w:color w:val="auto"/>
        </w:rPr>
        <w:t>Phase 3</w:t>
      </w:r>
      <w:r>
        <w:rPr>
          <w:rFonts w:ascii="Arial" w:cs="Arial" w:eastAsia="Arial" w:hAnsi="Arial"/>
          <w:sz w:val="17"/>
          <w:szCs w:val="17"/>
          <w:color w:val="auto"/>
        </w:rPr>
        <w:t>. Clinical studies are undertaken to further evaluate dosage, clinical efficacy, potency, and safety in an expanded patient population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geographically dispersed clinical study sites. These clinical studies are intended to establish the overall risk/benefit ratio of the product and provide an adequate basis for product labeling.</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in studies of gene therapy products for potential gene therapy-related delayed AEs for a 15-year period, including a minimum of five years of annual examinations followed by ten years of annual queries, either in person or by questionnaire, of study subjects. During all phases of clinical development, regulatory agencies require extensive monitoring and auditing of all clinical activities, clinical data, and clinical study investigators.</w:t>
      </w:r>
    </w:p>
    <w:p>
      <w:pPr>
        <w:spacing w:after="0" w:line="110"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4"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0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Human gene therapy products are a new category of therapeutics, and studies of gene therapy products are subject to certain regulatory requirements in addition to those set forth above including certain requirements of the National Institutes of Health.</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Review and Approval Processes</w:t>
      </w:r>
    </w:p>
    <w:p>
      <w:pPr>
        <w:spacing w:after="0" w:line="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After the completion of clinical studies of a drug or biological product, FDA approval of an NDA or a BLA must be obtained before commercial marketing of the drug or biological product, respectively. The NDA or BLA must include results of product development, laboratory and animal studies, human studies, information on the manufacture and composition of the product, proposed labeling and other relevant information. In addition, under the Pediatric Research Equity Act, or PREA, an NDA or a BLA or supplement to an NDA or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biological product for an indication for which orphan designation has been granted. The testing and approval processes require substantial time and effort and there can be no assurance that the FDA will accept the NDA or BLA for filing and, even if filed, that any approval will be granted on a timely basis, if at all.</w:t>
      </w:r>
    </w:p>
    <w:p>
      <w:pPr>
        <w:spacing w:after="0" w:line="11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Under the Prescription Drug User Fee Act, or PDUFA, as amended, each NDA or BLA must be accompanied by a substantial user fee. PDUFA also imposes an annual product fee for drugs and biologics and an annual establishment fee on facilities used to manufacture prescription drugs or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marketing application that it deems incomplete or not properly reviewable at the time of submission and may request additional information. In this event, the NDA or BLA must be resubmitted with the additional information. The resubmitted application also is subject to review before the FDA accepts it for filing. Once the submission is accepted for filing, the FDA begins an in-depth substantive review of the NDA or BLA. The FDA reviews the application to determine, among other things, whether the proposed product is safe and potent, or effective, for its intended use, and has an acceptable purity profile, and whether the product is being manufactured in accordance with 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NDA or BLA must submit a proposed REMS; the FDA will not approve the application without a REMS, if required.</w:t>
      </w:r>
    </w:p>
    <w:p>
      <w:pPr>
        <w:spacing w:after="0" w:line="10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Before approving an NDA or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a BLA, the FDA will typically inspect one or more clinical sites to assure that the clinical studies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4"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NDA or BLA does not satisfy its regulatory criteria for approval and deny approval. Data obtained from clinical studies are not always conclusive and the FDA may interpret data differently than we interpret the same data. If the agency decides not to approve the marketing application, the FDA will issue a complete response letter that usually describes all of the specific deficiencies in the application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0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approval clinical studies, sometimes referred to as Phase 4 clinical studies, designed to further assess a product’s safety and effectiveness, and testing and surveillance programs to monitor the safety of approved products that have been commercialized.</w:t>
      </w:r>
    </w:p>
    <w:p>
      <w:pPr>
        <w:spacing w:after="0" w:line="11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One of the performance goals agreed to by the FDA under the PDUFA is to complete its review of 90% of standard NDAs and BLAs within ten months from filing and 90% of priority NDAs and BLAs within six months from filing, whereupon a review decision is to be made. The FDA does not always meet its PDUFA goal dates and its review goals are subject to change from time to time. The review process and the PDUFA goal date may be extended by three months if the FDA requests or the application sponsor otherwise provides additional information or clarification regarding information already provided in the submission within the last three months before the PDUFA goal date.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Designation</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FDA has various programs, including Fast Track, which are intended to expedite the process for reviewing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 For example, Fast Track is a process designed to expedite the FDA’s review of drugs that treat serious or life-threatening diseases or conditions and fill unmet medical needs. Under the Fast Track process, drugs that offer major advances in treatment or provide a treatment where no adequate therapy exists, may also receive priority review by the FDA, or review within six months of the filing of an NDA compared to a traditional review time of ten months. Although Fast Track and priority review do not affect the standards for approval of a drug, for Fast Track designated drugs, the FDA will also attempt to facilitate early and frequent meetings with a sponsor of a Fast Track designated drug, to expedite such drug’s review and development. Although FDA has granted fast track designations to TV-45070 for EM and to Glybera for LPLD, such designations may not result in a faster development or review time, do not increase the odds of approval, and may be rescinded at any time if these drug candidates do not continue to meet the qualifications for these programs.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Both Glybera and TV-45070 have received orphan drug designation from the FDA. Orphan product designation must be requested before submitting an NDA or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09" w:lineRule="exact"/>
        <w:rPr>
          <w:sz w:val="20"/>
          <w:szCs w:val="20"/>
          <w:color w:val="auto"/>
        </w:rPr>
      </w:pPr>
    </w:p>
    <w:p>
      <w:pPr>
        <w:ind w:right="440"/>
        <w:spacing w:after="0" w:line="245" w:lineRule="auto"/>
        <w:rPr>
          <w:sz w:val="20"/>
          <w:szCs w:val="20"/>
          <w:color w:val="auto"/>
        </w:rPr>
      </w:pPr>
      <w:r>
        <w:rPr>
          <w:rFonts w:ascii="Arial" w:cs="Arial" w:eastAsia="Arial" w:hAnsi="Arial"/>
          <w:sz w:val="17"/>
          <w:szCs w:val="17"/>
          <w:color w:val="auto"/>
        </w:rPr>
        <w:t>If a product that has orphan designation subsequently receives the first FDA approval for such drug for the disease or condition for which it has such designation, the product is entitled to orphan product exclusivity, which means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44"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 has similar, but not identical, benefits, including up to ten years of exclusivity.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Maintaining substantial compliance with applicable federal, provincial, state, and local statutes and regulations requires the expenditure of substantial time and financial resources. Rigorous and extensive FDA regulation of drug and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drug and biological products, include reporting of 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an NDA or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drug and biological products.</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Drug and biological product manufacturers and other entities involved in the manufacture and distribution of approved drug or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44"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4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Hatch-Waxman Amendments, a drug product containing a new chemical entity as its active ingredient is entitled to five years of market exclusivity, and a product for which the sponsor is required to generate new clinical data is entitled to three years of market exclusivity. A drug or biological product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Biologics Price Competition and Innovation Act of 2009 created an abbreviated approval pathway for biological products shown to be 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On April 10, 2013, President Obama released his proposed budget for fiscal year 2014 and proposed to cut this 12-year period of exclusivity down to seven years. He also proposed to prohibit additional periods of exclusivity for reference biologics due to minor changes in product formulations, a practice often referred to as “evergreening.”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w:t>
      </w:r>
    </w:p>
    <w:p>
      <w:pPr>
        <w:spacing w:after="0" w:line="2" w:lineRule="exact"/>
        <w:rPr>
          <w:sz w:val="20"/>
          <w:szCs w:val="20"/>
          <w:color w:val="auto"/>
        </w:rPr>
      </w:pPr>
    </w:p>
    <w:p>
      <w:pPr>
        <w:jc w:val="both"/>
        <w:ind w:right="80" w:firstLine="3"/>
        <w:spacing w:after="0" w:line="273" w:lineRule="auto"/>
        <w:tabs>
          <w:tab w:leader="none" w:pos="233" w:val="left"/>
        </w:tabs>
        <w:numPr>
          <w:ilvl w:val="0"/>
          <w:numId w:val="77"/>
        </w:numPr>
        <w:rPr>
          <w:rFonts w:ascii="Arial" w:cs="Arial" w:eastAsia="Arial" w:hAnsi="Arial"/>
          <w:sz w:val="16"/>
          <w:szCs w:val="16"/>
          <w:color w:val="auto"/>
        </w:rPr>
      </w:pPr>
      <w:r>
        <w:rPr>
          <w:rFonts w:ascii="Arial" w:cs="Arial" w:eastAsia="Arial" w:hAnsi="Arial"/>
          <w:sz w:val="16"/>
          <w:szCs w:val="16"/>
          <w:color w:val="auto"/>
        </w:rPr>
        <w:t>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4"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Foreign Corrupt Practices Act and Canadian Corruption of Foreign Public Officials Act</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U.S. Foreign Corrupt Practices Act and the Canadian Corruption of Foreign Public Officials Act, to which we are subject,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We can also be held liable for the acts of our third party agents under the Canadian Corruption of Foreign Public Officials Act.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Outside of the U.S.</w:t>
      </w:r>
    </w:p>
    <w:p>
      <w:pPr>
        <w:spacing w:after="0" w:line="4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addition to regulations in the U.S., we will be subject to a variety of regulations in other jurisdictions governing, among other things, clinical studies and any commercial sales and distribution of our products.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 In the EU, for example, a clinical trial application,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1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requirements and process governing the conduct of clinical studies, product licensing, coverage,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To obtain regulatory approval of an investigational drug or biological product under EU regulatory systems, we must submit a marketing authorization application, or MAA. The application used to file the NDA or BLA in the U.S. is similar to that required in the EU, with the exception of, among other things, country-specific document requirements. The EU also provides opportunities for market exclusivity. For example, in the EU,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products may not qualify for data exclusivity. Products receiving orphan designation in the EU can receive ten years of market exclusivity, during which time no similar medicinal product for the same indication may be placed on the market.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113"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The criteria for designating an “orphan medicinal product” in the EU are similar in principle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w:t>
      </w:r>
    </w:p>
    <w:p>
      <w:pPr>
        <w:spacing w:after="0" w:line="1" w:lineRule="exact"/>
        <w:rPr>
          <w:sz w:val="20"/>
          <w:szCs w:val="20"/>
          <w:color w:val="auto"/>
        </w:rPr>
      </w:pPr>
    </w:p>
    <w:p>
      <w:pPr>
        <w:ind w:firstLine="3"/>
        <w:spacing w:after="0" w:line="255" w:lineRule="auto"/>
        <w:tabs>
          <w:tab w:leader="none" w:pos="2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Glybera has received orphan drug designation for the treatment of LPLD in the EU.</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44"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24" w:lineRule="exact"/>
        <w:rPr>
          <w:sz w:val="20"/>
          <w:szCs w:val="20"/>
          <w:color w:val="auto"/>
        </w:rPr>
      </w:pPr>
    </w:p>
    <w:p>
      <w:pPr>
        <w:ind w:left="780" w:hanging="441"/>
        <w:spacing w:after="0"/>
        <w:tabs>
          <w:tab w:leader="none" w:pos="780" w:val="left"/>
        </w:tabs>
        <w:numPr>
          <w:ilvl w:val="0"/>
          <w:numId w:val="79"/>
        </w:numPr>
        <w:rPr>
          <w:rFonts w:ascii="Arial" w:cs="Arial" w:eastAsia="Arial" w:hAnsi="Arial"/>
          <w:sz w:val="26"/>
          <w:szCs w:val="26"/>
          <w:color w:val="auto"/>
          <w:vertAlign w:val="superscript"/>
        </w:rPr>
      </w:pPr>
      <w:r>
        <w:rPr>
          <w:rFonts w:ascii="Arial" w:cs="Arial" w:eastAsia="Arial" w:hAnsi="Arial"/>
          <w:sz w:val="17"/>
          <w:szCs w:val="17"/>
          <w:color w:val="auto"/>
        </w:rPr>
        <w:t>The second applicant can establish that its product, although similar, is safer, more effective or otherwise clinically superior;</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79"/>
        </w:numPr>
        <w:rPr>
          <w:rFonts w:ascii="Arial" w:cs="Arial" w:eastAsia="Arial" w:hAnsi="Arial"/>
          <w:sz w:val="23"/>
          <w:szCs w:val="23"/>
          <w:color w:val="auto"/>
          <w:vertAlign w:val="superscript"/>
        </w:rPr>
      </w:pPr>
      <w:r>
        <w:rPr>
          <w:rFonts w:ascii="Arial" w:cs="Arial" w:eastAsia="Arial" w:hAnsi="Arial"/>
          <w:sz w:val="15"/>
          <w:szCs w:val="15"/>
          <w:color w:val="auto"/>
        </w:rPr>
        <w:t>The applicant consents to a second orphan medicinal product application; or</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79"/>
        </w:numPr>
        <w:rPr>
          <w:rFonts w:ascii="Arial" w:cs="Arial" w:eastAsia="Arial" w:hAnsi="Arial"/>
          <w:sz w:val="23"/>
          <w:szCs w:val="23"/>
          <w:color w:val="auto"/>
          <w:vertAlign w:val="superscript"/>
        </w:rPr>
      </w:pPr>
      <w:r>
        <w:rPr>
          <w:rFonts w:ascii="Arial" w:cs="Arial" w:eastAsia="Arial" w:hAnsi="Arial"/>
          <w:sz w:val="15"/>
          <w:szCs w:val="15"/>
          <w:color w:val="auto"/>
        </w:rPr>
        <w:t>The applicant cannot supply enough orphan medicinal product.</w:t>
      </w:r>
    </w:p>
    <w:p>
      <w:pPr>
        <w:spacing w:after="0" w:line="108" w:lineRule="exact"/>
        <w:rPr>
          <w:sz w:val="20"/>
          <w:szCs w:val="20"/>
          <w:color w:val="auto"/>
        </w:rPr>
      </w:pPr>
    </w:p>
    <w:p>
      <w:pPr>
        <w:jc w:val="both"/>
        <w:ind w:right="320"/>
        <w:spacing w:after="0" w:line="264" w:lineRule="auto"/>
        <w:rPr>
          <w:sz w:val="20"/>
          <w:szCs w:val="20"/>
          <w:color w:val="auto"/>
        </w:rPr>
      </w:pPr>
      <w:r>
        <w:rPr>
          <w:rFonts w:ascii="Arial" w:cs="Arial" w:eastAsia="Arial" w:hAnsi="Arial"/>
          <w:sz w:val="16"/>
          <w:szCs w:val="16"/>
          <w:color w:val="auto"/>
        </w:rPr>
        <w:t>For other countries outside of the EU, such as countries in Eastern Europe, Latin America or Asia, the requirements governing the conduct of clinical studies, product licensing, coverage,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ind w:right="640"/>
        <w:spacing w:after="0" w:line="245"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Pharmaceutical Coverage, Pricing and Reimbursement</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w:t>
      </w:r>
    </w:p>
    <w:p>
      <w:pPr>
        <w:spacing w:after="0" w:line="10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cost of pharmaceuticals and devices continues to generate substantial governmental and third 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Some third-party payors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09"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the third-party payors’ reimbursement policies will not adversely affect our ability to sell our products profitably.</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60"/>
          </w:cols>
          <w:pgMar w:left="240" w:top="444" w:right="2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Reform</w:t>
      </w:r>
    </w:p>
    <w:p>
      <w:pPr>
        <w:spacing w:after="0" w:line="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U.S., the Medicare Prescription Drug, Improvement, and Modernization Act of 2003, or the Medicare Modernization Act, changed the way Medicare covers and pays for pharmaceutical products. The Medicare Modernization Act expanded Medicare coverage for drug purchases by the elderly by establishing Medicare Part D and introduced a new reimbursement methodology based on average sales prices for physician administered drugs under Medicare Part B. In addition, this legislation provided authority for limiting the number of drugs that will be covered in any therapeutic class under the new Medicare Part D program. Cost reduction initiatives and other provisions of this legislation could decrease the coverage and reimbursement rate that we receive for any of our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1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 March 2010, the President signed into law the Patient Protection and Affordable Care Act, as amended, or PPACA, a sweeping law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PPACA revises the definition of “average manufacturer price” for reporting purposes, which could increase the amount of Medicaid drug rebates to states. Further, the new law imposes a significant annual fee on companies that manufacture or import branded prescription drug products. Substantial new provisions affecting compliance have also been enacted, which may affect our business practices with healthcare practitioners and a significant number of provisions are not yet, or have only recently become, effective. Although it is too early to determine the full effect of PPACA, the new law appears likely to continue the downward pressure on pharmaceutical pricing, especially under the Medicare program, and may also increase our regulatory burdens and operating costs.</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expect that PPACA, as well as other healthcare reform measures that have been and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11"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condition of obtaining reimbursement or pricing approval, the completion of clinical trials that compare the cost-effectiveness of a</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444" w:right="2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Healthcare Laws and Compliance Requirements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the U.S., the research, manufacturing, distribution, sale and promotion of drug products and medical devices are potentially subject to regulation by various federal, provincial,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fraud and abuse laws such as the federal Anti-Kickback Statute, as amended, the federal False Claims Act, as amended,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federal Anti-Kickback Statute prohibits any person, including a prescription drug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reach of the Anti-Kickback Statute was broadened by the recently enacted PPACA, which, among other things, amends the intent requirement of the federal Anti-Kickback Statute such that a person or entity no longer needs to have actual knowledge of this statute or specific intent to violate it in order to have committed a violation. In addition, the PPACA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The federal False Claims Act imposes liability on any person or entity that, among other things, knowingly presents, or causes to be presented, a false or fraudulent claim for payment by a federal healthcare program.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4"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been used to assert liability on the basis of inadequate care, kickbacks and other improper referrals, improperly reported government pricing metrics such as Best Price or Average Manufacturer Price, improper use of Medicare numbers when detailing the provider of services, improper promotion of off-label uses (i.e., uses not expressly approved by FDA in a drug’s label), and allegations as to misrepresentations with respect to the services rendered. Our future activities relating to the reporting of discount and rebate information and other information affecting federal, provincial, state and third 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the Health Insurance Portability and Accountability Act of 1996, or HIPAA, created several new federal crimes, including healthcare fraud, and false statements relating to healthcare matters. The healthcare fraud statute prohibits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1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addition, we may be subject to, or our marketing activities may be limited by, data privacy and security regulation by both the federal government and the states in which we conduct our business. For example, HIPAA and its implementing regulations established uniform federal standards for certain “covered entities”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called the Health Information Technology for Economic and Clinical Health Act, or HITECH, which became effective on February 17, 2010. Among other things, HITECH makes HIPAA’s privacy and security standards directly applicable to “business associates”—independent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also an increasing number of state “sunshine” laws that require manufacturers to make reports to states on pricing and marketing information.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In addition, beginning in 2013, a similar federal requirement began requiring manufacturers to track and report to the federal government certain payments and other transfers of value made to physicians and other healthcare professionals and teaching hospitals and ownership or investment interests held by physicians and their immediate family members. The federal government will disclose the reported information on a publicly available website beginning in 2014.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w:t>
      </w:r>
    </w:p>
    <w:p>
      <w:pPr>
        <w:spacing w:after="0" w:line="11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brought by individual whistleblowers in the name of the government or refusal to allow us to enter into supply contracts, including government contracts, and the curtailment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44"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4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headquarters are located in Burnaby, British Columbia, where we occupy approximately 33,600 square feet of office and laboratory space. The term of the lease expires in March 2022. We currently pay an aggregate of approximately $85,621 per month in base rent, property tax, common area maintenance fees and management fees, and the landlord holds a security deposit equal to approximately $80,329. We believe that our existing facilities are adequate to meet our business requirements for the near-term and that additional space will be available on commercially reasonable terms, if required.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development of new regulations will affect our business operations or the cost of compliance.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44"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As of September 30, 2014, we had 74 employees, including 63 full-time employees. Of our employees, 53 were primarily engaged in research and development, and 23 of whom hold a Ph.D. or M.D. (or equivalent) degree. None of our employees is represented by a labor union. We have not experienced any work stoppages, and we consider our relations with our employees to be good.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80"/>
          </w:cols>
          <w:pgMar w:left="240" w:top="444" w:right="27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current executive officers and directors, and their ages as of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AGE</w:t>
            </w:r>
          </w:p>
        </w:tc>
        <w:tc>
          <w:tcPr>
            <w:tcW w:w="4500" w:type="dxa"/>
            <w:vAlign w:val="bottom"/>
            <w:gridSpan w:val="2"/>
          </w:tcPr>
          <w:p>
            <w:pPr>
              <w:spacing w:after="0"/>
              <w:rPr>
                <w:sz w:val="20"/>
                <w:szCs w:val="20"/>
                <w:color w:val="auto"/>
              </w:rPr>
            </w:pPr>
            <w:r>
              <w:rPr>
                <w:rFonts w:ascii="Arial" w:cs="Arial" w:eastAsia="Arial" w:hAnsi="Arial"/>
                <w:sz w:val="13"/>
                <w:szCs w:val="13"/>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70"/>
        </w:trPr>
        <w:tc>
          <w:tcPr>
            <w:tcW w:w="4820" w:type="dxa"/>
            <w:vAlign w:val="bottom"/>
            <w:gridSpan w:val="2"/>
          </w:tcPr>
          <w:p>
            <w:pPr>
              <w:spacing w:after="0" w:line="170" w:lineRule="exact"/>
              <w:rPr>
                <w:sz w:val="20"/>
                <w:szCs w:val="20"/>
                <w:color w:val="auto"/>
              </w:rPr>
            </w:pPr>
            <w:r>
              <w:rPr>
                <w:rFonts w:ascii="Arial" w:cs="Arial" w:eastAsia="Arial" w:hAnsi="Arial"/>
                <w:sz w:val="17"/>
                <w:szCs w:val="17"/>
                <w:b w:val="1"/>
                <w:bCs w:val="1"/>
                <w:color w:val="auto"/>
              </w:rPr>
              <w:t>Executive Officers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Simon Pimstone, M.B. ChB., Ph.D.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47</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President, Chief Executive Officer and Director</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Gary Bridger, Ph.D.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51</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Executive Vice President of Research and Development</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Charles J. Cohen, Ph.D.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66</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Vice President, Biology</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Karen G. Corraini, J.D.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59</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General Counsel and Corporate Secretary</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Y. Paul Goldberg, M.B. ChB., Ph.D.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54</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Vice President of Clinical Development</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Ian Mortimer, MBA, CPA, CMA</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38</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Chief Financial Officer</w:t>
            </w:r>
          </w:p>
        </w:tc>
      </w:tr>
      <w:tr>
        <w:trPr>
          <w:trHeight w:val="202"/>
        </w:trPr>
        <w:tc>
          <w:tcPr>
            <w:tcW w:w="4820" w:type="dxa"/>
            <w:vAlign w:val="bottom"/>
            <w:gridSpan w:val="2"/>
          </w:tcPr>
          <w:p>
            <w:pPr>
              <w:spacing w:after="0"/>
              <w:rPr>
                <w:sz w:val="20"/>
                <w:szCs w:val="20"/>
                <w:color w:val="auto"/>
              </w:rPr>
            </w:pPr>
            <w:r>
              <w:rPr>
                <w:rFonts w:ascii="Arial" w:cs="Arial" w:eastAsia="Arial" w:hAnsi="Arial"/>
                <w:sz w:val="17"/>
                <w:szCs w:val="17"/>
                <w:color w:val="auto"/>
              </w:rPr>
              <w:t>Robin Sherrington,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53</w:t>
            </w:r>
          </w:p>
        </w:tc>
        <w:tc>
          <w:tcPr>
            <w:tcW w:w="4500" w:type="dxa"/>
            <w:vAlign w:val="bottom"/>
            <w:gridSpan w:val="2"/>
          </w:tcPr>
          <w:p>
            <w:pPr>
              <w:spacing w:after="0"/>
              <w:rPr>
                <w:sz w:val="20"/>
                <w:szCs w:val="20"/>
                <w:color w:val="auto"/>
              </w:rPr>
            </w:pPr>
            <w:r>
              <w:rPr>
                <w:rFonts w:ascii="Arial" w:cs="Arial" w:eastAsia="Arial" w:hAnsi="Arial"/>
                <w:sz w:val="17"/>
                <w:szCs w:val="17"/>
                <w:color w:val="auto"/>
                <w:w w:val="97"/>
              </w:rPr>
              <w:t>Senior Vice President of Business &amp; Corporate Development</w:t>
            </w:r>
          </w:p>
        </w:tc>
      </w:tr>
      <w:tr>
        <w:trPr>
          <w:trHeight w:val="289"/>
        </w:trPr>
        <w:tc>
          <w:tcPr>
            <w:tcW w:w="4820" w:type="dxa"/>
            <w:vAlign w:val="bottom"/>
            <w:gridSpan w:val="2"/>
          </w:tcPr>
          <w:p>
            <w:pPr>
              <w:spacing w:after="0"/>
              <w:rPr>
                <w:sz w:val="20"/>
                <w:szCs w:val="20"/>
                <w:color w:val="auto"/>
              </w:rPr>
            </w:pPr>
            <w:r>
              <w:rPr>
                <w:rFonts w:ascii="Arial" w:cs="Arial" w:eastAsia="Arial" w:hAnsi="Arial"/>
                <w:sz w:val="17"/>
                <w:szCs w:val="17"/>
                <w:b w:val="1"/>
                <w:bCs w:val="1"/>
                <w:color w:val="auto"/>
              </w:rPr>
              <w:t>Non-Employee Directors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Michael Tarnow </w:t>
            </w:r>
            <w:r>
              <w:rPr>
                <w:rFonts w:ascii="Arial" w:cs="Arial" w:eastAsia="Arial" w:hAnsi="Arial"/>
                <w:sz w:val="21"/>
                <w:szCs w:val="21"/>
                <w:color w:val="auto"/>
                <w:vertAlign w:val="superscript"/>
              </w:rPr>
              <w:t>(1)(2)(3)</w:t>
            </w:r>
            <w:r>
              <w:rPr>
                <w:rFonts w:ascii="Arial" w:cs="Arial" w:eastAsia="Arial" w:hAnsi="Arial"/>
                <w:sz w:val="17"/>
                <w:szCs w:val="17"/>
                <w:color w:val="auto"/>
              </w:rPr>
              <w:t>.</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70</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Chair of the Board</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Mohammad Azab, MBA, M.B. ChB. </w:t>
            </w:r>
            <w:r>
              <w:rPr>
                <w:rFonts w:ascii="Arial" w:cs="Arial" w:eastAsia="Arial" w:hAnsi="Arial"/>
                <w:sz w:val="21"/>
                <w:szCs w:val="21"/>
                <w:color w:val="auto"/>
                <w:vertAlign w:val="superscript"/>
              </w:rPr>
              <w:t>(2)(3)</w:t>
            </w:r>
            <w:r>
              <w:rPr>
                <w:rFonts w:ascii="Arial" w:cs="Arial" w:eastAsia="Arial" w:hAnsi="Arial"/>
                <w:sz w:val="17"/>
                <w:szCs w:val="17"/>
                <w:color w:val="auto"/>
              </w:rPr>
              <w:t>.</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58</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Johnston L. Evans </w:t>
            </w:r>
            <w:r>
              <w:rPr>
                <w:rFonts w:ascii="Arial" w:cs="Arial" w:eastAsia="Arial" w:hAnsi="Arial"/>
                <w:sz w:val="21"/>
                <w:szCs w:val="21"/>
                <w:color w:val="auto"/>
                <w:vertAlign w:val="superscript"/>
              </w:rPr>
              <w:t>(1)</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66</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Michael Hayden, M.B. ChB., Ph.D.</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62</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Frank Holler </w:t>
            </w:r>
            <w:r>
              <w:rPr>
                <w:rFonts w:ascii="Arial" w:cs="Arial" w:eastAsia="Arial" w:hAnsi="Arial"/>
                <w:sz w:val="21"/>
                <w:szCs w:val="21"/>
                <w:color w:val="auto"/>
                <w:vertAlign w:val="superscript"/>
              </w:rPr>
              <w:t>(1)</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57</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Director</w:t>
            </w:r>
          </w:p>
        </w:tc>
      </w:tr>
      <w:tr>
        <w:trPr>
          <w:trHeight w:val="194"/>
        </w:trPr>
        <w:tc>
          <w:tcPr>
            <w:tcW w:w="482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Gary Patou, M.B. B.S., M.D. </w:t>
            </w:r>
            <w:r>
              <w:rPr>
                <w:rFonts w:ascii="Arial" w:cs="Arial" w:eastAsia="Arial" w:hAnsi="Arial"/>
                <w:sz w:val="21"/>
                <w:szCs w:val="21"/>
                <w:color w:val="auto"/>
                <w:vertAlign w:val="superscript"/>
              </w:rPr>
              <w:t>(2)(3)</w:t>
            </w:r>
          </w:p>
        </w:tc>
        <w:tc>
          <w:tcPr>
            <w:tcW w:w="62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55</w:t>
            </w:r>
          </w:p>
        </w:tc>
        <w:tc>
          <w:tcPr>
            <w:tcW w:w="4500" w:type="dxa"/>
            <w:vAlign w:val="bottom"/>
            <w:gridSpan w:val="2"/>
          </w:tcPr>
          <w:p>
            <w:pPr>
              <w:spacing w:after="0" w:line="194" w:lineRule="exact"/>
              <w:rPr>
                <w:sz w:val="20"/>
                <w:szCs w:val="20"/>
                <w:color w:val="auto"/>
              </w:rPr>
            </w:pPr>
            <w:r>
              <w:rPr>
                <w:rFonts w:ascii="Arial" w:cs="Arial" w:eastAsia="Arial" w:hAnsi="Arial"/>
                <w:sz w:val="17"/>
                <w:szCs w:val="17"/>
                <w:color w:val="auto"/>
              </w:rPr>
              <w:t>Director</w:t>
            </w:r>
          </w:p>
        </w:tc>
      </w:tr>
      <w:tr>
        <w:trPr>
          <w:trHeight w:val="202"/>
        </w:trPr>
        <w:tc>
          <w:tcPr>
            <w:tcW w:w="4820" w:type="dxa"/>
            <w:vAlign w:val="bottom"/>
            <w:gridSpan w:val="2"/>
          </w:tcPr>
          <w:p>
            <w:pPr>
              <w:spacing w:after="0"/>
              <w:rPr>
                <w:sz w:val="20"/>
                <w:szCs w:val="20"/>
                <w:color w:val="auto"/>
              </w:rPr>
            </w:pPr>
            <w:r>
              <w:rPr>
                <w:rFonts w:ascii="Arial" w:cs="Arial" w:eastAsia="Arial" w:hAnsi="Arial"/>
                <w:sz w:val="17"/>
                <w:szCs w:val="17"/>
                <w:color w:val="auto"/>
              </w:rPr>
              <w:t>Evan A. Stein, M.B. ChB., Ph.D.</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68</w:t>
            </w:r>
          </w:p>
        </w:tc>
        <w:tc>
          <w:tcPr>
            <w:tcW w:w="450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8" w:lineRule="exact"/>
        <w:rPr>
          <w:sz w:val="20"/>
          <w:szCs w:val="20"/>
          <w:color w:val="auto"/>
        </w:rPr>
      </w:pPr>
    </w:p>
    <w:p>
      <w:pPr>
        <w:ind w:left="320" w:hanging="264"/>
        <w:spacing w:after="0"/>
        <w:tabs>
          <w:tab w:leader="none" w:pos="320" w:val="left"/>
        </w:tabs>
        <w:numPr>
          <w:ilvl w:val="0"/>
          <w:numId w:val="80"/>
        </w:numPr>
        <w:rPr>
          <w:rFonts w:ascii="Arial" w:cs="Arial" w:eastAsia="Arial" w:hAnsi="Arial"/>
          <w:sz w:val="22"/>
          <w:szCs w:val="22"/>
          <w:color w:val="auto"/>
          <w:vertAlign w:val="superscript"/>
        </w:rPr>
      </w:pPr>
      <w:r>
        <w:rPr>
          <w:rFonts w:ascii="Arial" w:cs="Arial" w:eastAsia="Arial" w:hAnsi="Arial"/>
          <w:sz w:val="13"/>
          <w:szCs w:val="13"/>
          <w:color w:val="auto"/>
        </w:rPr>
        <w:t>Member of the audit committee.</w:t>
      </w:r>
    </w:p>
    <w:p>
      <w:pPr>
        <w:spacing w:after="0" w:line="12" w:lineRule="exact"/>
        <w:rPr>
          <w:rFonts w:ascii="Arial" w:cs="Arial" w:eastAsia="Arial" w:hAnsi="Arial"/>
          <w:sz w:val="22"/>
          <w:szCs w:val="22"/>
          <w:color w:val="auto"/>
          <w:vertAlign w:val="superscript"/>
        </w:rPr>
      </w:pPr>
    </w:p>
    <w:p>
      <w:pPr>
        <w:ind w:left="320" w:hanging="264"/>
        <w:spacing w:after="0" w:line="190" w:lineRule="auto"/>
        <w:tabs>
          <w:tab w:leader="none" w:pos="320" w:val="left"/>
        </w:tabs>
        <w:numPr>
          <w:ilvl w:val="0"/>
          <w:numId w:val="80"/>
        </w:numPr>
        <w:rPr>
          <w:rFonts w:ascii="Arial" w:cs="Arial" w:eastAsia="Arial" w:hAnsi="Arial"/>
          <w:sz w:val="17"/>
          <w:szCs w:val="17"/>
          <w:color w:val="auto"/>
          <w:vertAlign w:val="superscript"/>
        </w:rPr>
      </w:pPr>
      <w:r>
        <w:rPr>
          <w:rFonts w:ascii="Arial" w:cs="Arial" w:eastAsia="Arial" w:hAnsi="Arial"/>
          <w:sz w:val="11"/>
          <w:szCs w:val="11"/>
          <w:color w:val="auto"/>
        </w:rPr>
        <w:t>Member of the compensation committee.</w:t>
      </w:r>
    </w:p>
    <w:p>
      <w:pPr>
        <w:spacing w:after="0" w:line="13" w:lineRule="exact"/>
        <w:rPr>
          <w:rFonts w:ascii="Arial" w:cs="Arial" w:eastAsia="Arial" w:hAnsi="Arial"/>
          <w:sz w:val="17"/>
          <w:szCs w:val="17"/>
          <w:color w:val="auto"/>
          <w:vertAlign w:val="superscript"/>
        </w:rPr>
      </w:pPr>
    </w:p>
    <w:p>
      <w:pPr>
        <w:ind w:left="320" w:hanging="264"/>
        <w:spacing w:after="0" w:line="190" w:lineRule="auto"/>
        <w:tabs>
          <w:tab w:leader="none" w:pos="320" w:val="left"/>
        </w:tabs>
        <w:numPr>
          <w:ilvl w:val="0"/>
          <w:numId w:val="80"/>
        </w:numPr>
        <w:rPr>
          <w:rFonts w:ascii="Arial" w:cs="Arial" w:eastAsia="Arial" w:hAnsi="Arial"/>
          <w:sz w:val="17"/>
          <w:szCs w:val="17"/>
          <w:color w:val="auto"/>
          <w:vertAlign w:val="superscript"/>
        </w:rPr>
      </w:pPr>
      <w:r>
        <w:rPr>
          <w:rFonts w:ascii="Arial" w:cs="Arial" w:eastAsia="Arial" w:hAnsi="Arial"/>
          <w:sz w:val="11"/>
          <w:szCs w:val="11"/>
          <w:color w:val="auto"/>
        </w:rPr>
        <w:t>Member of the nominating and corporate governance committee.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52"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 xml:space="preserve">Simon Pimstone, M.B. ChB., Ph.D., FRCPC </w:t>
      </w:r>
      <w:r>
        <w:rPr>
          <w:rFonts w:ascii="Arial" w:cs="Arial" w:eastAsia="Arial" w:hAnsi="Arial"/>
          <w:sz w:val="17"/>
          <w:szCs w:val="17"/>
          <w:color w:val="auto"/>
        </w:rPr>
        <w:t>co-founded our company, has served as our President and Chief Executive Officer since January 2003,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on our board of directors since our inception in November 1996. Prior to founding our company, Dr. Pimstone trained as a clinical research fellow with the Department of Medical Genetics at the University of British Columbia from 1994 until 1998, where he was responsible for managing a provincial lipid clinic outreach program providing lipid management to at risk patients in the Province of British Columbia. Dr. Pimstone holds an M.B. ChB. from the University of Cape Town, a FRCPC from the University of British Columbia, and a Ph.D. from the University of Amsterdam in cardiovascular genetics. Dr. Pimstone is a member and former chair of the board of directors of LifeSciences British Columbia, a non-profit industry association that supports the life science community. Dr. Pimstone also serves as director of the private biotechnology companies Enject Therapeutics Inc., Eupraxia Pharmaceuticals Inc. and Cyon Therapeutics Inc. Our board of directors believes that Dr. Pimstone possesses specific attributes that qualify him to serve as a director, including his extensive executive leadership experience, many years of service on our board of directors and as our Chief Executive Officer and extensive knowledge of our company and industry.</w:t>
      </w:r>
    </w:p>
    <w:p>
      <w:pPr>
        <w:spacing w:after="0" w:line="89" w:lineRule="exact"/>
        <w:rPr>
          <w:sz w:val="20"/>
          <w:szCs w:val="20"/>
          <w:color w:val="auto"/>
        </w:rPr>
      </w:pPr>
    </w:p>
    <w:p>
      <w:pPr>
        <w:spacing w:after="0" w:line="242" w:lineRule="auto"/>
        <w:rPr>
          <w:sz w:val="20"/>
          <w:szCs w:val="20"/>
          <w:color w:val="auto"/>
        </w:rPr>
      </w:pPr>
      <w:r>
        <w:rPr>
          <w:rFonts w:ascii="Arial" w:cs="Arial" w:eastAsia="Arial" w:hAnsi="Arial"/>
          <w:sz w:val="17"/>
          <w:szCs w:val="17"/>
          <w:i w:val="1"/>
          <w:iCs w:val="1"/>
          <w:color w:val="auto"/>
        </w:rPr>
        <w:t>Gary Bridger, Ph.D</w:t>
      </w:r>
      <w:r>
        <w:rPr>
          <w:rFonts w:ascii="Arial" w:cs="Arial" w:eastAsia="Arial" w:hAnsi="Arial"/>
          <w:sz w:val="17"/>
          <w:szCs w:val="17"/>
          <w:color w:val="auto"/>
        </w:rPr>
        <w:t>. has served as our Executive Vice President of Research and Development since January 2013. Dr. Bridger serves as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at Five Corners Capital, which has been appointed to manage the remaining portfolio of biotechnology and technology investments of Ventures West Capital Management, a venture capital firm. Dr. Bridger also serves on the board of directors at Alder BioPharmaceuticals, Inc., a clinical-stage biopharmaceutical company. Dr. Bridger served as a venture partner for Ventures West from June 2010 until June 2012. From January 2008 to May 2010, Dr. Bridger served as a consultant to various biotechnology companies. Prior to Ventures West Capital Management, Dr. Bridger worked at Genzyme Corporation (subsequently acquired by Sanofi, S.A.), a global pharmaceutical company focused on rare diseases and multiple sclerosis, from November 2006 until December 2007. In this position he assisted with development, regulatory and commercial strategies for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444" w:right="23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Mozobil. Prior to Genzyme, Dr. Bridger co-founded AnorMED Inc., a biopharmaceutical company, in June 1996 and was its Chief Scientific Officer from 2000 until its acquisition by Genzyme in November 2006. At AnorMED, he was responsible for research, development, and clinical programs. Dr. Bridger currently serves on the Scientific Advisory Board of Alectos Therapeutics Inc., a private company that discovers and develops novel small-molecule therapeutics. Dr. Bridger received his Ph.D. in Organic Chemistry from the University of Manchester Institute of Science and Technology (United Kingdom) and completed a post-doctoral fellowship at Boston College.</w:t>
      </w:r>
    </w:p>
    <w:p>
      <w:pPr>
        <w:spacing w:after="0" w:line="13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i w:val="1"/>
          <w:iCs w:val="1"/>
          <w:color w:val="auto"/>
        </w:rPr>
        <w:t xml:space="preserve">Charles J. Cohen, Ph.D. </w:t>
      </w:r>
      <w:r>
        <w:rPr>
          <w:rFonts w:ascii="Arial" w:cs="Arial" w:eastAsia="Arial" w:hAnsi="Arial"/>
          <w:sz w:val="17"/>
          <w:szCs w:val="17"/>
          <w:color w:val="auto"/>
        </w:rPr>
        <w:t>has served as our Vice President, Biology since 2008. Prior to joining us, Dr. Cohen worked at Vertex Pharmaceuticals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Fellow II from 2004 to 2008. In this position he led biology teams targeting neuropathic pain and neuroinflammation. From 1986 to 2004, Dr. Cohen worked at Merck Research Laboratories, or MRL. From 2000 to 2004, he served as Director of Neuroscience and was world-wide coordinator of MRL’s research on multiple sclerosis and neuroinflammation. From 1986 to 2000, Dr. Cohen was a member of the Ion Channel department, advancing to the level of Senior Investigator. Prior to MRL, Dr. Cohen served as a Senior Scientist at Bayer Pharmaceuticals. Dr. Cohen received his Ph.D. in Biophysics and Theoretical Biology from the University of Chicago and received post-doctoral training in the Department of Cardiology at the University of Chicago and the Department of Physiology at Yale University.</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Karen G. Corraini</w:t>
      </w:r>
      <w:r>
        <w:rPr>
          <w:rFonts w:ascii="Arial" w:cs="Arial" w:eastAsia="Arial" w:hAnsi="Arial"/>
          <w:sz w:val="17"/>
          <w:szCs w:val="17"/>
          <w:color w:val="auto"/>
        </w:rPr>
        <w:t>,</w:t>
      </w:r>
      <w:r>
        <w:rPr>
          <w:rFonts w:ascii="Arial" w:cs="Arial" w:eastAsia="Arial" w:hAnsi="Arial"/>
          <w:sz w:val="17"/>
          <w:szCs w:val="17"/>
          <w:i w:val="1"/>
          <w:iCs w:val="1"/>
          <w:color w:val="auto"/>
        </w:rPr>
        <w:t xml:space="preserve"> J.D. </w:t>
      </w:r>
      <w:r>
        <w:rPr>
          <w:rFonts w:ascii="Arial" w:cs="Arial" w:eastAsia="Arial" w:hAnsi="Arial"/>
          <w:sz w:val="17"/>
          <w:szCs w:val="17"/>
          <w:color w:val="auto"/>
        </w:rPr>
        <w:t>has served as our General Counsel and Corporate Secretary since February 2003, and has held various positions since joining us</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2001. Prior to joining us, Ms. Corraini practiced law at McCarthy Tétrault LLP from January 2000 until June 2001. From 1996 to 1999,</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Ms. Corraini was Managing Director and Chief Executive Officer of the Canadian Bacterial Diseases Network, an organization focused on the discovery and commercialization of microbiology-related research from a Canada-wide consortium of researchers. Prior to that, Ms. Corraini practiced law at the Canadian law firms of Goldsmith and Harshorne and Ferguson Gifford. Ms. Corraini is a member of the board of the Cystic Fibrosis Technology Initiative and of the British Columbia Chapter of the Association of Corporate Counsel. She also serves as a member of the Research Advisory Council for Cystic Fibrosis Canada. She received her Medical Laboratory Technology Degree from SAIT and Foothills Hospital, and a J.D. from the University of Victoria.</w:t>
      </w:r>
    </w:p>
    <w:p>
      <w:pPr>
        <w:spacing w:after="0" w:line="77"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 xml:space="preserve">Y. Paul Goldberg, M.B. ChB., Ph.D., FRCPC </w:t>
      </w:r>
      <w:r>
        <w:rPr>
          <w:rFonts w:ascii="Arial" w:cs="Arial" w:eastAsia="Arial" w:hAnsi="Arial"/>
          <w:sz w:val="17"/>
          <w:szCs w:val="17"/>
          <w:color w:val="auto"/>
        </w:rPr>
        <w:t>has served as our Vice President of Clinical Development since February 2010, as our Senior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Biology and Target Discovery from 2002 until February 2010, as our Senior Director, Scientific Programs from 2001 until 2002, and as our Director and Senior Scientist from 2000 until 2002. Since 2000 Dr. Goldberg has also worked at the University of British Columbia in the Department of Medical Genetics as a Medical Geneticist, Clinical Assistant Professor. Dr. Goldberg received his M.B. ChB. and Ph.D. from the University of Cape Town, and he obtained his specialization in clinical genetics, FRCPC from the University of British Columbia.</w:t>
      </w:r>
    </w:p>
    <w:p>
      <w:pPr>
        <w:spacing w:after="0" w:line="12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i w:val="1"/>
          <w:iCs w:val="1"/>
          <w:color w:val="auto"/>
        </w:rPr>
        <w:t xml:space="preserve">Ian Mortimer, MBA, CPA, CMA </w:t>
      </w:r>
      <w:r>
        <w:rPr>
          <w:rFonts w:ascii="Arial" w:cs="Arial" w:eastAsia="Arial" w:hAnsi="Arial"/>
          <w:sz w:val="16"/>
          <w:szCs w:val="16"/>
          <w:color w:val="auto"/>
        </w:rPr>
        <w:t>has served as our Chief Financial Officer since October 2013. Prior to joining us, Mr. Mortimer served as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Financial Officer at Tekmira Pharmaceuticals Corporation, or Tekmira, a NASDAQ-listed biotechnology company focused on the development of RNA interference, or RNAi, therapeutic drugs, from 2007 until October 2013. Mr. Mortimer was responsible for all aspects of Tekmira’s finance and capital markets activities and led Tekmira’s listing on NASDAQ in 2010. From 2004 to 2007, Mr. Mortimer was Chief Financial Officer at Inex Pharmaceuticals and held various other positions at Inex Pharmaceuticals from 1997 to 2004. Mr. Mortimer has an M.B.A. from Queen’s University, a B.Sc. in Microbiology from the University of British Columbia and is a Chartered Professional Accountant, Certified Management Accountant.</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Robin Sherrington, Ph.D</w:t>
      </w:r>
      <w:r>
        <w:rPr>
          <w:rFonts w:ascii="Arial" w:cs="Arial" w:eastAsia="Arial" w:hAnsi="Arial"/>
          <w:sz w:val="17"/>
          <w:szCs w:val="17"/>
          <w:color w:val="auto"/>
        </w:rPr>
        <w:t>. has served as our Senior Vice President of Business &amp; Corporate Development since February 2012, as our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&amp; Corporate Development from January 2010 to February 2012, and has held various Senior Director positions in business development and other departments since joining us in March 2001. Prior to joining us, Dr. Sherrington worked at Pfizer, Inc., a global pharmaceutical company, as a neuroscientist from 1999 to 2001. Dr. Sherrington also previously served as Director of Neuroscience, from 1996 to 1999, at the biotechnology companies Axys Pharmaceuticals and Sequana Therapeutics. Prior to 1996 Dr. Sherrington was a post-doctoral fellow at University of Toronto, received his Ph.D. from the University College London, and his B.Sc. with honors from University of Reading.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4"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26"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i w:val="1"/>
          <w:iCs w:val="1"/>
          <w:color w:val="auto"/>
        </w:rPr>
        <w:t xml:space="preserve">Michael Tarnow </w:t>
      </w:r>
      <w:r>
        <w:rPr>
          <w:rFonts w:ascii="Arial" w:cs="Arial" w:eastAsia="Arial" w:hAnsi="Arial"/>
          <w:sz w:val="17"/>
          <w:szCs w:val="17"/>
          <w:color w:val="auto"/>
        </w:rPr>
        <w:t>has served as chair of our board of directors since May 1999. Since 1995, Mr. Tarnow has been an advisor to and member of the boards</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private and public healthcare and biotechnology companies in the U.S., Canada and Europe, including Axcan Pharma, Creative Biomolecules, Inc, Caprion Pharmaceuticals Inc. and MediGene AG. He served as Chairman of EntreMed, Inc., or EntreMed, from February 2003 to February 2009, and served as Executive Chairman of EntreMed from February 2009 to January 2012. Mr. Tarnow holds a B.B.A. in Business Administration from Wayne State University and a J.D. from the University of Illinois, College of Law. Our board of directors believes that Mr. Tarnow is qualified to serve on our board of directors because of his senior management experience in the biopharmaceutical industry and his knowledge and perspective on our business.</w:t>
      </w:r>
    </w:p>
    <w:p>
      <w:pPr>
        <w:spacing w:after="0" w:line="9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Mohammad Azab, MBA, M.B. ChB. </w:t>
      </w:r>
      <w:r>
        <w:rPr>
          <w:rFonts w:ascii="Arial" w:cs="Arial" w:eastAsia="Arial" w:hAnsi="Arial"/>
          <w:sz w:val="16"/>
          <w:szCs w:val="16"/>
          <w:color w:val="auto"/>
        </w:rPr>
        <w:t>has served as a member of our board of directors since October 2003. Dr. Azab has been the Chief Medical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Astex Pharmaceuticals, Inc., a pharmaceutical company focused on the discovery and development of drugs in oncology and other areas, since July 2009 and has been President and Chief Medical Officer of Astex since January 2014. Prior to joining Astex, he was with Intradigm Corporation, a developer of RNAi therapeutics acquired by Silence Therapeutics PLC, where he served as President and Chief Executive Officer from July 2006 until November 2008 and as a director from July 2006 until January 2010. Prior to Intradigm Corporation, he served as Executive Vice President, of Research and Development and Chief Medical Officer for QLT Inc., and held several senior positions at AstraZeneca and Sanofi. Dr. Azab holds an M.B.A. from the Richard Ivey School of Business, University of Western Ontario, and an M.B. ChB. from Cairo University. He received post-graduate training and degrees in oncology research from the University of Paris-Sud and biostatistics from the University of Pierre et Marie Curie in Paris, France. Our board of directors believes Dr. Azab is qualified to serve on the board of directors because of his extensive senior management experience in our industry.</w:t>
      </w:r>
    </w:p>
    <w:p>
      <w:pPr>
        <w:spacing w:after="0" w:line="7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i w:val="1"/>
          <w:iCs w:val="1"/>
          <w:color w:val="auto"/>
        </w:rPr>
        <w:t xml:space="preserve">Johnston L. Evans </w:t>
      </w:r>
      <w:r>
        <w:rPr>
          <w:rFonts w:ascii="Arial" w:cs="Arial" w:eastAsia="Arial" w:hAnsi="Arial"/>
          <w:sz w:val="17"/>
          <w:szCs w:val="17"/>
          <w:color w:val="auto"/>
        </w:rPr>
        <w:t>has served as a member of our board of directors since March 2008. Mr. Evans has been a General Partner at Invesco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Inc., a venture capital firm, and its predecessor since 1995. He served as a member of the board of directors of E2open, Inc., a publicly-traded software solutions provider, from June 2005 to November 2013. Mr. Evans holds a B.A. in Political Science from Boston University. Our board of directors believes that Mr. Evans’ qualifications to serve on our board of directors include his extensive experience as a venture capital investor and a director of a public company.</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 xml:space="preserve">Michael Hayden, M.B. ChB., Ph.D., FRCPC </w:t>
      </w:r>
      <w:r>
        <w:rPr>
          <w:rFonts w:ascii="Arial" w:cs="Arial" w:eastAsia="Arial" w:hAnsi="Arial"/>
          <w:sz w:val="16"/>
          <w:szCs w:val="16"/>
          <w:color w:val="auto"/>
        </w:rPr>
        <w:t>co-founded our company and has served as a member of our board of directors since November 1996.</w:t>
      </w:r>
      <w:r>
        <w:rPr>
          <w:rFonts w:ascii="Arial" w:cs="Arial" w:eastAsia="Arial" w:hAnsi="Arial"/>
          <w:sz w:val="16"/>
          <w:szCs w:val="16"/>
          <w:i w:val="1"/>
          <w:iCs w:val="1"/>
          <w:color w:val="auto"/>
        </w:rPr>
        <w:t xml:space="preserve"> </w:t>
      </w:r>
      <w:r>
        <w:rPr>
          <w:rFonts w:ascii="Arial" w:cs="Arial" w:eastAsia="Arial" w:hAnsi="Arial"/>
          <w:sz w:val="16"/>
          <w:szCs w:val="16"/>
          <w:color w:val="auto"/>
        </w:rPr>
        <w:t>Dr. Hayden previously served as our Chief Scientific Officer from January 1997 to September 2012. Since September 2012, Dr. Hayden has been Chief Scientific Officer and President of Global Research &amp; Development of Teva Pharmaceutical Industries Ltd. Dr. Hayden has also been a professor of Medical Genetics at the University of British Columbia since August 1983 and Director of the Center for Molecular Medicine and Therapeutics since 1992. He is presently the Program Director of the Translational Laboratory in Genetic Medicine in Singapore. He received his Ph.D. and M.B. ChB. from the University of Cape Town and completed his post-doctoral fellowship and training at Harvard Medical School. Our board of directors believes Dr. Hayden is qualified to serve on our board of directors because of his scientific background and his extensive knowledge and perspective on our company.</w:t>
      </w:r>
    </w:p>
    <w:p>
      <w:pPr>
        <w:spacing w:after="0" w:line="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i w:val="1"/>
          <w:iCs w:val="1"/>
          <w:color w:val="auto"/>
        </w:rPr>
        <w:t xml:space="preserve">Frank Holler </w:t>
      </w:r>
      <w:r>
        <w:rPr>
          <w:rFonts w:ascii="Arial" w:cs="Arial" w:eastAsia="Arial" w:hAnsi="Arial"/>
          <w:sz w:val="16"/>
          <w:szCs w:val="16"/>
          <w:color w:val="auto"/>
        </w:rPr>
        <w:t>has served as a member of our board of directors since February 1999 and previously served as our President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1999 until June 2003. Since March 2004, Mr. Holler has been the Chief Executive Officer at BC Advantage Funds (VCC) Ltd., a venture capital firm that invests in emerging life science, cleantech and information technology companies, where he has served as Chairman since January 2010. Mr. Holler also served as President and Chief Executive Officer of ID Biomedical Corporation, a publicly-traded biotechnology company, from 1991 to 1998 and was a founding director of Angiotech Pharmaceuticals, a publicly-traded biotechnology company, from 1992 to 1997. Mr. Holler holds a B.A. in Economics and an M.B.A. from the University of British Columbia. Our board of directors believes Mr. Holler is qualified to serve on our board of directors because of his experience as a biotechnology entrepreneur and venture capitalist and his knowledge and perspective on our company.</w:t>
      </w:r>
    </w:p>
    <w:p>
      <w:pPr>
        <w:spacing w:after="0" w:line="76" w:lineRule="exact"/>
        <w:rPr>
          <w:sz w:val="20"/>
          <w:szCs w:val="20"/>
          <w:color w:val="auto"/>
        </w:rPr>
      </w:pPr>
    </w:p>
    <w:p>
      <w:pPr>
        <w:jc w:val="both"/>
        <w:ind w:right="400"/>
        <w:spacing w:after="0" w:line="252" w:lineRule="auto"/>
        <w:rPr>
          <w:sz w:val="20"/>
          <w:szCs w:val="20"/>
          <w:color w:val="auto"/>
        </w:rPr>
      </w:pPr>
      <w:r>
        <w:rPr>
          <w:rFonts w:ascii="Arial" w:cs="Arial" w:eastAsia="Arial" w:hAnsi="Arial"/>
          <w:sz w:val="17"/>
          <w:szCs w:val="17"/>
          <w:i w:val="1"/>
          <w:iCs w:val="1"/>
          <w:color w:val="auto"/>
        </w:rPr>
        <w:t xml:space="preserve">Gary Patou, M.B. B.S., M.D. </w:t>
      </w:r>
      <w:r>
        <w:rPr>
          <w:rFonts w:ascii="Arial" w:cs="Arial" w:eastAsia="Arial" w:hAnsi="Arial"/>
          <w:sz w:val="17"/>
          <w:szCs w:val="17"/>
          <w:color w:val="auto"/>
        </w:rPr>
        <w:t>has served as a member of our board of directors since January 2004. Dr. Patou has been a managing director of MPM</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 venture capital fund, since May 2005. He has served as Chief Medical Officer of Pacira Pharmaceuticals, Inc., a specialty pharmaceutical company, since January 2009. Dr. Patou has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444"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previously served in various positions at private pharmaceutical companies, including as Chief Medical Officer for Peplin, Ltd. from June 2006 to April 2007, Chief Medical Officer at Cerimon Pharmaceuticals, Inc., from June 2005 to June 2006, and Chief Medical Officer at Oscient Pharmaceuticals, Inc. from February 2004 to April 2005. Dr. Patou has held a number of academic appointments at University College &amp; Middlesex School of Medicine in London and holds an M.B. B.S. from University College Hospital, London and a B. Sc. in immunology from University College London. Our board of directors believes that Dr. Patou’s qualifications to serve on our board of directors include his scientific background and extensive senior management experience in our industry.</w:t>
      </w:r>
    </w:p>
    <w:p>
      <w:pPr>
        <w:spacing w:after="0" w:line="9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i w:val="1"/>
          <w:iCs w:val="1"/>
          <w:color w:val="auto"/>
        </w:rPr>
        <w:t xml:space="preserve">Evan A. Stein, M.B. ChB., Ph.D., FRCPC, FCAP </w:t>
      </w:r>
      <w:r>
        <w:rPr>
          <w:rFonts w:ascii="Arial" w:cs="Arial" w:eastAsia="Arial" w:hAnsi="Arial"/>
          <w:sz w:val="17"/>
          <w:szCs w:val="17"/>
          <w:color w:val="auto"/>
        </w:rPr>
        <w:t>has served as a member of our board of directors since June 2011 and from June 2006 to June 2009.</w:t>
      </w:r>
      <w:r>
        <w:rPr>
          <w:rFonts w:ascii="Arial" w:cs="Arial" w:eastAsia="Arial" w:hAnsi="Arial"/>
          <w:sz w:val="17"/>
          <w:szCs w:val="17"/>
          <w:i w:val="1"/>
          <w:iCs w:val="1"/>
          <w:color w:val="auto"/>
        </w:rPr>
        <w:t xml:space="preserve"> </w:t>
      </w:r>
      <w:r>
        <w:rPr>
          <w:rFonts w:ascii="Arial" w:cs="Arial" w:eastAsia="Arial" w:hAnsi="Arial"/>
          <w:sz w:val="17"/>
          <w:szCs w:val="17"/>
          <w:color w:val="auto"/>
        </w:rPr>
        <w:t>Dr. Stein previously served as Chief Scientific Officer and a member of the board of directors of Medpace LLC, a contract research organization servicing the pharmaceutical industry from January 2006 to December 2012. Medpace LLC was acquired by CCMP, a private equity firm, in 2011. Dr. Stein holds an M.B. ChB. and Ph.D. from the University of Witwatersrand Medical School in Johannesburg, South Africa. We believe that Dr. Stein’s qualifications to serve on our board of directors include his senior management experience in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and Risk Oversight</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board of directors is currently composed of eight members. Six of our directors are independent within the meaning of the independent director guidelines of The NASDAQ Global Market, or NASDAQ. Dr. Stein and Mr. Evans were elected to our board of directors pursuant to a nomination process set forth in a shareholders agreement. Contingent upon the closing of this offering, the provisions in the shareholders agreement providing for the nomination process will be eliminated. The articles and by-laws to be in effect upon the completion of this offering provide that the number of directors shall be at least one up to a maximum of ten and will be fixed from time to time by resolution of the board of directors. Each of our directors is subject to election at each annual meeting of our shareholders. There are no family relationships among any of the directors or executive officers.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During our 2013 fiscal year, our board of directors met eight times, four of which were in person.</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financial reporting and potential conflicts of interest. The nominating and corporate governance committee is responsible for overseeing the management of risks associated with the independence of our board of directors. While each committee is responsible for evaluating certain risks and overseeing the management of such risks, the entire board of directors is regularly informed through discussions with committee members about such risks. Our board of directors believes its administration of its risk oversight function has not affected our board of directors’ leadership structure.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Upon the completion of this offering, our common shares will be listed on NASDAQ. Under the NASDAQ rules, independent directors must comprise a majority of a listed company’s board of directors within a specified period of the completion of this offering. In addition, NASDAQ rules require that, subject to specified exceptions, each member of a listed company’s audit, compensation and nominating and governance committees be independent. Audit committee members must also satisfy the independence criteria set forth in Rule 10A-3 under the Securities Exchange Act of 1934, as amended.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To be considered independent for purposes of Rule 10A-3, a member of an audit committee of a listed company may not, other than in his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4"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October 2013, our board of directors undertook a review of its composition, the composition of its committees and the independence of directors and considered whether any director has a material relationship with us that could compromise his ability to exercise independent judgment in carrying out his responsibilities. Based upon information requested from and provided by each director concerning his background, employment and affiliations, including family relationships, our board of directors has determined that none of Mohammad Azab, Johnston Evans, Frank Holler, Gary Patou, Evan Stein and Michael Tarnow, representing six of our eight directors, has a relationship that would interfere with the exercise of independent judgment in carrying out the responsibilities of a director and that each of these directors is “independent” as that term is defined under NASDAQ rules. Our board of directors also determined that Frank Holler (chair), Johnston Evans and Michael Tarnow, who comprise our audit committee, Mohammad Azab (chair), Gary Patou and Michael Tarnow who comprise our compensation committee, and Gary Patou (chair), Mohammad Azab and Michael Tarnow who comprise our nominating and corporate governance committee, satisfy the independence standards for those committees established by applicable SEC rules and NASDAQ rules.</w:t>
      </w:r>
    </w:p>
    <w:p>
      <w:pPr>
        <w:spacing w:after="0" w:line="114"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making this determination, our board of directors considered the relationships that each non-employee director has with us and all other facts and circumstances our board of directors deemed relevant in determining their independence, including the beneficial ownership of our shares by each non-employee director.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4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board of directors has an audit committee, a compensation committee and a nominating and corporate governance committee, each of which has the composition and the responsibilities described below.</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Our audit committee oversees our corporate accounting and financial reporting process. Among other matters, the audit committee:</w:t>
      </w:r>
    </w:p>
    <w:p>
      <w:pPr>
        <w:spacing w:after="0" w:line="30" w:lineRule="exact"/>
        <w:rPr>
          <w:sz w:val="20"/>
          <w:szCs w:val="20"/>
          <w:color w:val="auto"/>
        </w:rPr>
      </w:pPr>
    </w:p>
    <w:p>
      <w:pPr>
        <w:ind w:left="780" w:hanging="441"/>
        <w:spacing w:after="0"/>
        <w:tabs>
          <w:tab w:leader="none" w:pos="780" w:val="left"/>
        </w:tabs>
        <w:numPr>
          <w:ilvl w:val="0"/>
          <w:numId w:val="81"/>
        </w:numPr>
        <w:rPr>
          <w:rFonts w:ascii="Arial" w:cs="Arial" w:eastAsia="Arial" w:hAnsi="Arial"/>
          <w:sz w:val="26"/>
          <w:szCs w:val="26"/>
          <w:color w:val="auto"/>
          <w:vertAlign w:val="superscript"/>
        </w:rPr>
      </w:pPr>
      <w:r>
        <w:rPr>
          <w:rFonts w:ascii="Arial" w:cs="Arial" w:eastAsia="Arial" w:hAnsi="Arial"/>
          <w:sz w:val="17"/>
          <w:szCs w:val="17"/>
          <w:color w:val="auto"/>
        </w:rPr>
        <w:t>approves the hiring, discharging and compensation of our independent auditors;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oversees the work of our independent auditors;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approves engagements of the independent auditors to render any audit or permissible non-audit services;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reviews on a periodic basis, or as appropriate, our investment policy and recommends to the board of directors any changes to such policy;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reviews company compliance with our investment policy;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reviews the qualifications, independence and performance of the independent auditors;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reviews financial statements, critical accounting policies and estimates;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reviews the adequacy and effectiveness of our internal controls; and</w:t>
      </w:r>
    </w:p>
    <w:p>
      <w:pPr>
        <w:spacing w:after="0" w:line="17" w:lineRule="exact"/>
        <w:rPr>
          <w:rFonts w:ascii="Arial" w:cs="Arial" w:eastAsia="Arial" w:hAnsi="Arial"/>
          <w:sz w:val="23"/>
          <w:szCs w:val="23"/>
          <w:color w:val="auto"/>
          <w:vertAlign w:val="superscript"/>
        </w:rPr>
      </w:pPr>
    </w:p>
    <w:p>
      <w:pPr>
        <w:ind w:left="780" w:right="180" w:hanging="441"/>
        <w:spacing w:after="0" w:line="191" w:lineRule="auto"/>
        <w:tabs>
          <w:tab w:leader="none" w:pos="780" w:val="left"/>
        </w:tabs>
        <w:numPr>
          <w:ilvl w:val="0"/>
          <w:numId w:val="81"/>
        </w:numPr>
        <w:rPr>
          <w:rFonts w:ascii="Arial" w:cs="Arial" w:eastAsia="Arial" w:hAnsi="Arial"/>
          <w:sz w:val="26"/>
          <w:szCs w:val="26"/>
          <w:color w:val="auto"/>
          <w:vertAlign w:val="superscript"/>
        </w:rPr>
      </w:pPr>
      <w:r>
        <w:rPr>
          <w:rFonts w:ascii="Arial" w:cs="Arial" w:eastAsia="Arial" w:hAnsi="Arial"/>
          <w:sz w:val="17"/>
          <w:szCs w:val="17"/>
          <w:color w:val="auto"/>
        </w:rPr>
        <w:t>reviews and discusses with management and the independent auditors the results of our annual audit, our quarterly financial statements and our publicly filed reports.</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current members of our audit committee are Frank Holler, Johnston Evans and Michael Tarnow. Mr. Holler serves as the chair of the committee. All members of our audit committee meet the requirements for financial literacy under the applicable rules and regulations of the SEC and NASDAQ. Our audit committee chair, Mr. Holler, is our audit committee financial expert, as that term is defined under the SEC rules implementing Section 407 of the Sarbanes-Oxley Act of 2002, and possesses financial sophistication, as defined under NASDAQ rules. Under the rules of the SEC and NASDAQ, members of the audit committee must also meet heightened independence standards. Our board of directors has determined that each of Messrs. Holler, Evans and Tarnow meet these heightened independence standards. Our audit committee operates under a written charter that satisfies the applicable standards of the SEC and NASDAQ.</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During 2013, our audit committee met six times.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Our compensation committee oversees our compensation policies, plans and benefits programs. Among other matters, the compensation committee:</w:t>
      </w:r>
    </w:p>
    <w:p>
      <w:pPr>
        <w:spacing w:after="0" w:line="127" w:lineRule="exact"/>
        <w:rPr>
          <w:sz w:val="20"/>
          <w:szCs w:val="20"/>
          <w:color w:val="auto"/>
        </w:rPr>
      </w:pPr>
    </w:p>
    <w:p>
      <w:pPr>
        <w:ind w:left="5580" w:right="2220" w:hanging="5241"/>
        <w:spacing w:after="0" w:line="292" w:lineRule="auto"/>
        <w:tabs>
          <w:tab w:leader="none" w:pos="784" w:val="left"/>
        </w:tabs>
        <w:numPr>
          <w:ilvl w:val="0"/>
          <w:numId w:val="82"/>
        </w:numPr>
        <w:rPr>
          <w:rFonts w:ascii="Arial" w:cs="Arial" w:eastAsia="Arial" w:hAnsi="Arial"/>
          <w:sz w:val="26"/>
          <w:szCs w:val="26"/>
          <w:color w:val="auto"/>
          <w:vertAlign w:val="superscript"/>
        </w:rPr>
      </w:pPr>
      <w:r>
        <w:rPr>
          <w:rFonts w:ascii="Arial" w:cs="Arial" w:eastAsia="Arial" w:hAnsi="Arial"/>
          <w:sz w:val="17"/>
          <w:szCs w:val="17"/>
          <w:color w:val="auto"/>
        </w:rPr>
        <w:t>reviews and recommends policies relating to compensation and benefits of our directors, officers and employees; 130</w:t>
      </w:r>
    </w:p>
    <w:p>
      <w:pPr>
        <w:sectPr>
          <w:pgSz w:w="11900" w:h="16838" w:orient="portrait"/>
          <w:cols w:equalWidth="0" w:num="1">
            <w:col w:w="11380"/>
          </w:cols>
          <w:pgMar w:left="240" w:top="444" w:right="2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19" w:lineRule="exact"/>
        <w:rPr>
          <w:sz w:val="20"/>
          <w:szCs w:val="20"/>
          <w:color w:val="auto"/>
        </w:rPr>
      </w:pPr>
    </w:p>
    <w:p>
      <w:pPr>
        <w:ind w:left="780" w:hanging="441"/>
        <w:spacing w:after="0"/>
        <w:tabs>
          <w:tab w:leader="none" w:pos="780" w:val="left"/>
        </w:tabs>
        <w:numPr>
          <w:ilvl w:val="0"/>
          <w:numId w:val="83"/>
        </w:numPr>
        <w:rPr>
          <w:rFonts w:ascii="Arial" w:cs="Arial" w:eastAsia="Arial" w:hAnsi="Arial"/>
          <w:sz w:val="26"/>
          <w:szCs w:val="26"/>
          <w:color w:val="auto"/>
          <w:vertAlign w:val="superscript"/>
        </w:rPr>
      </w:pPr>
      <w:r>
        <w:rPr>
          <w:rFonts w:ascii="Arial" w:cs="Arial" w:eastAsia="Arial" w:hAnsi="Arial"/>
          <w:sz w:val="17"/>
          <w:szCs w:val="17"/>
          <w:color w:val="auto"/>
        </w:rPr>
        <w:t>reviews and approves corporate goals and objectives relevant to compensation of our chief executive officer and other senior officers;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evaluates the performance of our officers in light of established goals and objectives;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recommends compensation of our officers based on its evaluations;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administers the issuance of stock options and other awards under our stock plans.</w:t>
      </w:r>
    </w:p>
    <w:p>
      <w:pPr>
        <w:spacing w:after="0" w:line="108"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current members of our compensation committee are Mohammad Azab, Gary Patou and Michael Tarnow. Dr. Azab serves as the chair of the committee. Each of the members of our compensation committee is an independent, outside and non-employee director under the applicable rules and regulations of the SEC, NASDAQ, the Internal Revenue Code of 1986, as amended, and the guidelines contained in National Instrument 58-201— Corporate Governance Guidelines, relating to compensation committee independence. Our compensation committee operates under a written charter that satisfies the applicable standards of the SEC and NASDAQ.</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During 2013, our compensation committee met four times.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Our nominating and corporate governance committee oversees and assists our board of directors in reviewing and recommending nominees for election as directors. Among other matters, the nominating and corporate governance committee:</w:t>
      </w:r>
    </w:p>
    <w:p>
      <w:pPr>
        <w:spacing w:after="0" w:line="20" w:lineRule="exact"/>
        <w:rPr>
          <w:sz w:val="20"/>
          <w:szCs w:val="20"/>
          <w:color w:val="auto"/>
        </w:rPr>
      </w:pPr>
    </w:p>
    <w:p>
      <w:pPr>
        <w:ind w:left="780" w:hanging="441"/>
        <w:spacing w:after="0"/>
        <w:tabs>
          <w:tab w:leader="none" w:pos="780" w:val="left"/>
        </w:tabs>
        <w:numPr>
          <w:ilvl w:val="0"/>
          <w:numId w:val="84"/>
        </w:numPr>
        <w:rPr>
          <w:rFonts w:ascii="Arial" w:cs="Arial" w:eastAsia="Arial" w:hAnsi="Arial"/>
          <w:sz w:val="26"/>
          <w:szCs w:val="26"/>
          <w:color w:val="auto"/>
          <w:vertAlign w:val="superscript"/>
        </w:rPr>
      </w:pPr>
      <w:r>
        <w:rPr>
          <w:rFonts w:ascii="Arial" w:cs="Arial" w:eastAsia="Arial" w:hAnsi="Arial"/>
          <w:sz w:val="17"/>
          <w:szCs w:val="17"/>
          <w:color w:val="auto"/>
        </w:rPr>
        <w:t>evaluates and makes recommendations regarding the organization and governance of the board of directors and its committees;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assesses the performance of members of the board of directors and makes recommendations regarding committee and chair assignments;</w:t>
      </w:r>
    </w:p>
    <w:p>
      <w:pPr>
        <w:spacing w:after="0" w:line="17" w:lineRule="exact"/>
        <w:rPr>
          <w:rFonts w:ascii="Arial" w:cs="Arial" w:eastAsia="Arial" w:hAnsi="Arial"/>
          <w:sz w:val="23"/>
          <w:szCs w:val="23"/>
          <w:color w:val="auto"/>
          <w:vertAlign w:val="superscript"/>
        </w:rPr>
      </w:pPr>
    </w:p>
    <w:p>
      <w:pPr>
        <w:ind w:left="780" w:right="80" w:hanging="441"/>
        <w:spacing w:after="0" w:line="191" w:lineRule="auto"/>
        <w:tabs>
          <w:tab w:leader="none" w:pos="780" w:val="left"/>
        </w:tabs>
        <w:numPr>
          <w:ilvl w:val="0"/>
          <w:numId w:val="84"/>
        </w:numPr>
        <w:rPr>
          <w:rFonts w:ascii="Arial" w:cs="Arial" w:eastAsia="Arial" w:hAnsi="Arial"/>
          <w:sz w:val="26"/>
          <w:szCs w:val="26"/>
          <w:color w:val="auto"/>
          <w:vertAlign w:val="superscript"/>
        </w:rPr>
      </w:pPr>
      <w:r>
        <w:rPr>
          <w:rFonts w:ascii="Arial" w:cs="Arial" w:eastAsia="Arial" w:hAnsi="Arial"/>
          <w:sz w:val="17"/>
          <w:szCs w:val="17"/>
          <w:color w:val="auto"/>
        </w:rPr>
        <w:t>recommends desired qualifications for board of directors membership and conducts searches for potential members of the board of directors;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84"/>
        </w:numPr>
        <w:rPr>
          <w:rFonts w:ascii="Arial" w:cs="Arial" w:eastAsia="Arial" w:hAnsi="Arial"/>
          <w:sz w:val="25"/>
          <w:szCs w:val="25"/>
          <w:color w:val="auto"/>
          <w:vertAlign w:val="superscript"/>
        </w:rPr>
      </w:pPr>
      <w:r>
        <w:rPr>
          <w:rFonts w:ascii="Arial" w:cs="Arial" w:eastAsia="Arial" w:hAnsi="Arial"/>
          <w:sz w:val="16"/>
          <w:szCs w:val="16"/>
          <w:color w:val="auto"/>
        </w:rPr>
        <w:t>reviews and makes recommendations with regard to our corporate governance guidelines.</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current members of our nominating and corporate governance committee are Mohammad Azab, Gary Patou and Michael Tarnow. Dr. Patou serves as the chair of the committee. Each of the members of our nominating and corporate governance committee is an independent director under the applicable rules and regulations of the SEC and NASDAQ relating to nominating and corporate governance committee independence. Our nominating and corporate governance committee operates under a written charter that satisfies the applicable standards of the SEC and NASDAQ.</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During 2013, our nominating and corporate governance committee did not meet.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from time to time establish other committees.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Pre-IPO Director Compensation Policies</w:t>
      </w:r>
    </w:p>
    <w:p>
      <w:pPr>
        <w:spacing w:after="0" w:line="44"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In January 2012, our board of directors established a policy, or the 2012 director compensation policy, with respect to the compensation of directors, effective January 1, 2012.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director compensation policy, our board of directors classified each director into one of the three following categories: (1) a “management director” is a director who is also an officer, or employed by us in a management role; (2) a “non-management director” is a director who is not an officer, and not employed by us in a management role; and (3) the chair of the board of directors. Management directors receive no compensation for their services on the board of directors.</w:t>
      </w:r>
    </w:p>
    <w:p>
      <w:pPr>
        <w:spacing w:after="0" w:line="109" w:lineRule="exact"/>
        <w:rPr>
          <w:sz w:val="20"/>
          <w:szCs w:val="20"/>
          <w:color w:val="auto"/>
        </w:rPr>
      </w:pPr>
    </w:p>
    <w:p>
      <w:pPr>
        <w:ind w:right="760"/>
        <w:spacing w:after="0" w:line="245" w:lineRule="auto"/>
        <w:rPr>
          <w:sz w:val="20"/>
          <w:szCs w:val="20"/>
          <w:color w:val="auto"/>
        </w:rPr>
      </w:pPr>
      <w:r>
        <w:rPr>
          <w:rFonts w:ascii="Arial" w:cs="Arial" w:eastAsia="Arial" w:hAnsi="Arial"/>
          <w:sz w:val="17"/>
          <w:szCs w:val="17"/>
          <w:color w:val="auto"/>
        </w:rPr>
        <w:t>Our 2012 director compensation policy provided that, effective January 1, 2012, we would pay a combination of cash compensation and equity compensation to our non-management directors and the chair of our board of directors.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20"/>
          </w:cols>
          <w:pgMar w:left="240" w:top="444" w:right="3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Our 2012 director compensation policy further provided that each of our non-management directors was eligible to receive:</w:t>
      </w:r>
    </w:p>
    <w:p>
      <w:pPr>
        <w:spacing w:after="0" w:line="127" w:lineRule="exact"/>
        <w:rPr>
          <w:sz w:val="20"/>
          <w:szCs w:val="20"/>
          <w:color w:val="auto"/>
        </w:rPr>
      </w:pPr>
    </w:p>
    <w:p>
      <w:pPr>
        <w:ind w:left="800" w:right="140" w:hanging="461"/>
        <w:spacing w:after="0" w:line="241" w:lineRule="auto"/>
        <w:tabs>
          <w:tab w:leader="none" w:pos="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$2,500 for each regular quarterly meeting of the full board of directors that a director attended for the full meeting either in person, or in part in person and in part by teleconference or videoconference, or $1,250 for each regular quarterly meeting that a director attended for the full meeting by teleconference or videoconference, with such amounts payable within 30 days following the date of each board meeting;</w:t>
      </w:r>
    </w:p>
    <w:p>
      <w:pPr>
        <w:spacing w:after="0" w:line="17" w:lineRule="exact"/>
        <w:rPr>
          <w:rFonts w:ascii="Arial" w:cs="Arial" w:eastAsia="Arial" w:hAnsi="Arial"/>
          <w:sz w:val="17"/>
          <w:szCs w:val="17"/>
          <w:color w:val="auto"/>
        </w:rPr>
      </w:pPr>
    </w:p>
    <w:p>
      <w:pPr>
        <w:ind w:left="800" w:right="220" w:hanging="461"/>
        <w:spacing w:after="0" w:line="245" w:lineRule="auto"/>
        <w:tabs>
          <w:tab w:leader="none" w:pos="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commencement of service as our director, an option to purchase a number of our common shares determined by our board of directors up to a maximum of 5,144 shares; and</w:t>
      </w:r>
    </w:p>
    <w:p>
      <w:pPr>
        <w:spacing w:after="0" w:line="13" w:lineRule="exact"/>
        <w:rPr>
          <w:rFonts w:ascii="Arial" w:cs="Arial" w:eastAsia="Arial" w:hAnsi="Arial"/>
          <w:sz w:val="17"/>
          <w:szCs w:val="17"/>
          <w:color w:val="auto"/>
        </w:rPr>
      </w:pPr>
    </w:p>
    <w:p>
      <w:pPr>
        <w:ind w:left="800" w:hanging="461"/>
        <w:spacing w:after="0"/>
        <w:tabs>
          <w:tab w:leader="none" w:pos="8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 annual basis, to be granted on or about January 1 of each year, options as determined by our board of directors as follows:</w:t>
      </w:r>
    </w:p>
    <w:p>
      <w:pPr>
        <w:spacing w:after="0" w:line="23" w:lineRule="exact"/>
        <w:rPr>
          <w:rFonts w:ascii="Arial" w:cs="Arial" w:eastAsia="Arial" w:hAnsi="Arial"/>
          <w:sz w:val="17"/>
          <w:szCs w:val="17"/>
          <w:color w:val="auto"/>
        </w:rPr>
      </w:pPr>
    </w:p>
    <w:p>
      <w:pPr>
        <w:ind w:left="1240" w:hanging="450"/>
        <w:spacing w:after="0"/>
        <w:tabs>
          <w:tab w:leader="none" w:pos="12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 to a maximum of 1,028 options for service as a director,</w:t>
      </w:r>
    </w:p>
    <w:p>
      <w:pPr>
        <w:spacing w:after="0" w:line="23" w:lineRule="exact"/>
        <w:rPr>
          <w:rFonts w:ascii="Arial" w:cs="Arial" w:eastAsia="Arial" w:hAnsi="Arial"/>
          <w:sz w:val="17"/>
          <w:szCs w:val="17"/>
          <w:color w:val="auto"/>
        </w:rPr>
      </w:pPr>
    </w:p>
    <w:p>
      <w:pPr>
        <w:ind w:left="1240" w:right="100" w:hanging="450"/>
        <w:spacing w:after="0" w:line="245" w:lineRule="auto"/>
        <w:tabs>
          <w:tab w:leader="none" w:pos="12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 to a maximum of 1,028 additional options for service on our audit committee and/or our compensation committee (or 2,057 additional options for service on both such committees),</w:t>
      </w:r>
    </w:p>
    <w:p>
      <w:pPr>
        <w:spacing w:after="0" w:line="13" w:lineRule="exact"/>
        <w:rPr>
          <w:rFonts w:ascii="Arial" w:cs="Arial" w:eastAsia="Arial" w:hAnsi="Arial"/>
          <w:sz w:val="17"/>
          <w:szCs w:val="17"/>
          <w:color w:val="auto"/>
        </w:rPr>
      </w:pPr>
    </w:p>
    <w:p>
      <w:pPr>
        <w:ind w:left="1240" w:right="260" w:hanging="450"/>
        <w:spacing w:after="0" w:line="245" w:lineRule="auto"/>
        <w:tabs>
          <w:tab w:leader="none" w:pos="12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 to a maximum of 1,028 additional options for service as chair of our audit committee or as chair of our compensation committee (or 2,057 additional options for service as chair on both such committees),</w:t>
      </w:r>
    </w:p>
    <w:p>
      <w:pPr>
        <w:spacing w:after="0" w:line="13" w:lineRule="exact"/>
        <w:rPr>
          <w:rFonts w:ascii="Arial" w:cs="Arial" w:eastAsia="Arial" w:hAnsi="Arial"/>
          <w:sz w:val="17"/>
          <w:szCs w:val="17"/>
          <w:color w:val="auto"/>
        </w:rPr>
      </w:pPr>
    </w:p>
    <w:p>
      <w:pPr>
        <w:ind w:left="1240" w:hanging="450"/>
        <w:spacing w:after="0"/>
        <w:tabs>
          <w:tab w:leader="none" w:pos="12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 to a maximum of 411 additional options for service as a member of our nominating and corporate governance committee, and</w:t>
      </w:r>
    </w:p>
    <w:p>
      <w:pPr>
        <w:spacing w:after="0" w:line="23" w:lineRule="exact"/>
        <w:rPr>
          <w:rFonts w:ascii="Arial" w:cs="Arial" w:eastAsia="Arial" w:hAnsi="Arial"/>
          <w:sz w:val="17"/>
          <w:szCs w:val="17"/>
          <w:color w:val="auto"/>
        </w:rPr>
      </w:pPr>
    </w:p>
    <w:p>
      <w:pPr>
        <w:ind w:left="1240" w:hanging="450"/>
        <w:spacing w:after="0"/>
        <w:tabs>
          <w:tab w:leader="none" w:pos="12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 to a maximum of 411 additional options for service as chair of our nominating and corporate governance committee.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2012 director compensation policy further provided that, effective January 1, 2012, the chair of our board of directors received:</w:t>
      </w:r>
    </w:p>
    <w:p>
      <w:pPr>
        <w:spacing w:after="0" w:line="127" w:lineRule="exact"/>
        <w:rPr>
          <w:sz w:val="20"/>
          <w:szCs w:val="20"/>
          <w:color w:val="auto"/>
        </w:rPr>
      </w:pPr>
    </w:p>
    <w:p>
      <w:pPr>
        <w:ind w:left="800" w:right="40" w:hanging="461"/>
        <w:spacing w:after="0" w:line="241" w:lineRule="auto"/>
        <w:tabs>
          <w:tab w:leader="none" w:pos="8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$3,000 for each regular quarterly meeting of the full board of directors that the chair attended for the full meeting, in lieu of the amount the chair may otherwise receive for attendance as a non-management director, with such amount payable within 30 days following the date of each board meeting; and</w:t>
      </w:r>
    </w:p>
    <w:p>
      <w:pPr>
        <w:spacing w:after="0" w:line="17" w:lineRule="exact"/>
        <w:rPr>
          <w:rFonts w:ascii="Arial" w:cs="Arial" w:eastAsia="Arial" w:hAnsi="Arial"/>
          <w:sz w:val="17"/>
          <w:szCs w:val="17"/>
          <w:color w:val="auto"/>
        </w:rPr>
      </w:pPr>
    </w:p>
    <w:p>
      <w:pPr>
        <w:ind w:left="800" w:right="460" w:hanging="461"/>
        <w:spacing w:after="0" w:line="241" w:lineRule="auto"/>
        <w:tabs>
          <w:tab w:leader="none" w:pos="8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commencement of service, or agreement to continue service as the chair of our board of directors for a six-month term, an option to purchase a number of our common shares determined by our board of directors up to a maximum of 2,057 shares, granted on or about January 1 and July 1.</w:t>
      </w:r>
    </w:p>
    <w:p>
      <w:pPr>
        <w:spacing w:after="0" w:line="108"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Our 2012 director compensation policy further provided that in the event that a new chair is appointed before the completion of any six-month period noted above, our board of directors may, at its discretion, grant up to a maximum of 10,000 options to such newly-appointed chair on the date of appointment.</w:t>
      </w:r>
    </w:p>
    <w:p>
      <w:pPr>
        <w:spacing w:after="0" w:line="10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January 2013, our board of directors amended our director compensation policy by increasing the cash compensation component while maintaining the stock option component of the 2012 director compensation policy.</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Our revised director compensation policy, or 2013 director compensation policy, provided that, effective April 1, 2013, each of our non-management directors received $5,000 for each regular quarterly meeting of the full board of directors that a director attended for the full meeting in person, or $2,000 for each regular quarterly meeting that a director attended for the full meeting either by teleconference or videoconference or in part in person and in part by teleconference or videoconference, with such amounts payable within 30 days following the date of each board meeting.</w:t>
      </w:r>
    </w:p>
    <w:p>
      <w:pPr>
        <w:spacing w:after="0" w:line="10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2013 director compensation policy further provided that, effective January 1, 2013, the chair of our board of directors received $6,000 for each regular quarterly meeting of the full board of directors that the chair attended for the full meeting, in lieu of the amount the chair may otherwise receive for attendance as a non-management director, with such amount payable within 30 days following the date of each board meeting.</w:t>
      </w:r>
    </w:p>
    <w:p>
      <w:pPr>
        <w:spacing w:after="0" w:line="108"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All of the above options were granted under our then effective equity plan, and will vest pursuant to a three-year vesting schedule, with one-third vesting on the first year anniversary of the grant date, and the remaining two-thirds vesting monthly over the course of the next two years, in equal amounts, on the last day of each month subject to the recipient’s continued service through each vesting date and the terms of our then effective equity plan as described in the section entitled “Management—Employee Benefit and Stock Plans.”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4"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following table sets forth information concerning the compensation paid or accrued for services rendered to us by members of our board of directors for the year ended December 31, 2013. Dr. Simon Pimstone, our President and Chief Executive Officer, did not receive any additional compensation for service on our board of directors. Compensation paid or accrued for services rendered to us by Dr. Pimstone in his role as Chief Executive Officer is included in our disclosures related to executive compensation in the section of this prospectus captioned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529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9"/>
              </w:rPr>
              <w:t>FEES EARNED</w:t>
            </w:r>
          </w:p>
        </w:tc>
        <w:tc>
          <w:tcPr>
            <w:tcW w:w="150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rPr>
              <w:t>OPTION</w:t>
            </w:r>
          </w:p>
        </w:tc>
        <w:tc>
          <w:tcPr>
            <w:tcW w:w="204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9"/>
              </w:rPr>
              <w:t>ALL OTHER</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5"/>
              </w:rPr>
              <w:t>TOTAL</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640" w:type="dxa"/>
            <w:vAlign w:val="bottom"/>
            <w:gridSpan w:val="2"/>
          </w:tcPr>
          <w:p>
            <w:pPr>
              <w:jc w:val="center"/>
              <w:ind w:right="700"/>
              <w:spacing w:after="0" w:line="142" w:lineRule="exact"/>
              <w:rPr>
                <w:sz w:val="20"/>
                <w:szCs w:val="20"/>
                <w:color w:val="auto"/>
              </w:rPr>
            </w:pPr>
            <w:r>
              <w:rPr>
                <w:rFonts w:ascii="Arial" w:cs="Arial" w:eastAsia="Arial" w:hAnsi="Arial"/>
                <w:sz w:val="13"/>
                <w:szCs w:val="13"/>
                <w:b w:val="1"/>
                <w:bCs w:val="1"/>
                <w:color w:val="auto"/>
                <w:w w:val="98"/>
              </w:rPr>
              <w:t>OR PAID IN</w:t>
            </w:r>
          </w:p>
        </w:tc>
        <w:tc>
          <w:tcPr>
            <w:tcW w:w="1500" w:type="dxa"/>
            <w:vAlign w:val="bottom"/>
            <w:gridSpan w:val="2"/>
          </w:tcPr>
          <w:p>
            <w:pPr>
              <w:jc w:val="center"/>
              <w:ind w:right="680"/>
              <w:spacing w:after="0" w:line="142" w:lineRule="exact"/>
              <w:rPr>
                <w:sz w:val="20"/>
                <w:szCs w:val="20"/>
                <w:color w:val="auto"/>
              </w:rPr>
            </w:pPr>
            <w:r>
              <w:rPr>
                <w:rFonts w:ascii="Arial" w:cs="Arial" w:eastAsia="Arial" w:hAnsi="Arial"/>
                <w:sz w:val="16"/>
                <w:szCs w:val="16"/>
                <w:b w:val="1"/>
                <w:bCs w:val="1"/>
                <w:color w:val="auto"/>
                <w:vertAlign w:val="subscript"/>
              </w:rPr>
              <w:t>AWARDS</w:t>
            </w:r>
            <w:r>
              <w:rPr>
                <w:rFonts w:ascii="Arial" w:cs="Arial" w:eastAsia="Arial" w:hAnsi="Arial"/>
                <w:sz w:val="9"/>
                <w:szCs w:val="9"/>
                <w:b w:val="1"/>
                <w:bCs w:val="1"/>
                <w:color w:val="auto"/>
              </w:rPr>
              <w:t>(2)(3)</w:t>
            </w:r>
          </w:p>
        </w:tc>
        <w:tc>
          <w:tcPr>
            <w:tcW w:w="2040" w:type="dxa"/>
            <w:vAlign w:val="bottom"/>
            <w:gridSpan w:val="2"/>
          </w:tcPr>
          <w:p>
            <w:pPr>
              <w:jc w:val="center"/>
              <w:ind w:right="740"/>
              <w:spacing w:after="0" w:line="142"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6"/>
                <w:szCs w:val="16"/>
                <w:b w:val="1"/>
                <w:bCs w:val="1"/>
                <w:color w:val="auto"/>
                <w:vertAlign w:val="superscript"/>
              </w:rPr>
              <w:t>(1)(2)</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Name</w:t>
            </w:r>
          </w:p>
        </w:tc>
        <w:tc>
          <w:tcPr>
            <w:tcW w:w="9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2"/>
                <w:szCs w:val="12"/>
                <w:b w:val="1"/>
                <w:bCs w:val="1"/>
                <w:color w:val="auto"/>
              </w:rPr>
              <w:t>CASH</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 xml:space="preserve"> ($)</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 xml:space="preserve">Mohammad Azab </w:t>
            </w:r>
            <w:r>
              <w:rPr>
                <w:rFonts w:ascii="Arial" w:cs="Arial" w:eastAsia="Arial" w:hAnsi="Arial"/>
                <w:sz w:val="21"/>
                <w:szCs w:val="21"/>
                <w:b w:val="1"/>
                <w:bCs w:val="1"/>
                <w:color w:val="auto"/>
                <w:vertAlign w:val="superscript"/>
              </w:rPr>
              <w:t>(4)</w:t>
            </w:r>
          </w:p>
        </w:tc>
        <w:tc>
          <w:tcPr>
            <w:tcW w:w="1640" w:type="dxa"/>
            <w:vAlign w:val="bottom"/>
            <w:gridSpan w:val="2"/>
            <w:shd w:val="clear" w:color="auto" w:fill="CCEEFF"/>
          </w:tcPr>
          <w:p>
            <w:pPr>
              <w:jc w:val="right"/>
              <w:ind w:right="700"/>
              <w:spacing w:after="0" w:line="186" w:lineRule="exact"/>
              <w:rPr>
                <w:sz w:val="20"/>
                <w:szCs w:val="20"/>
                <w:color w:val="auto"/>
              </w:rPr>
            </w:pPr>
            <w:r>
              <w:rPr>
                <w:rFonts w:ascii="Arial" w:cs="Arial" w:eastAsia="Arial" w:hAnsi="Arial"/>
                <w:sz w:val="17"/>
                <w:szCs w:val="17"/>
                <w:color w:val="auto"/>
              </w:rPr>
              <w:t>14,500</w:t>
            </w:r>
          </w:p>
        </w:tc>
        <w:tc>
          <w:tcPr>
            <w:tcW w:w="8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8,292</w:t>
            </w:r>
          </w:p>
        </w:tc>
        <w:tc>
          <w:tcPr>
            <w:tcW w:w="66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740"/>
              <w:spacing w:after="0" w:line="186"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22,792</w:t>
            </w:r>
          </w:p>
        </w:tc>
        <w:tc>
          <w:tcPr>
            <w:tcW w:w="0" w:type="dxa"/>
            <w:vAlign w:val="bottom"/>
          </w:tcPr>
          <w:p>
            <w:pPr>
              <w:spacing w:after="0"/>
              <w:rPr>
                <w:sz w:val="1"/>
                <w:szCs w:val="1"/>
                <w:color w:val="auto"/>
              </w:rPr>
            </w:pPr>
          </w:p>
        </w:tc>
      </w:tr>
      <w:tr>
        <w:trPr>
          <w:trHeight w:val="194"/>
        </w:trPr>
        <w:tc>
          <w:tcPr>
            <w:tcW w:w="5480" w:type="dxa"/>
            <w:vAlign w:val="bottom"/>
          </w:tcPr>
          <w:p>
            <w:pPr>
              <w:spacing w:after="0" w:line="194" w:lineRule="exact"/>
              <w:rPr>
                <w:sz w:val="20"/>
                <w:szCs w:val="20"/>
                <w:color w:val="auto"/>
              </w:rPr>
            </w:pPr>
            <w:r>
              <w:rPr>
                <w:rFonts w:ascii="Arial" w:cs="Arial" w:eastAsia="Arial" w:hAnsi="Arial"/>
                <w:sz w:val="17"/>
                <w:szCs w:val="17"/>
                <w:color w:val="auto"/>
              </w:rPr>
              <w:t xml:space="preserve">Johnston L. Evans </w:t>
            </w:r>
            <w:r>
              <w:rPr>
                <w:rFonts w:ascii="Arial" w:cs="Arial" w:eastAsia="Arial" w:hAnsi="Arial"/>
                <w:sz w:val="21"/>
                <w:szCs w:val="21"/>
                <w:b w:val="1"/>
                <w:bCs w:val="1"/>
                <w:color w:val="auto"/>
                <w:vertAlign w:val="superscript"/>
              </w:rPr>
              <w:t>(4)</w:t>
            </w:r>
          </w:p>
        </w:tc>
        <w:tc>
          <w:tcPr>
            <w:tcW w:w="1640" w:type="dxa"/>
            <w:vAlign w:val="bottom"/>
            <w:gridSpan w:val="2"/>
          </w:tcPr>
          <w:p>
            <w:pPr>
              <w:jc w:val="right"/>
              <w:ind w:right="700"/>
              <w:spacing w:after="0" w:line="194" w:lineRule="exact"/>
              <w:rPr>
                <w:sz w:val="20"/>
                <w:szCs w:val="20"/>
                <w:color w:val="auto"/>
              </w:rPr>
            </w:pPr>
            <w:r>
              <w:rPr>
                <w:rFonts w:ascii="Arial" w:cs="Arial" w:eastAsia="Arial" w:hAnsi="Arial"/>
                <w:sz w:val="17"/>
                <w:szCs w:val="17"/>
                <w:color w:val="auto"/>
              </w:rPr>
              <w:t>17,500</w:t>
            </w:r>
          </w:p>
        </w:tc>
        <w:tc>
          <w:tcPr>
            <w:tcW w:w="1500" w:type="dxa"/>
            <w:vAlign w:val="bottom"/>
            <w:gridSpan w:val="2"/>
          </w:tcPr>
          <w:p>
            <w:pPr>
              <w:jc w:val="right"/>
              <w:ind w:right="660"/>
              <w:spacing w:after="0" w:line="194" w:lineRule="exact"/>
              <w:rPr>
                <w:sz w:val="20"/>
                <w:szCs w:val="20"/>
                <w:color w:val="auto"/>
              </w:rPr>
            </w:pPr>
            <w:r>
              <w:rPr>
                <w:rFonts w:ascii="Arial" w:cs="Arial" w:eastAsia="Arial" w:hAnsi="Arial"/>
                <w:sz w:val="17"/>
                <w:szCs w:val="17"/>
                <w:color w:val="auto"/>
              </w:rPr>
              <w:t>—</w:t>
            </w:r>
          </w:p>
        </w:tc>
        <w:tc>
          <w:tcPr>
            <w:tcW w:w="2040" w:type="dxa"/>
            <w:vAlign w:val="bottom"/>
            <w:gridSpan w:val="2"/>
          </w:tcPr>
          <w:p>
            <w:pPr>
              <w:jc w:val="right"/>
              <w:ind w:right="7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17,500</w:t>
            </w:r>
          </w:p>
        </w:tc>
        <w:tc>
          <w:tcPr>
            <w:tcW w:w="0" w:type="dxa"/>
            <w:vAlign w:val="bottom"/>
          </w:tcPr>
          <w:p>
            <w:pPr>
              <w:spacing w:after="0"/>
              <w:rPr>
                <w:sz w:val="1"/>
                <w:szCs w:val="1"/>
                <w:color w:val="auto"/>
              </w:rPr>
            </w:pPr>
          </w:p>
        </w:tc>
      </w:tr>
      <w:tr>
        <w:trPr>
          <w:trHeight w:val="194"/>
        </w:trPr>
        <w:tc>
          <w:tcPr>
            <w:tcW w:w="5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 xml:space="preserve">Michael R. Hayden </w:t>
            </w:r>
            <w:r>
              <w:rPr>
                <w:rFonts w:ascii="Arial" w:cs="Arial" w:eastAsia="Arial" w:hAnsi="Arial"/>
                <w:sz w:val="21"/>
                <w:szCs w:val="21"/>
                <w:b w:val="1"/>
                <w:bCs w:val="1"/>
                <w:color w:val="auto"/>
                <w:vertAlign w:val="superscript"/>
              </w:rPr>
              <w:t>(4)</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6,500</w:t>
            </w:r>
          </w:p>
        </w:tc>
        <w:tc>
          <w:tcPr>
            <w:tcW w:w="7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60"/>
              <w:spacing w:after="0" w:line="194" w:lineRule="exact"/>
              <w:rPr>
                <w:sz w:val="20"/>
                <w:szCs w:val="20"/>
                <w:color w:val="auto"/>
              </w:rPr>
            </w:pPr>
            <w:r>
              <w:rPr>
                <w:rFonts w:ascii="Arial" w:cs="Arial" w:eastAsia="Arial" w:hAnsi="Arial"/>
                <w:sz w:val="17"/>
                <w:szCs w:val="17"/>
                <w:color w:val="auto"/>
              </w:rPr>
              <w:t>13,820</w:t>
            </w:r>
          </w:p>
        </w:tc>
        <w:tc>
          <w:tcPr>
            <w:tcW w:w="204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82,921</w:t>
            </w:r>
            <w:r>
              <w:rPr>
                <w:rFonts w:ascii="Arial" w:cs="Arial" w:eastAsia="Arial" w:hAnsi="Arial"/>
                <w:sz w:val="21"/>
                <w:szCs w:val="21"/>
                <w:color w:val="auto"/>
                <w:vertAlign w:val="superscript"/>
              </w:rPr>
              <w:t>(6)</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103,241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80" w:type="dxa"/>
            <w:vAlign w:val="bottom"/>
          </w:tcPr>
          <w:p>
            <w:pPr>
              <w:spacing w:after="0" w:line="194" w:lineRule="exact"/>
              <w:rPr>
                <w:sz w:val="20"/>
                <w:szCs w:val="20"/>
                <w:color w:val="auto"/>
              </w:rPr>
            </w:pPr>
            <w:r>
              <w:rPr>
                <w:rFonts w:ascii="Arial" w:cs="Arial" w:eastAsia="Arial" w:hAnsi="Arial"/>
                <w:sz w:val="17"/>
                <w:szCs w:val="17"/>
                <w:color w:val="auto"/>
              </w:rPr>
              <w:t xml:space="preserve">Frank A. Holler </w:t>
            </w:r>
            <w:r>
              <w:rPr>
                <w:rFonts w:ascii="Arial" w:cs="Arial" w:eastAsia="Arial" w:hAnsi="Arial"/>
                <w:sz w:val="21"/>
                <w:szCs w:val="21"/>
                <w:b w:val="1"/>
                <w:bCs w:val="1"/>
                <w:color w:val="auto"/>
                <w:vertAlign w:val="superscript"/>
              </w:rPr>
              <w:t>(4)</w:t>
            </w:r>
          </w:p>
        </w:tc>
        <w:tc>
          <w:tcPr>
            <w:tcW w:w="1640" w:type="dxa"/>
            <w:vAlign w:val="bottom"/>
            <w:gridSpan w:val="2"/>
          </w:tcPr>
          <w:p>
            <w:pPr>
              <w:jc w:val="right"/>
              <w:ind w:right="700"/>
              <w:spacing w:after="0" w:line="194" w:lineRule="exact"/>
              <w:rPr>
                <w:sz w:val="20"/>
                <w:szCs w:val="20"/>
                <w:color w:val="auto"/>
              </w:rPr>
            </w:pPr>
            <w:r>
              <w:rPr>
                <w:rFonts w:ascii="Arial" w:cs="Arial" w:eastAsia="Arial" w:hAnsi="Arial"/>
                <w:sz w:val="17"/>
                <w:szCs w:val="17"/>
                <w:color w:val="auto"/>
              </w:rPr>
              <w:t>17,500</w:t>
            </w:r>
          </w:p>
        </w:tc>
        <w:tc>
          <w:tcPr>
            <w:tcW w:w="1500" w:type="dxa"/>
            <w:vAlign w:val="bottom"/>
            <w:gridSpan w:val="2"/>
          </w:tcPr>
          <w:p>
            <w:pPr>
              <w:jc w:val="right"/>
              <w:ind w:right="660"/>
              <w:spacing w:after="0" w:line="194" w:lineRule="exact"/>
              <w:rPr>
                <w:sz w:val="20"/>
                <w:szCs w:val="20"/>
                <w:color w:val="auto"/>
              </w:rPr>
            </w:pPr>
            <w:r>
              <w:rPr>
                <w:rFonts w:ascii="Arial" w:cs="Arial" w:eastAsia="Arial" w:hAnsi="Arial"/>
                <w:sz w:val="17"/>
                <w:szCs w:val="17"/>
                <w:color w:val="auto"/>
              </w:rPr>
              <w:t>19,348</w:t>
            </w:r>
          </w:p>
        </w:tc>
        <w:tc>
          <w:tcPr>
            <w:tcW w:w="2040" w:type="dxa"/>
            <w:vAlign w:val="bottom"/>
            <w:gridSpan w:val="2"/>
          </w:tcPr>
          <w:p>
            <w:pPr>
              <w:jc w:val="right"/>
              <w:ind w:right="7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36,848</w:t>
            </w:r>
          </w:p>
        </w:tc>
        <w:tc>
          <w:tcPr>
            <w:tcW w:w="0" w:type="dxa"/>
            <w:vAlign w:val="bottom"/>
          </w:tcPr>
          <w:p>
            <w:pPr>
              <w:spacing w:after="0"/>
              <w:rPr>
                <w:sz w:val="1"/>
                <w:szCs w:val="1"/>
                <w:color w:val="auto"/>
              </w:rPr>
            </w:pPr>
          </w:p>
        </w:tc>
      </w:tr>
      <w:tr>
        <w:trPr>
          <w:trHeight w:val="194"/>
        </w:trPr>
        <w:tc>
          <w:tcPr>
            <w:tcW w:w="5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 xml:space="preserve">Gary Patou </w:t>
            </w:r>
            <w:r>
              <w:rPr>
                <w:rFonts w:ascii="Arial" w:cs="Arial" w:eastAsia="Arial" w:hAnsi="Arial"/>
                <w:sz w:val="21"/>
                <w:szCs w:val="21"/>
                <w:b w:val="1"/>
                <w:bCs w:val="1"/>
                <w:color w:val="auto"/>
                <w:vertAlign w:val="superscript"/>
              </w:rPr>
              <w:t>(4)</w:t>
            </w:r>
          </w:p>
        </w:tc>
        <w:tc>
          <w:tcPr>
            <w:tcW w:w="1640" w:type="dxa"/>
            <w:vAlign w:val="bottom"/>
            <w:gridSpan w:val="2"/>
            <w:shd w:val="clear" w:color="auto" w:fill="CCEEFF"/>
          </w:tcPr>
          <w:p>
            <w:pPr>
              <w:jc w:val="right"/>
              <w:ind w:right="700"/>
              <w:spacing w:after="0" w:line="194" w:lineRule="exact"/>
              <w:rPr>
                <w:sz w:val="20"/>
                <w:szCs w:val="20"/>
                <w:color w:val="auto"/>
              </w:rPr>
            </w:pPr>
            <w:r>
              <w:rPr>
                <w:rFonts w:ascii="Arial" w:cs="Arial" w:eastAsia="Arial" w:hAnsi="Arial"/>
                <w:sz w:val="17"/>
                <w:szCs w:val="17"/>
                <w:color w:val="auto"/>
              </w:rPr>
              <w:t>17,500</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5,528</w:t>
            </w:r>
          </w:p>
        </w:tc>
        <w:tc>
          <w:tcPr>
            <w:tcW w:w="66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7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23,028</w:t>
            </w:r>
          </w:p>
        </w:tc>
        <w:tc>
          <w:tcPr>
            <w:tcW w:w="0" w:type="dxa"/>
            <w:vAlign w:val="bottom"/>
          </w:tcPr>
          <w:p>
            <w:pPr>
              <w:spacing w:after="0"/>
              <w:rPr>
                <w:sz w:val="1"/>
                <w:szCs w:val="1"/>
                <w:color w:val="auto"/>
              </w:rPr>
            </w:pPr>
          </w:p>
        </w:tc>
      </w:tr>
      <w:tr>
        <w:trPr>
          <w:trHeight w:val="194"/>
        </w:trPr>
        <w:tc>
          <w:tcPr>
            <w:tcW w:w="5480" w:type="dxa"/>
            <w:vAlign w:val="bottom"/>
          </w:tcPr>
          <w:p>
            <w:pPr>
              <w:spacing w:after="0" w:line="194" w:lineRule="exact"/>
              <w:rPr>
                <w:sz w:val="20"/>
                <w:szCs w:val="20"/>
                <w:color w:val="auto"/>
              </w:rPr>
            </w:pPr>
            <w:r>
              <w:rPr>
                <w:rFonts w:ascii="Arial" w:cs="Arial" w:eastAsia="Arial" w:hAnsi="Arial"/>
                <w:sz w:val="17"/>
                <w:szCs w:val="17"/>
                <w:color w:val="auto"/>
              </w:rPr>
              <w:t xml:space="preserve">Evan A. Stein </w:t>
            </w:r>
            <w:r>
              <w:rPr>
                <w:rFonts w:ascii="Arial" w:cs="Arial" w:eastAsia="Arial" w:hAnsi="Arial"/>
                <w:sz w:val="21"/>
                <w:szCs w:val="21"/>
                <w:b w:val="1"/>
                <w:bCs w:val="1"/>
                <w:color w:val="auto"/>
                <w:vertAlign w:val="superscript"/>
              </w:rPr>
              <w:t>(4)</w:t>
            </w:r>
          </w:p>
        </w:tc>
        <w:tc>
          <w:tcPr>
            <w:tcW w:w="1640" w:type="dxa"/>
            <w:vAlign w:val="bottom"/>
            <w:gridSpan w:val="2"/>
          </w:tcPr>
          <w:p>
            <w:pPr>
              <w:jc w:val="right"/>
              <w:ind w:right="700"/>
              <w:spacing w:after="0" w:line="194" w:lineRule="exact"/>
              <w:rPr>
                <w:sz w:val="20"/>
                <w:szCs w:val="20"/>
                <w:color w:val="auto"/>
              </w:rPr>
            </w:pPr>
            <w:r>
              <w:rPr>
                <w:rFonts w:ascii="Arial" w:cs="Arial" w:eastAsia="Arial" w:hAnsi="Arial"/>
                <w:sz w:val="17"/>
                <w:szCs w:val="17"/>
                <w:color w:val="auto"/>
              </w:rPr>
              <w:t>17,500</w:t>
            </w: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2,764</w:t>
            </w:r>
          </w:p>
        </w:tc>
        <w:tc>
          <w:tcPr>
            <w:tcW w:w="660" w:type="dxa"/>
            <w:vAlign w:val="bottom"/>
          </w:tcPr>
          <w:p>
            <w:pPr>
              <w:spacing w:after="0"/>
              <w:rPr>
                <w:sz w:val="16"/>
                <w:szCs w:val="16"/>
                <w:color w:val="auto"/>
              </w:rPr>
            </w:pPr>
          </w:p>
        </w:tc>
        <w:tc>
          <w:tcPr>
            <w:tcW w:w="2040" w:type="dxa"/>
            <w:vAlign w:val="bottom"/>
            <w:gridSpan w:val="2"/>
          </w:tcPr>
          <w:p>
            <w:pPr>
              <w:jc w:val="right"/>
              <w:ind w:right="7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20,264</w:t>
            </w:r>
          </w:p>
        </w:tc>
        <w:tc>
          <w:tcPr>
            <w:tcW w:w="0" w:type="dxa"/>
            <w:vAlign w:val="bottom"/>
          </w:tcPr>
          <w:p>
            <w:pPr>
              <w:spacing w:after="0"/>
              <w:rPr>
                <w:sz w:val="1"/>
                <w:szCs w:val="1"/>
                <w:color w:val="auto"/>
              </w:rPr>
            </w:pPr>
          </w:p>
        </w:tc>
      </w:tr>
      <w:tr>
        <w:trPr>
          <w:trHeight w:val="194"/>
        </w:trPr>
        <w:tc>
          <w:tcPr>
            <w:tcW w:w="54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 xml:space="preserve">Michael M. Tarnow </w:t>
            </w:r>
            <w:r>
              <w:rPr>
                <w:rFonts w:ascii="Arial" w:cs="Arial" w:eastAsia="Arial" w:hAnsi="Arial"/>
                <w:sz w:val="21"/>
                <w:szCs w:val="21"/>
                <w:b w:val="1"/>
                <w:bCs w:val="1"/>
                <w:color w:val="auto"/>
                <w:vertAlign w:val="superscript"/>
              </w:rPr>
              <w:t>(4)(5)</w:t>
            </w:r>
          </w:p>
        </w:tc>
        <w:tc>
          <w:tcPr>
            <w:tcW w:w="1640" w:type="dxa"/>
            <w:vAlign w:val="bottom"/>
            <w:gridSpan w:val="2"/>
            <w:shd w:val="clear" w:color="auto" w:fill="CCEEFF"/>
          </w:tcPr>
          <w:p>
            <w:pPr>
              <w:jc w:val="right"/>
              <w:ind w:right="700"/>
              <w:spacing w:after="0" w:line="194" w:lineRule="exact"/>
              <w:rPr>
                <w:sz w:val="20"/>
                <w:szCs w:val="20"/>
                <w:color w:val="auto"/>
              </w:rPr>
            </w:pPr>
            <w:r>
              <w:rPr>
                <w:rFonts w:ascii="Arial" w:cs="Arial" w:eastAsia="Arial" w:hAnsi="Arial"/>
                <w:sz w:val="17"/>
                <w:szCs w:val="17"/>
                <w:color w:val="auto"/>
              </w:rPr>
              <w:t>21,000</w:t>
            </w:r>
          </w:p>
        </w:tc>
        <w:tc>
          <w:tcPr>
            <w:tcW w:w="1500" w:type="dxa"/>
            <w:vAlign w:val="bottom"/>
            <w:gridSpan w:val="2"/>
            <w:shd w:val="clear" w:color="auto" w:fill="CCEEFF"/>
          </w:tcPr>
          <w:p>
            <w:pPr>
              <w:jc w:val="right"/>
              <w:ind w:right="660"/>
              <w:spacing w:after="0" w:line="194" w:lineRule="exact"/>
              <w:rPr>
                <w:sz w:val="20"/>
                <w:szCs w:val="20"/>
                <w:color w:val="auto"/>
              </w:rPr>
            </w:pPr>
            <w:r>
              <w:rPr>
                <w:rFonts w:ascii="Arial" w:cs="Arial" w:eastAsia="Arial" w:hAnsi="Arial"/>
                <w:sz w:val="17"/>
                <w:szCs w:val="17"/>
                <w:color w:val="auto"/>
              </w:rPr>
              <w:t>24,876</w:t>
            </w:r>
          </w:p>
        </w:tc>
        <w:tc>
          <w:tcPr>
            <w:tcW w:w="2040" w:type="dxa"/>
            <w:vAlign w:val="bottom"/>
            <w:gridSpan w:val="2"/>
            <w:shd w:val="clear" w:color="auto" w:fill="CCEEFF"/>
          </w:tcPr>
          <w:p>
            <w:pPr>
              <w:jc w:val="right"/>
              <w:ind w:right="74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45,876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right="380" w:hanging="229"/>
        <w:spacing w:after="0" w:line="193" w:lineRule="auto"/>
        <w:tabs>
          <w:tab w:leader="none" w:pos="320" w:val="left"/>
        </w:tabs>
        <w:numPr>
          <w:ilvl w:val="1"/>
          <w:numId w:val="87"/>
        </w:numPr>
        <w:rPr>
          <w:rFonts w:ascii="Arial" w:cs="Arial" w:eastAsia="Arial" w:hAnsi="Arial"/>
          <w:sz w:val="20"/>
          <w:szCs w:val="20"/>
          <w:color w:val="auto"/>
          <w:vertAlign w:val="superscript"/>
        </w:rPr>
      </w:pPr>
      <w:r>
        <w:rPr>
          <w:rFonts w:ascii="Arial" w:cs="Arial" w:eastAsia="Arial" w:hAnsi="Arial"/>
          <w:sz w:val="12"/>
          <w:szCs w:val="12"/>
          <w:color w:val="auto"/>
        </w:rPr>
        <w:t>Except as otherwise indicated, compensation amounts that were paid in Canadian dollars have been converted to U.S. dollars for purposes of the table. The U.S. dollar per Canadian dollar exchange rate used for such conversion was 0.9713, which was the average Bank of Canada exchange rate for the 2013 fiscal year.</w:t>
      </w:r>
    </w:p>
    <w:p>
      <w:pPr>
        <w:spacing w:after="0" w:line="13" w:lineRule="exact"/>
        <w:rPr>
          <w:rFonts w:ascii="Arial" w:cs="Arial" w:eastAsia="Arial" w:hAnsi="Arial"/>
          <w:sz w:val="20"/>
          <w:szCs w:val="20"/>
          <w:color w:val="auto"/>
          <w:vertAlign w:val="superscript"/>
        </w:rPr>
      </w:pPr>
    </w:p>
    <w:p>
      <w:pPr>
        <w:ind w:left="320" w:right="40" w:hanging="229"/>
        <w:spacing w:after="0" w:line="203" w:lineRule="auto"/>
        <w:tabs>
          <w:tab w:leader="none" w:pos="320" w:val="left"/>
        </w:tabs>
        <w:numPr>
          <w:ilvl w:val="1"/>
          <w:numId w:val="87"/>
        </w:numPr>
        <w:rPr>
          <w:rFonts w:ascii="Arial" w:cs="Arial" w:eastAsia="Arial" w:hAnsi="Arial"/>
          <w:sz w:val="22"/>
          <w:szCs w:val="22"/>
          <w:color w:val="auto"/>
          <w:vertAlign w:val="superscript"/>
        </w:rPr>
      </w:pPr>
      <w:r>
        <w:rPr>
          <w:rFonts w:ascii="Arial" w:cs="Arial" w:eastAsia="Arial" w:hAnsi="Arial"/>
          <w:sz w:val="13"/>
          <w:szCs w:val="13"/>
          <w:color w:val="auto"/>
        </w:rPr>
        <w:t>Represents the aggregate grant date fair value of stock option awards granted in 2013. These amounts have been computed in accordance with Financial Accounting Standards Board, or FASB, Accounting Standards Codification, or ASC, Topic 718, using the Black-Scholes option pricing model without regard to estimated forfeitures. For a discussion of valuation assumptions, see the notes to our financial statements included elsewhere in this prospectus. The exercise price for stock options was denominated in Canadian dollars on the date of grant. The amounts reflected in this column were converted to U.S. dollars using the U.S. dollar per Canadian dollar exchange rate on January 1, 2013, the date of grants, which is 1.0051. For further information regarding the equity compensation of our directors, see the section “Executive Compensation—Employee Benefit and Stock Plans—Amended and Restated Stock Option Plan.”</w:t>
      </w:r>
    </w:p>
    <w:p>
      <w:pPr>
        <w:spacing w:after="0" w:line="15" w:lineRule="exact"/>
        <w:rPr>
          <w:rFonts w:ascii="Arial" w:cs="Arial" w:eastAsia="Arial" w:hAnsi="Arial"/>
          <w:sz w:val="22"/>
          <w:szCs w:val="22"/>
          <w:color w:val="auto"/>
          <w:vertAlign w:val="superscript"/>
        </w:rPr>
      </w:pPr>
    </w:p>
    <w:p>
      <w:pPr>
        <w:ind w:left="320" w:right="440" w:hanging="264"/>
        <w:spacing w:after="0" w:line="190" w:lineRule="auto"/>
        <w:tabs>
          <w:tab w:leader="none" w:pos="320" w:val="left"/>
        </w:tabs>
        <w:numPr>
          <w:ilvl w:val="0"/>
          <w:numId w:val="88"/>
        </w:numPr>
        <w:rPr>
          <w:rFonts w:ascii="Arial" w:cs="Arial" w:eastAsia="Arial" w:hAnsi="Arial"/>
          <w:sz w:val="22"/>
          <w:szCs w:val="22"/>
          <w:color w:val="auto"/>
          <w:vertAlign w:val="superscript"/>
        </w:rPr>
      </w:pPr>
      <w:r>
        <w:rPr>
          <w:rFonts w:ascii="Arial" w:cs="Arial" w:eastAsia="Arial" w:hAnsi="Arial"/>
          <w:sz w:val="13"/>
          <w:szCs w:val="13"/>
          <w:color w:val="auto"/>
        </w:rPr>
        <w:t>As of December 31, 2013, the below listed directors beneficially held outstanding options to purchase the number of common shares as follows: Dr. Azab (46,498 shares); Mr. Evans (zero shares); Dr. Hayden (146,088 shares, of which 54,012 shares are held by Dr. Hayden and 92,076 shares are held by Genworks Inc., Dr. Hayden’s consulting company); Mr. Holler (109,048 shares); Dr. Patou (41,351 shares); Dr. Stein (9,255 shares); and Mr. Tarnow (91,762 shares).</w:t>
      </w:r>
    </w:p>
    <w:p>
      <w:pPr>
        <w:spacing w:after="0" w:line="1" w:lineRule="exact"/>
        <w:rPr>
          <w:rFonts w:ascii="Arial" w:cs="Arial" w:eastAsia="Arial" w:hAnsi="Arial"/>
          <w:sz w:val="22"/>
          <w:szCs w:val="22"/>
          <w:color w:val="auto"/>
          <w:vertAlign w:val="superscript"/>
        </w:rPr>
      </w:pPr>
    </w:p>
    <w:p>
      <w:pPr>
        <w:ind w:left="320" w:hanging="229"/>
        <w:spacing w:after="0" w:line="184" w:lineRule="auto"/>
        <w:tabs>
          <w:tab w:leader="none" w:pos="320" w:val="left"/>
        </w:tabs>
        <w:numPr>
          <w:ilvl w:val="1"/>
          <w:numId w:val="88"/>
        </w:numPr>
        <w:rPr>
          <w:rFonts w:ascii="Arial" w:cs="Arial" w:eastAsia="Arial" w:hAnsi="Arial"/>
          <w:sz w:val="19"/>
          <w:szCs w:val="19"/>
          <w:color w:val="auto"/>
          <w:vertAlign w:val="superscript"/>
        </w:rPr>
      </w:pPr>
      <w:r>
        <w:rPr>
          <w:rFonts w:ascii="Arial" w:cs="Arial" w:eastAsia="Arial" w:hAnsi="Arial"/>
          <w:sz w:val="12"/>
          <w:szCs w:val="12"/>
          <w:color w:val="auto"/>
        </w:rPr>
        <w:t>Non-management director.</w:t>
      </w:r>
    </w:p>
    <w:p>
      <w:pPr>
        <w:spacing w:after="0" w:line="13" w:lineRule="exact"/>
        <w:rPr>
          <w:rFonts w:ascii="Arial" w:cs="Arial" w:eastAsia="Arial" w:hAnsi="Arial"/>
          <w:sz w:val="19"/>
          <w:szCs w:val="19"/>
          <w:color w:val="auto"/>
          <w:vertAlign w:val="superscript"/>
        </w:rPr>
      </w:pPr>
    </w:p>
    <w:p>
      <w:pPr>
        <w:ind w:left="320" w:hanging="229"/>
        <w:spacing w:after="0" w:line="190" w:lineRule="auto"/>
        <w:tabs>
          <w:tab w:leader="none" w:pos="320" w:val="left"/>
        </w:tabs>
        <w:numPr>
          <w:ilvl w:val="1"/>
          <w:numId w:val="88"/>
        </w:numPr>
        <w:rPr>
          <w:rFonts w:ascii="Arial" w:cs="Arial" w:eastAsia="Arial" w:hAnsi="Arial"/>
          <w:sz w:val="17"/>
          <w:szCs w:val="17"/>
          <w:color w:val="auto"/>
          <w:vertAlign w:val="superscript"/>
        </w:rPr>
      </w:pPr>
      <w:r>
        <w:rPr>
          <w:rFonts w:ascii="Arial" w:cs="Arial" w:eastAsia="Arial" w:hAnsi="Arial"/>
          <w:sz w:val="11"/>
          <w:szCs w:val="11"/>
          <w:color w:val="auto"/>
        </w:rPr>
        <w:t>Chair of our board of directors.</w:t>
      </w:r>
    </w:p>
    <w:p>
      <w:pPr>
        <w:spacing w:after="0" w:line="13" w:lineRule="exact"/>
        <w:rPr>
          <w:rFonts w:ascii="Arial" w:cs="Arial" w:eastAsia="Arial" w:hAnsi="Arial"/>
          <w:sz w:val="17"/>
          <w:szCs w:val="17"/>
          <w:color w:val="auto"/>
          <w:vertAlign w:val="superscript"/>
        </w:rPr>
      </w:pPr>
    </w:p>
    <w:p>
      <w:pPr>
        <w:ind w:left="320" w:hanging="229"/>
        <w:spacing w:after="0" w:line="190" w:lineRule="auto"/>
        <w:tabs>
          <w:tab w:leader="none" w:pos="320" w:val="left"/>
        </w:tabs>
        <w:numPr>
          <w:ilvl w:val="1"/>
          <w:numId w:val="88"/>
        </w:numPr>
        <w:rPr>
          <w:rFonts w:ascii="Arial" w:cs="Arial" w:eastAsia="Arial" w:hAnsi="Arial"/>
          <w:sz w:val="17"/>
          <w:szCs w:val="17"/>
          <w:color w:val="auto"/>
          <w:vertAlign w:val="superscript"/>
        </w:rPr>
      </w:pPr>
      <w:r>
        <w:rPr>
          <w:rFonts w:ascii="Arial" w:cs="Arial" w:eastAsia="Arial" w:hAnsi="Arial"/>
          <w:sz w:val="11"/>
          <w:szCs w:val="11"/>
          <w:color w:val="auto"/>
        </w:rPr>
        <w:t>Consists of $82,921 in stock options awarded to Genworks Inc., Dr. Hayden’s consulting company as compensation for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-1285240</wp:posOffset>
            </wp:positionV>
            <wp:extent cx="72529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of Stock Option to Genworks, Inc.</w:t>
      </w:r>
    </w:p>
    <w:p>
      <w:pPr>
        <w:spacing w:after="0" w:line="2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Genworks Inc., or Genworks, is controlled by Dr. Michael Hayden, one of our directors. From time to time, we have paid consulting fees to Genworks in consideration of certain scientific consulting services provided by Dr. Hayden. Pursuant to the terms of our agreement with Genworks, our board of directors has the ability to grant discretionary bonuses to Genworks related to Dr. Hayden’s provision of services as our chief scientific officer. In January 2013, in recognition of the services Dr. Hayden rendered to us in 2012, our board of directors exercised its discretion and granted Genworks an option to purchase 30,864 of our common shares at an exercise price of CAD$2.67 per share. One quarter of the shares underlying this option vest on the first anniversary of the grant date, with the remainder of the shares vesting on a monthly basis over the next three years, subject to Genworks’ continuing status as a service provider to us. While we do retain the services of Genworks from time to time, Dr. Hayden no longer provides services to us as our chief scientific officer.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Post-IPO Director Compensation Policy</w:t>
      </w:r>
    </w:p>
    <w:p>
      <w:pPr>
        <w:spacing w:after="0" w:line="4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August 2013, our board of directors approved a policy, or the post-IPO director compensation policy, with respect to the compensation of directors that became effective on the date of this prospectus and replaced our 2013 director compensation policy. For purposes of the policy, our board of directors maintained the categories of management director, non-management director and chair of our board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44"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Non-management directors and the chair of our board of directors are eligible to receive compensation in the form of equity and cash under the post-IPO director compensation policy, as described below. Management directors receive no compensation for their services on our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w:t>
      </w:r>
    </w:p>
    <w:p>
      <w:pPr>
        <w:spacing w:after="0" w:line="4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Each non-management director (including the chair of the board of directors) received on the date of this prospectus and, if a new director, will be eligible to receive upon joining the board of directors, an option to purchase 5,144 of our common shares. Beginning in 2015, each non-management director (including the chair of our board of directors) will be eligible to receive, on an annual basis, an option to purchase 3,086 of our common shares.</w:t>
      </w:r>
    </w:p>
    <w:p>
      <w:pPr>
        <w:spacing w:after="0" w:line="108"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In addition to the annual grant, the chair of our board of directors will receive an option to purchase 1,028 of our common shares. This additional annual grant will be granted at the same time as and have the same terms and conditions as the annual grant made to each of our non-management directors.</w:t>
      </w:r>
    </w:p>
    <w:p>
      <w:pPr>
        <w:spacing w:after="0" w:line="8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exercise price per share of each of the above grants will be the fair market value of one of our common shares (determined pursuant to our then-effective equity plan) on the date of the grant. The option grants to the non-management directors granted on the date of this prospectus had an exercise price per share equal to the initial public offering price.</w:t>
      </w:r>
    </w:p>
    <w:p>
      <w:pPr>
        <w:spacing w:after="0" w:line="108"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All of the above options granted to our non-management directors (including the chair of our board of directors) will be under our then-effective equity plan. The shares underlying the above initial and annual grants will vest as to one-third of the total shares subject to such award on the one year anniversary of the grant date, one-third of the total shares on the two year anniversary of the grant date and the balance of the total shares on the three year anniversary of the grant date.</w:t>
      </w:r>
    </w:p>
    <w:p>
      <w:pPr>
        <w:spacing w:after="0" w:line="10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vesting of each grant described above will be subject to the recipient’s continued service as a director through each vesting date and the other terms and conditions of our then-effective equity plan and the applicable option agreement with that director.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Compensation</w:t>
      </w:r>
    </w:p>
    <w:p>
      <w:pPr>
        <w:spacing w:after="0" w:line="42"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For each fiscal year, each non-management director (including the chair of the board of directors) will receive an annual cash retainer of $35,000 for serving on the board of directors. In addition to the annual retainer, the chair of our board of directors will receive an additional annual cash retainer of $25,000.</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chairs of the three standing committees of our board of directors will be entitled to the following cash retainers for each fiscal year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BOARD COMMITTEE</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CHAIR</w:t>
            </w:r>
          </w:p>
        </w:tc>
        <w:tc>
          <w:tcPr>
            <w:tcW w:w="0" w:type="dxa"/>
            <w:vAlign w:val="bottom"/>
          </w:tcPr>
          <w:p>
            <w:pPr>
              <w:spacing w:after="0"/>
              <w:rPr>
                <w:sz w:val="1"/>
                <w:szCs w:val="1"/>
                <w:color w:val="auto"/>
              </w:rPr>
            </w:pPr>
          </w:p>
        </w:tc>
      </w:tr>
      <w:tr>
        <w:trPr>
          <w:trHeight w:val="146"/>
        </w:trPr>
        <w:tc>
          <w:tcPr>
            <w:tcW w:w="10660" w:type="dxa"/>
            <w:vAlign w:val="bottom"/>
            <w:gridSpan w:val="2"/>
            <w:vMerge w:val="continue"/>
          </w:tcPr>
          <w:p>
            <w:pPr>
              <w:spacing w:after="0"/>
              <w:rPr>
                <w:sz w:val="12"/>
                <w:szCs w:val="12"/>
                <w:color w:val="auto"/>
              </w:rPr>
            </w:pPr>
          </w:p>
        </w:tc>
        <w:tc>
          <w:tcPr>
            <w:tcW w:w="76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RETAINER</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w w:val="98"/>
              </w:rPr>
              <w:t>Audit Committee</w:t>
            </w:r>
          </w:p>
        </w:tc>
        <w:tc>
          <w:tcPr>
            <w:tcW w:w="94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260" w:type="dxa"/>
            <w:vAlign w:val="bottom"/>
            <w:vMerge w:val="continue"/>
            <w:shd w:val="clear" w:color="auto" w:fill="CCEEFF"/>
          </w:tcPr>
          <w:p>
            <w:pPr>
              <w:spacing w:after="0"/>
              <w:rPr>
                <w:sz w:val="15"/>
                <w:szCs w:val="15"/>
                <w:color w:val="auto"/>
              </w:rPr>
            </w:pPr>
          </w:p>
        </w:tc>
        <w:tc>
          <w:tcPr>
            <w:tcW w:w="94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w w:val="99"/>
              </w:rPr>
              <w:t>15,000</w:t>
            </w:r>
          </w:p>
        </w:tc>
        <w:tc>
          <w:tcPr>
            <w:tcW w:w="0" w:type="dxa"/>
            <w:vAlign w:val="bottom"/>
          </w:tcPr>
          <w:p>
            <w:pPr>
              <w:spacing w:after="0"/>
              <w:rPr>
                <w:sz w:val="1"/>
                <w:szCs w:val="1"/>
                <w:color w:val="auto"/>
              </w:rPr>
            </w:pPr>
          </w:p>
        </w:tc>
      </w:tr>
      <w:tr>
        <w:trPr>
          <w:trHeight w:val="194"/>
        </w:trPr>
        <w:tc>
          <w:tcPr>
            <w:tcW w:w="10660" w:type="dxa"/>
            <w:vAlign w:val="bottom"/>
            <w:gridSpan w:val="2"/>
          </w:tcPr>
          <w:p>
            <w:pPr>
              <w:spacing w:after="0" w:line="194" w:lineRule="exact"/>
              <w:rPr>
                <w:sz w:val="20"/>
                <w:szCs w:val="20"/>
                <w:color w:val="auto"/>
              </w:rPr>
            </w:pPr>
            <w:r>
              <w:rPr>
                <w:rFonts w:ascii="Arial" w:cs="Arial" w:eastAsia="Arial" w:hAnsi="Arial"/>
                <w:sz w:val="17"/>
                <w:szCs w:val="17"/>
                <w:color w:val="auto"/>
              </w:rPr>
              <w:t>Compensation Committee</w:t>
            </w:r>
          </w:p>
        </w:tc>
        <w:tc>
          <w:tcPr>
            <w:tcW w:w="12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9"/>
              </w:rPr>
              <w:t>10,000</w:t>
            </w:r>
          </w:p>
        </w:tc>
        <w:tc>
          <w:tcPr>
            <w:tcW w:w="0" w:type="dxa"/>
            <w:vAlign w:val="bottom"/>
          </w:tcPr>
          <w:p>
            <w:pPr>
              <w:spacing w:after="0"/>
              <w:rPr>
                <w:sz w:val="1"/>
                <w:szCs w:val="1"/>
                <w:color w:val="auto"/>
              </w:rPr>
            </w:pPr>
          </w:p>
        </w:tc>
      </w:tr>
      <w:tr>
        <w:trPr>
          <w:trHeight w:val="194"/>
        </w:trPr>
        <w:tc>
          <w:tcPr>
            <w:tcW w:w="106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Nominating and Corporate Governance Committee</w:t>
            </w: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60" w:type="dxa"/>
            <w:vAlign w:val="bottom"/>
            <w:tcBorders>
              <w:bottom w:val="single" w:sz="8" w:color="auto"/>
            </w:tcBorders>
          </w:tcPr>
          <w:p>
            <w:pPr>
              <w:spacing w:after="0"/>
              <w:rPr>
                <w:sz w:val="11"/>
                <w:szCs w:val="11"/>
                <w:color w:val="auto"/>
              </w:rPr>
            </w:pPr>
          </w:p>
        </w:tc>
        <w:tc>
          <w:tcPr>
            <w:tcW w:w="9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The non-chair members of the three standing committees of our board of directors will be entitled to the following cash retainers for each fiscal year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BOARD COMMITTEE</w:t>
            </w:r>
          </w:p>
        </w:tc>
        <w:tc>
          <w:tcPr>
            <w:tcW w:w="5980" w:type="dxa"/>
            <w:vAlign w:val="bottom"/>
          </w:tcPr>
          <w:p>
            <w:pPr>
              <w:spacing w:after="0"/>
              <w:rPr>
                <w:sz w:val="12"/>
                <w:szCs w:val="12"/>
                <w:color w:val="auto"/>
              </w:rPr>
            </w:pP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MEMBER</w:t>
            </w:r>
          </w:p>
        </w:tc>
        <w:tc>
          <w:tcPr>
            <w:tcW w:w="0" w:type="dxa"/>
            <w:vAlign w:val="bottom"/>
          </w:tcPr>
          <w:p>
            <w:pPr>
              <w:spacing w:after="0"/>
              <w:rPr>
                <w:sz w:val="1"/>
                <w:szCs w:val="1"/>
                <w:color w:val="auto"/>
              </w:rPr>
            </w:pPr>
          </w:p>
        </w:tc>
      </w:tr>
      <w:tr>
        <w:trPr>
          <w:trHeight w:val="166"/>
        </w:trPr>
        <w:tc>
          <w:tcPr>
            <w:tcW w:w="4680" w:type="dxa"/>
            <w:vAlign w:val="bottom"/>
            <w:gridSpan w:val="2"/>
            <w:vMerge w:val="continue"/>
          </w:tcPr>
          <w:p>
            <w:pPr>
              <w:spacing w:after="0"/>
              <w:rPr>
                <w:sz w:val="14"/>
                <w:szCs w:val="14"/>
                <w:color w:val="auto"/>
              </w:rPr>
            </w:pPr>
          </w:p>
        </w:tc>
        <w:tc>
          <w:tcPr>
            <w:tcW w:w="5980" w:type="dxa"/>
            <w:vAlign w:val="bottom"/>
          </w:tcPr>
          <w:p>
            <w:pPr>
              <w:spacing w:after="0"/>
              <w:rPr>
                <w:sz w:val="14"/>
                <w:szCs w:val="14"/>
                <w:color w:val="auto"/>
              </w:rPr>
            </w:pPr>
          </w:p>
        </w:tc>
        <w:tc>
          <w:tcPr>
            <w:tcW w:w="76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RETAINER</w:t>
            </w:r>
          </w:p>
        </w:tc>
        <w:tc>
          <w:tcPr>
            <w:tcW w:w="0" w:type="dxa"/>
            <w:vAlign w:val="bottom"/>
          </w:tcPr>
          <w:p>
            <w:pPr>
              <w:spacing w:after="0"/>
              <w:rPr>
                <w:sz w:val="1"/>
                <w:szCs w:val="1"/>
                <w:color w:val="auto"/>
              </w:rPr>
            </w:pPr>
          </w:p>
        </w:tc>
      </w:tr>
      <w:tr>
        <w:trPr>
          <w:trHeight w:val="179"/>
        </w:trPr>
        <w:tc>
          <w:tcPr>
            <w:tcW w:w="12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98"/>
              </w:rPr>
              <w:t>Audit Committee</w:t>
            </w:r>
          </w:p>
        </w:tc>
        <w:tc>
          <w:tcPr>
            <w:tcW w:w="3420" w:type="dxa"/>
            <w:vAlign w:val="bottom"/>
            <w:tcBorders>
              <w:top w:val="single" w:sz="8" w:color="CCEEFF"/>
            </w:tcBorders>
            <w:shd w:val="clear" w:color="auto" w:fill="CCEEFF"/>
          </w:tcPr>
          <w:p>
            <w:pPr>
              <w:spacing w:after="0"/>
              <w:rPr>
                <w:sz w:val="15"/>
                <w:szCs w:val="15"/>
                <w:color w:val="auto"/>
              </w:rPr>
            </w:pPr>
          </w:p>
        </w:tc>
        <w:tc>
          <w:tcPr>
            <w:tcW w:w="59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7,500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80" w:type="dxa"/>
            <w:vAlign w:val="bottom"/>
            <w:gridSpan w:val="2"/>
          </w:tcPr>
          <w:p>
            <w:pPr>
              <w:spacing w:after="0" w:line="194" w:lineRule="exact"/>
              <w:rPr>
                <w:sz w:val="20"/>
                <w:szCs w:val="20"/>
                <w:color w:val="auto"/>
              </w:rPr>
            </w:pPr>
            <w:r>
              <w:rPr>
                <w:rFonts w:ascii="Arial" w:cs="Arial" w:eastAsia="Arial" w:hAnsi="Arial"/>
                <w:sz w:val="17"/>
                <w:szCs w:val="17"/>
                <w:color w:val="auto"/>
              </w:rPr>
              <w:t>Compensation Committee</w:t>
            </w:r>
          </w:p>
        </w:tc>
        <w:tc>
          <w:tcPr>
            <w:tcW w:w="6140" w:type="dxa"/>
            <w:vAlign w:val="bottom"/>
            <w:gridSpan w:val="2"/>
          </w:tcPr>
          <w:p>
            <w:pPr>
              <w:ind w:left="5980"/>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94" w:lineRule="exact"/>
              <w:rPr>
                <w:sz w:val="20"/>
                <w:szCs w:val="20"/>
                <w:color w:val="auto"/>
              </w:rPr>
            </w:pPr>
            <w:r>
              <w:rPr>
                <w:rFonts w:ascii="Arial" w:cs="Arial" w:eastAsia="Arial" w:hAnsi="Arial"/>
                <w:sz w:val="17"/>
                <w:szCs w:val="17"/>
                <w:color w:val="auto"/>
              </w:rPr>
              <w:t>5,000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Nominating and Corporate Governance Committee</w:t>
            </w:r>
          </w:p>
        </w:tc>
        <w:tc>
          <w:tcPr>
            <w:tcW w:w="6140" w:type="dxa"/>
            <w:vAlign w:val="bottom"/>
            <w:gridSpan w:val="2"/>
            <w:shd w:val="clear" w:color="auto" w:fill="CCEEFF"/>
          </w:tcPr>
          <w:p>
            <w:pPr>
              <w:ind w:left="5980"/>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6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5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980" w:type="dxa"/>
            <w:vAlign w:val="bottom"/>
          </w:tcPr>
          <w:p>
            <w:pPr>
              <w:jc w:val="right"/>
              <w:ind w:right="4716"/>
              <w:spacing w:after="0"/>
              <w:rPr>
                <w:sz w:val="20"/>
                <w:szCs w:val="20"/>
                <w:color w:val="auto"/>
              </w:rPr>
            </w:pPr>
            <w:r>
              <w:rPr>
                <w:rFonts w:ascii="Arial" w:cs="Arial" w:eastAsia="Arial" w:hAnsi="Arial"/>
                <w:sz w:val="17"/>
                <w:szCs w:val="17"/>
                <w:color w:val="auto"/>
              </w:rPr>
              <w:t>134</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All cash payments will be payable in four equal installments on the date of our annual meeting, and on the last day of the third month, sixth month and ninth month thereafter, during which such individual served as a director or chair of our board of directors or of the applicable committee (such payments to be prorated for service during a portion of such quarter).</w:t>
      </w:r>
    </w:p>
    <w:p>
      <w:pPr>
        <w:spacing w:after="0" w:line="108" w:lineRule="exact"/>
        <w:rPr>
          <w:sz w:val="20"/>
          <w:szCs w:val="20"/>
          <w:color w:val="auto"/>
        </w:rPr>
      </w:pPr>
    </w:p>
    <w:p>
      <w:pPr>
        <w:ind w:right="1900"/>
        <w:spacing w:after="0" w:line="348" w:lineRule="auto"/>
        <w:rPr>
          <w:sz w:val="20"/>
          <w:szCs w:val="20"/>
          <w:color w:val="auto"/>
        </w:rPr>
      </w:pPr>
      <w:r>
        <w:rPr>
          <w:rFonts w:ascii="Arial" w:cs="Arial" w:eastAsia="Arial" w:hAnsi="Arial"/>
          <w:sz w:val="17"/>
          <w:szCs w:val="17"/>
          <w:color w:val="auto"/>
        </w:rPr>
        <w:t xml:space="preserve">All directors will be reimbursed for standard travel expenses incurred in their capacities as directors and/or committee members. </w:t>
      </w:r>
      <w:r>
        <w:rPr>
          <w:rFonts w:ascii="Arial" w:cs="Arial" w:eastAsia="Arial" w:hAnsi="Arial"/>
          <w:sz w:val="17"/>
          <w:szCs w:val="17"/>
          <w:b w:val="1"/>
          <w:bCs w:val="1"/>
          <w:color w:val="auto"/>
        </w:rPr>
        <w:t>Compensation Committee Interlocks and Insider Participation</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During the fiscal year ended December 31, 2013, Drs. Azab and Patou and Mr. Tarnow served as members of our compensation committee. No such person is currently, or has been at any time, one of our officers or employees. None of our executive officers currently serves, or has served during the last completed three fiscal years, as a member of the board of directors or compensation committee of any other entity that has or had one or more executive officers serving as a member of our board of directors or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have adopted a written code of business conduct and ethics that became effective on the date of this prospectus and that applies to all of our employees, officers and directors, including those officers responsible for financial reporting. Following the completion of this offering, the code of business conduct and ethics will be available on the investor section of our website at www.xenon-pharma.com. We intend to disclose on our website any amendment to, or waiver of, any provision of our code of business conduct and ethics applicable to our directors and executive officers required to be disclosed under the rules of the SEC and NASDAQ.</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 and Directors’ and Officers’ Liability Insurance</w:t>
      </w:r>
    </w:p>
    <w:p>
      <w:pPr>
        <w:spacing w:after="0" w:line="44"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We will enter into indemnification agreements with each of our directors and officers prior to the completion of this offering. For further information regarding the indemnification agreements with each of our directors and officers, see the section titled “Certain Relationships and Related Party Transactions—Indemnification Agreements and Directors’ and Officers’ Liability Insurance.”</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Under the Canada Business Corporations Act, or CBCA, we may indemnify our current or former directors or officers or any other individuals who act or have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the other entity. The CBCA also provides that we may advance moneys to a director, officer or other individual for costs, charges and expenses reasonably incurred in connection with such a proceeding. The individual shall repay the moneys to us if indemnification of the individual is ultimately prohibited under the CBCA, as described below.</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is prohibited under the CBCA unless the individual:</w:t>
      </w:r>
    </w:p>
    <w:p>
      <w:pPr>
        <w:spacing w:after="0" w:line="127" w:lineRule="exact"/>
        <w:rPr>
          <w:sz w:val="20"/>
          <w:szCs w:val="20"/>
          <w:color w:val="auto"/>
        </w:rPr>
      </w:pPr>
    </w:p>
    <w:p>
      <w:pPr>
        <w:ind w:left="780" w:right="520" w:hanging="441"/>
        <w:spacing w:after="0" w:line="191" w:lineRule="auto"/>
        <w:tabs>
          <w:tab w:leader="none" w:pos="780" w:val="left"/>
        </w:tabs>
        <w:numPr>
          <w:ilvl w:val="0"/>
          <w:numId w:val="89"/>
        </w:numPr>
        <w:rPr>
          <w:rFonts w:ascii="Arial" w:cs="Arial" w:eastAsia="Arial" w:hAnsi="Arial"/>
          <w:sz w:val="26"/>
          <w:szCs w:val="26"/>
          <w:color w:val="auto"/>
          <w:vertAlign w:val="superscript"/>
        </w:rPr>
      </w:pPr>
      <w:r>
        <w:rPr>
          <w:rFonts w:ascii="Arial" w:cs="Arial" w:eastAsia="Arial" w:hAnsi="Arial"/>
          <w:sz w:val="17"/>
          <w:szCs w:val="17"/>
          <w:color w:val="auto"/>
        </w:rPr>
        <w:t>acted honestly and in good faith with a view to our best interests, or the best interests of the other entity for which the individual acted as director or officer or in a similar capacity at our request;</w:t>
      </w:r>
    </w:p>
    <w:p>
      <w:pPr>
        <w:spacing w:after="0" w:line="19" w:lineRule="exact"/>
        <w:rPr>
          <w:rFonts w:ascii="Arial" w:cs="Arial" w:eastAsia="Arial" w:hAnsi="Arial"/>
          <w:sz w:val="26"/>
          <w:szCs w:val="26"/>
          <w:color w:val="auto"/>
          <w:vertAlign w:val="superscript"/>
        </w:rPr>
      </w:pPr>
    </w:p>
    <w:p>
      <w:pPr>
        <w:ind w:left="780" w:right="180" w:hanging="441"/>
        <w:spacing w:after="0" w:line="191" w:lineRule="auto"/>
        <w:tabs>
          <w:tab w:leader="none" w:pos="780" w:val="left"/>
        </w:tabs>
        <w:numPr>
          <w:ilvl w:val="0"/>
          <w:numId w:val="89"/>
        </w:numPr>
        <w:rPr>
          <w:rFonts w:ascii="Arial" w:cs="Arial" w:eastAsia="Arial" w:hAnsi="Arial"/>
          <w:sz w:val="26"/>
          <w:szCs w:val="26"/>
          <w:color w:val="auto"/>
          <w:vertAlign w:val="superscript"/>
        </w:rPr>
      </w:pPr>
      <w:r>
        <w:rPr>
          <w:rFonts w:ascii="Arial" w:cs="Arial" w:eastAsia="Arial" w:hAnsi="Arial"/>
          <w:sz w:val="17"/>
          <w:szCs w:val="17"/>
          <w:color w:val="auto"/>
        </w:rPr>
        <w:t>in the case of a criminal or administrative action or proceeding that is enforced by a monetary penalty, the individual had reasonable grounds for believing that his or her conduct was lawful; and</w:t>
      </w:r>
    </w:p>
    <w:p>
      <w:pPr>
        <w:spacing w:after="0" w:line="19" w:lineRule="exact"/>
        <w:rPr>
          <w:rFonts w:ascii="Arial" w:cs="Arial" w:eastAsia="Arial" w:hAnsi="Arial"/>
          <w:sz w:val="26"/>
          <w:szCs w:val="26"/>
          <w:color w:val="auto"/>
          <w:vertAlign w:val="superscript"/>
        </w:rPr>
      </w:pPr>
    </w:p>
    <w:p>
      <w:pPr>
        <w:ind w:left="780" w:hanging="441"/>
        <w:spacing w:after="0" w:line="191" w:lineRule="auto"/>
        <w:tabs>
          <w:tab w:leader="none" w:pos="780" w:val="left"/>
        </w:tabs>
        <w:numPr>
          <w:ilvl w:val="0"/>
          <w:numId w:val="89"/>
        </w:numPr>
        <w:rPr>
          <w:rFonts w:ascii="Arial" w:cs="Arial" w:eastAsia="Arial" w:hAnsi="Arial"/>
          <w:sz w:val="26"/>
          <w:szCs w:val="26"/>
          <w:color w:val="auto"/>
          <w:vertAlign w:val="superscript"/>
        </w:rPr>
      </w:pPr>
      <w:r>
        <w:rPr>
          <w:rFonts w:ascii="Arial" w:cs="Arial" w:eastAsia="Arial" w:hAnsi="Arial"/>
          <w:sz w:val="17"/>
          <w:szCs w:val="17"/>
          <w:color w:val="auto"/>
        </w:rPr>
        <w:t>was not judged by the court or other competent authority to have committed any fault or omitted to do anything that the individual ought to have done.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380"/>
          </w:cols>
          <w:pgMar w:left="240" w:top="444" w:right="2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by-laws require us to indemnify each of our directors, officers, former directors or officers or persons who act or acted at our request as a director or officer, or an individual acting in a similar capacity, of another body corporate to the fullest extent permitted under the CBCA. We will indemnify such individual against all costs, charges and expenses, including an amount paid to settle an action or proceeding to which the individual is made a party by reason of being or having been a director of officer of us or such body corporate. However, we shall not indemnify such individual if the individual did not act honestly and in good faith with a view to our best interests or, in the case of a criminal or administrative action or proceeding that is enforced by a monetary penalty, the individual did not have reasonable grounds for believing that his or her conduct was lawful.</w:t>
      </w:r>
    </w:p>
    <w:p>
      <w:pPr>
        <w:spacing w:after="0" w:line="148"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Our by-laws authorize us, with the approval of our board of directors, to purchase and maintain insurance for the benefit of any persons our board of directors may from time to time determine.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60"/>
          </w:cols>
          <w:pgMar w:left="240" w:top="444" w:right="3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Summary Compensation Table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compensation of our named executive officers during the year ended December 31, 2013.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NON-</w:t>
            </w: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9"/>
              </w:rPr>
              <w:t>EQUITY</w:t>
            </w: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 xml:space="preserve">SALARY </w:t>
            </w:r>
            <w:r>
              <w:rPr>
                <w:rFonts w:ascii="Arial" w:cs="Arial" w:eastAsia="Arial" w:hAnsi="Arial"/>
                <w:sz w:val="21"/>
                <w:szCs w:val="21"/>
                <w:b w:val="1"/>
                <w:bCs w:val="1"/>
                <w:color w:val="auto"/>
                <w:w w:val="91"/>
                <w:vertAlign w:val="superscript"/>
              </w:rPr>
              <w:t>(1)</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 xml:space="preserve">BONUS </w:t>
            </w:r>
            <w:r>
              <w:rPr>
                <w:rFonts w:ascii="Arial" w:cs="Arial" w:eastAsia="Arial" w:hAnsi="Arial"/>
                <w:sz w:val="21"/>
                <w:szCs w:val="21"/>
                <w:b w:val="1"/>
                <w:bCs w:val="1"/>
                <w:color w:val="auto"/>
                <w:w w:val="97"/>
                <w:vertAlign w:val="superscript"/>
              </w:rPr>
              <w:t>(1)</w:t>
            </w:r>
          </w:p>
        </w:tc>
        <w:tc>
          <w:tcPr>
            <w:tcW w:w="2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7"/>
              </w:rPr>
              <w:t>INCENTIVE</w:t>
            </w:r>
          </w:p>
        </w:tc>
        <w:tc>
          <w:tcPr>
            <w:tcW w:w="15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9"/>
              </w:rPr>
              <w:t>ALL OTHER</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 xml:space="preserve">TOTAL </w:t>
            </w:r>
            <w:r>
              <w:rPr>
                <w:rFonts w:ascii="Arial" w:cs="Arial" w:eastAsia="Arial" w:hAnsi="Arial"/>
                <w:sz w:val="21"/>
                <w:szCs w:val="21"/>
                <w:b w:val="1"/>
                <w:bCs w:val="1"/>
                <w:color w:val="auto"/>
                <w:w w:val="96"/>
                <w:vertAlign w:val="superscript"/>
              </w:rPr>
              <w:t>(1)</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1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w:t>
            </w: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2"/>
                <w:szCs w:val="12"/>
                <w:b w:val="1"/>
                <w:bCs w:val="1"/>
                <w:color w:val="auto"/>
                <w:w w:val="96"/>
              </w:rPr>
              <w:t xml:space="preserve">AWARDS </w:t>
            </w:r>
            <w:r>
              <w:rPr>
                <w:rFonts w:ascii="Arial" w:cs="Arial" w:eastAsia="Arial" w:hAnsi="Arial"/>
                <w:sz w:val="19"/>
                <w:szCs w:val="19"/>
                <w:b w:val="1"/>
                <w:bCs w:val="1"/>
                <w:color w:val="auto"/>
                <w:w w:val="96"/>
                <w:vertAlign w:val="superscript"/>
              </w:rPr>
              <w:t>(2)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9"/>
                <w:szCs w:val="19"/>
                <w:b w:val="1"/>
                <w:bCs w:val="1"/>
                <w:color w:val="auto"/>
                <w:vertAlign w:val="subscript"/>
              </w:rPr>
              <w:t>PLAN</w:t>
            </w:r>
            <w:r>
              <w:rPr>
                <w:rFonts w:ascii="Arial" w:cs="Arial" w:eastAsia="Arial" w:hAnsi="Arial"/>
                <w:sz w:val="9"/>
                <w:szCs w:val="9"/>
                <w:b w:val="1"/>
                <w:bCs w:val="1"/>
                <w:color w:val="auto"/>
              </w:rPr>
              <w:t xml:space="preserve"> (1)(3)</w:t>
            </w:r>
          </w:p>
        </w:tc>
        <w:tc>
          <w:tcPr>
            <w:tcW w:w="3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9"/>
                <w:szCs w:val="19"/>
                <w:b w:val="1"/>
                <w:bCs w:val="1"/>
                <w:color w:val="auto"/>
                <w:vertAlign w:val="superscript"/>
              </w:rPr>
              <w:t>(1)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Simon N. Pimstone</w:t>
            </w:r>
          </w:p>
        </w:tc>
        <w:tc>
          <w:tcPr>
            <w:tcW w:w="7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7"/>
                <w:szCs w:val="17"/>
                <w:color w:val="auto"/>
              </w:rPr>
              <w:t>2013</w:t>
            </w:r>
          </w:p>
        </w:tc>
        <w:tc>
          <w:tcPr>
            <w:tcW w:w="8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w w:val="98"/>
              </w:rPr>
              <w:t>$369,851</w:t>
            </w: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$ 190,867</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$115,578</w:t>
            </w:r>
          </w:p>
        </w:tc>
        <w:tc>
          <w:tcPr>
            <w:tcW w:w="3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line="177" w:lineRule="exact"/>
              <w:rPr>
                <w:sz w:val="20"/>
                <w:szCs w:val="20"/>
                <w:color w:val="auto"/>
              </w:rPr>
            </w:pPr>
            <w:r>
              <w:rPr>
                <w:rFonts w:ascii="Arial" w:cs="Arial" w:eastAsia="Arial" w:hAnsi="Arial"/>
                <w:sz w:val="16"/>
                <w:szCs w:val="16"/>
                <w:color w:val="auto"/>
              </w:rPr>
              <w:t>$20,639</w:t>
            </w:r>
            <w:r>
              <w:rPr>
                <w:rFonts w:ascii="Arial" w:cs="Arial" w:eastAsia="Arial" w:hAnsi="Arial"/>
                <w:sz w:val="20"/>
                <w:szCs w:val="20"/>
                <w:color w:val="auto"/>
                <w:vertAlign w:val="superscript"/>
              </w:rPr>
              <w:t>(4)</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$696,935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President and Chief Executive Officer</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2012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366,371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line="217" w:lineRule="exact"/>
              <w:rPr>
                <w:sz w:val="20"/>
                <w:szCs w:val="20"/>
                <w:color w:val="auto"/>
              </w:rPr>
            </w:pPr>
            <w:r>
              <w:rPr>
                <w:rFonts w:ascii="Arial" w:cs="Arial" w:eastAsia="Arial" w:hAnsi="Arial"/>
                <w:sz w:val="17"/>
                <w:szCs w:val="17"/>
                <w:color w:val="auto"/>
                <w:w w:val="91"/>
              </w:rPr>
              <w:t>100,060</w:t>
            </w:r>
            <w:r>
              <w:rPr>
                <w:rFonts w:ascii="Arial" w:cs="Arial" w:eastAsia="Arial" w:hAnsi="Arial"/>
                <w:sz w:val="21"/>
                <w:szCs w:val="21"/>
                <w:color w:val="auto"/>
                <w:w w:val="91"/>
                <w:vertAlign w:val="superscript"/>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113,571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183,185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line="217" w:lineRule="exact"/>
              <w:rPr>
                <w:sz w:val="20"/>
                <w:szCs w:val="20"/>
                <w:color w:val="auto"/>
              </w:rPr>
            </w:pPr>
            <w:r>
              <w:rPr>
                <w:rFonts w:ascii="Arial" w:cs="Arial" w:eastAsia="Arial" w:hAnsi="Arial"/>
                <w:sz w:val="17"/>
                <w:szCs w:val="17"/>
                <w:color w:val="auto"/>
              </w:rPr>
              <w:t>18,519</w:t>
            </w:r>
            <w:r>
              <w:rPr>
                <w:rFonts w:ascii="Arial" w:cs="Arial" w:eastAsia="Arial" w:hAnsi="Arial"/>
                <w:sz w:val="21"/>
                <w:szCs w:val="21"/>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781,706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00" w:type="dxa"/>
            <w:vAlign w:val="bottom"/>
          </w:tcPr>
          <w:p>
            <w:pPr>
              <w:spacing w:after="0"/>
              <w:rPr>
                <w:sz w:val="20"/>
                <w:szCs w:val="20"/>
                <w:color w:val="auto"/>
              </w:rPr>
            </w:pPr>
            <w:r>
              <w:rPr>
                <w:rFonts w:ascii="Arial" w:cs="Arial" w:eastAsia="Arial" w:hAnsi="Arial"/>
                <w:sz w:val="17"/>
                <w:szCs w:val="17"/>
                <w:color w:val="auto"/>
              </w:rPr>
              <w:t>Ian C. Mortimer</w:t>
            </w:r>
          </w:p>
        </w:tc>
        <w:tc>
          <w:tcPr>
            <w:tcW w:w="720" w:type="dxa"/>
            <w:vAlign w:val="bottom"/>
            <w:gridSpan w:val="2"/>
          </w:tcPr>
          <w:p>
            <w:pPr>
              <w:ind w:left="40"/>
              <w:spacing w:after="0"/>
              <w:rPr>
                <w:sz w:val="20"/>
                <w:szCs w:val="20"/>
                <w:color w:val="auto"/>
              </w:rPr>
            </w:pPr>
            <w:r>
              <w:rPr>
                <w:rFonts w:ascii="Arial" w:cs="Arial" w:eastAsia="Arial" w:hAnsi="Arial"/>
                <w:sz w:val="17"/>
                <w:szCs w:val="17"/>
                <w:color w:val="auto"/>
              </w:rPr>
              <w:t>2013</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64,169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9,713</w:t>
            </w:r>
            <w:r>
              <w:rPr>
                <w:rFonts w:ascii="Arial" w:cs="Arial" w:eastAsia="Arial" w:hAnsi="Arial"/>
                <w:sz w:val="10"/>
                <w:szCs w:val="10"/>
                <w:color w:val="auto"/>
              </w:rPr>
              <w:t>(6)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402,465</w:t>
            </w: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19,749</w:t>
            </w:r>
          </w:p>
        </w:tc>
        <w:tc>
          <w:tcPr>
            <w:tcW w:w="3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3,411</w:t>
            </w:r>
            <w:r>
              <w:rPr>
                <w:rFonts w:ascii="Arial" w:cs="Arial" w:eastAsia="Arial" w:hAnsi="Arial"/>
                <w:sz w:val="10"/>
                <w:szCs w:val="10"/>
                <w:color w:val="auto"/>
              </w:rPr>
              <w:t>(7)</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499,507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Y. Paul Goldberg</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2013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3,450</w:t>
            </w:r>
            <w:r>
              <w:rPr>
                <w:rFonts w:ascii="Arial" w:cs="Arial" w:eastAsia="Arial" w:hAnsi="Arial"/>
                <w:sz w:val="10"/>
                <w:szCs w:val="10"/>
                <w:color w:val="auto"/>
              </w:rPr>
              <w:t>(8)</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35,932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59,012</w:t>
            </w: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16,197</w:t>
            </w:r>
            <w:r>
              <w:rPr>
                <w:rFonts w:ascii="Arial" w:cs="Arial" w:eastAsia="Arial" w:hAnsi="Arial"/>
                <w:sz w:val="10"/>
                <w:szCs w:val="10"/>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Vice President,</w:t>
            </w:r>
          </w:p>
        </w:tc>
        <w:tc>
          <w:tcPr>
            <w:tcW w:w="72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2012</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278,365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25,015</w:t>
            </w:r>
            <w:r>
              <w:rPr>
                <w:rFonts w:ascii="Arial" w:cs="Arial" w:eastAsia="Arial" w:hAnsi="Arial"/>
                <w:sz w:val="10"/>
                <w:szCs w:val="10"/>
                <w:color w:val="auto"/>
              </w:rPr>
              <w:t>(5)</w:t>
            </w:r>
          </w:p>
        </w:tc>
        <w:tc>
          <w:tcPr>
            <w:tcW w:w="104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15,143</w:t>
            </w:r>
          </w:p>
        </w:tc>
        <w:tc>
          <w:tcPr>
            <w:tcW w:w="8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83,507</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14,072</w:t>
            </w:r>
            <w:r>
              <w:rPr>
                <w:rFonts w:ascii="Arial" w:cs="Arial" w:eastAsia="Arial" w:hAnsi="Arial"/>
                <w:sz w:val="10"/>
                <w:szCs w:val="10"/>
                <w:color w:val="auto"/>
              </w:rPr>
              <w:t>(9)</w:t>
            </w: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416,102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Clinical Development</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9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1" w:lineRule="exact"/>
        <w:rPr>
          <w:sz w:val="20"/>
          <w:szCs w:val="20"/>
          <w:color w:val="auto"/>
        </w:rPr>
      </w:pPr>
    </w:p>
    <w:p>
      <w:pPr>
        <w:ind w:left="320" w:right="20" w:hanging="264"/>
        <w:spacing w:after="0" w:line="190" w:lineRule="auto"/>
        <w:tabs>
          <w:tab w:leader="none" w:pos="32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Except as otherwise indicated, compensation amounts were paid in Canadian dollars and have been converted to U.S. dollars for purposes of the table. For 2013, the U.S. dollar per Canadian dollar exchange rate used for such conversion was 0.9713 which was the average Bank of Canada exchange rate for the 2013 fiscal year. For 2012, the U.S. dollar per Canadian dollar exchange rate used for such conversion was 1.0006 which was the average Bank of Canada exchange rate for the 2012 fiscal year.</w:t>
      </w:r>
    </w:p>
    <w:p>
      <w:pPr>
        <w:spacing w:after="0" w:line="14" w:lineRule="exact"/>
        <w:rPr>
          <w:rFonts w:ascii="Arial" w:cs="Arial" w:eastAsia="Arial" w:hAnsi="Arial"/>
          <w:sz w:val="22"/>
          <w:szCs w:val="22"/>
          <w:color w:val="auto"/>
          <w:vertAlign w:val="superscript"/>
        </w:rPr>
      </w:pPr>
    </w:p>
    <w:p>
      <w:pPr>
        <w:ind w:left="320" w:right="40" w:hanging="264"/>
        <w:spacing w:after="0" w:line="207" w:lineRule="auto"/>
        <w:tabs>
          <w:tab w:leader="none" w:pos="32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Represents the aggregate grant date fair value of stock option awards granted in 2013. These amounts have been computed in accordance with Financial Accounting Standards Board, or FASB, Accounting Standards Codification, or ASC, Topic 718, using the Black-Scholes option pricing model without regard to estimated forfeitures. For a discussion of valuation assumptions, see the notes to our financial statements included elsewhere in this prospectus and the critical accounting policy discussions in the section titled “Management’s Discussion and Analysis of Financial Condition and Results of Operation — Critical Accounting Policies — Share-Based Compensation”. The exercise price for stock options were denominated in Canadian dollars on the date of grant. The amounts reflected in this column were converted to U.S. dollars using the U.S. dollar per Canadian dollar exchange rate on January 1, 2012, September 24, 2012, January 1, 2013, January 14, 2013 and August 1, 2013, the dates of grant, which is 0.9833, 1.0203, 1.0051, 1.0163 and 0.9673, respectively.</w:t>
      </w:r>
    </w:p>
    <w:p>
      <w:pPr>
        <w:spacing w:after="0" w:line="14" w:lineRule="exact"/>
        <w:rPr>
          <w:rFonts w:ascii="Arial" w:cs="Arial" w:eastAsia="Arial" w:hAnsi="Arial"/>
          <w:sz w:val="22"/>
          <w:szCs w:val="22"/>
          <w:color w:val="auto"/>
          <w:vertAlign w:val="superscript"/>
        </w:rPr>
      </w:pPr>
    </w:p>
    <w:p>
      <w:pPr>
        <w:ind w:left="320" w:right="60" w:hanging="264"/>
        <w:spacing w:after="0" w:line="185" w:lineRule="auto"/>
        <w:tabs>
          <w:tab w:leader="none" w:pos="320" w:val="left"/>
        </w:tabs>
        <w:numPr>
          <w:ilvl w:val="0"/>
          <w:numId w:val="90"/>
        </w:numPr>
        <w:rPr>
          <w:rFonts w:ascii="Arial" w:cs="Arial" w:eastAsia="Arial" w:hAnsi="Arial"/>
          <w:sz w:val="20"/>
          <w:szCs w:val="20"/>
          <w:color w:val="auto"/>
          <w:vertAlign w:val="superscript"/>
        </w:rPr>
      </w:pPr>
      <w:r>
        <w:rPr>
          <w:rFonts w:ascii="Arial" w:cs="Arial" w:eastAsia="Arial" w:hAnsi="Arial"/>
          <w:sz w:val="12"/>
          <w:szCs w:val="12"/>
          <w:color w:val="auto"/>
        </w:rPr>
        <w:t>The amount represents payments earned in 2012 and 2013 under the 2012 and 2013 Compensation Program Bonus Plan, which were paid in February 2013 and February 2014, respectively as discussed under the sections titled “Executive Compensation —2013 Non-Equity Incentive Plan Payments” and ‘‘Executive Compensation — 2012 Non-Equity Incentive Plan Payments”.</w:t>
      </w:r>
    </w:p>
    <w:p>
      <w:pPr>
        <w:ind w:left="320"/>
        <w:spacing w:after="0"/>
        <w:rPr>
          <w:rFonts w:ascii="Arial" w:cs="Arial" w:eastAsia="Arial" w:hAnsi="Arial"/>
          <w:sz w:val="20"/>
          <w:szCs w:val="20"/>
          <w:color w:val="auto"/>
          <w:vertAlign w:val="superscript"/>
        </w:rPr>
      </w:pPr>
      <w:r>
        <w:rPr>
          <w:rFonts w:ascii="Arial" w:cs="Arial" w:eastAsia="Arial" w:hAnsi="Arial"/>
          <w:sz w:val="13"/>
          <w:szCs w:val="13"/>
          <w:color w:val="auto"/>
        </w:rPr>
        <w:t>Mr. Mortimer’s payment was prorated to reflect the commencement of his employment with us in the fourth quarter of 2013.</w:t>
      </w:r>
    </w:p>
    <w:p>
      <w:pPr>
        <w:spacing w:after="0" w:line="18" w:lineRule="exact"/>
        <w:rPr>
          <w:rFonts w:ascii="Arial" w:cs="Arial" w:eastAsia="Arial" w:hAnsi="Arial"/>
          <w:sz w:val="20"/>
          <w:szCs w:val="20"/>
          <w:color w:val="auto"/>
          <w:vertAlign w:val="superscript"/>
        </w:rPr>
      </w:pPr>
    </w:p>
    <w:p>
      <w:pPr>
        <w:ind w:left="320" w:right="380" w:hanging="264"/>
        <w:spacing w:after="0" w:line="190" w:lineRule="auto"/>
        <w:tabs>
          <w:tab w:leader="none" w:pos="32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Of the total amount for 2013, (i) $596 represents life insurance premiums through our group extended benefit plan, (ii) $1,550 represents provincial health care premiums and (iii) $18,493 represents contributions to our registered retirement savings plan. Of the total amount for 2012, (i) $616 represents life insurance premiums through our group extended benefit plan and (ii) $17,903 represents contributions to our registered retirement savings plan.</w:t>
      </w:r>
    </w:p>
    <w:p>
      <w:pPr>
        <w:spacing w:after="0" w:line="14" w:lineRule="exact"/>
        <w:rPr>
          <w:rFonts w:ascii="Arial" w:cs="Arial" w:eastAsia="Arial" w:hAnsi="Arial"/>
          <w:sz w:val="22"/>
          <w:szCs w:val="22"/>
          <w:color w:val="auto"/>
          <w:vertAlign w:val="superscript"/>
        </w:rPr>
      </w:pPr>
    </w:p>
    <w:p>
      <w:pPr>
        <w:ind w:left="320" w:right="20" w:hanging="264"/>
        <w:spacing w:after="0" w:line="193" w:lineRule="auto"/>
        <w:tabs>
          <w:tab w:leader="none" w:pos="320" w:val="left"/>
        </w:tabs>
        <w:numPr>
          <w:ilvl w:val="0"/>
          <w:numId w:val="90"/>
        </w:numPr>
        <w:rPr>
          <w:rFonts w:ascii="Arial" w:cs="Arial" w:eastAsia="Arial" w:hAnsi="Arial"/>
          <w:sz w:val="20"/>
          <w:szCs w:val="20"/>
          <w:color w:val="auto"/>
          <w:vertAlign w:val="superscript"/>
        </w:rPr>
      </w:pPr>
      <w:r>
        <w:rPr>
          <w:rFonts w:ascii="Arial" w:cs="Arial" w:eastAsia="Arial" w:hAnsi="Arial"/>
          <w:sz w:val="12"/>
          <w:szCs w:val="12"/>
          <w:color w:val="auto"/>
        </w:rPr>
        <w:t>These amounts for Drs. Pimstone and Goldberg represent bonus payments earned in 2012, which were paid on a discretionary basis and were related to the successful negotiation and entry into our collaboration with Teva Pharmaceutical Industries Ltd., or Teva. All such amounts were paid in February 2013.</w:t>
      </w:r>
    </w:p>
    <w:p>
      <w:pPr>
        <w:ind w:left="320" w:hanging="264"/>
        <w:spacing w:after="0" w:line="184" w:lineRule="auto"/>
        <w:tabs>
          <w:tab w:leader="none" w:pos="320" w:val="left"/>
        </w:tabs>
        <w:numPr>
          <w:ilvl w:val="0"/>
          <w:numId w:val="90"/>
        </w:numPr>
        <w:rPr>
          <w:rFonts w:ascii="Arial" w:cs="Arial" w:eastAsia="Arial" w:hAnsi="Arial"/>
          <w:sz w:val="19"/>
          <w:szCs w:val="19"/>
          <w:color w:val="auto"/>
          <w:vertAlign w:val="superscript"/>
        </w:rPr>
      </w:pPr>
      <w:r>
        <w:rPr>
          <w:rFonts w:ascii="Arial" w:cs="Arial" w:eastAsia="Arial" w:hAnsi="Arial"/>
          <w:sz w:val="12"/>
          <w:szCs w:val="12"/>
          <w:color w:val="auto"/>
        </w:rPr>
        <w:t>Mr. Mortimer joined our company as the Chief Financial Officer in October 2013. This bonus represents an amount paid in 2013 upon execution of his employment agreement.</w:t>
      </w:r>
    </w:p>
    <w:p>
      <w:pPr>
        <w:spacing w:after="0" w:line="13" w:lineRule="exact"/>
        <w:rPr>
          <w:rFonts w:ascii="Arial" w:cs="Arial" w:eastAsia="Arial" w:hAnsi="Arial"/>
          <w:sz w:val="19"/>
          <w:szCs w:val="19"/>
          <w:color w:val="auto"/>
          <w:vertAlign w:val="superscript"/>
        </w:rPr>
      </w:pPr>
    </w:p>
    <w:p>
      <w:pPr>
        <w:ind w:left="320" w:right="600" w:hanging="264"/>
        <w:spacing w:after="0" w:line="193" w:lineRule="auto"/>
        <w:tabs>
          <w:tab w:leader="none" w:pos="320" w:val="left"/>
        </w:tabs>
        <w:numPr>
          <w:ilvl w:val="0"/>
          <w:numId w:val="90"/>
        </w:numPr>
        <w:rPr>
          <w:rFonts w:ascii="Arial" w:cs="Arial" w:eastAsia="Arial" w:hAnsi="Arial"/>
          <w:sz w:val="20"/>
          <w:szCs w:val="20"/>
          <w:color w:val="auto"/>
          <w:vertAlign w:val="superscript"/>
        </w:rPr>
      </w:pPr>
      <w:r>
        <w:rPr>
          <w:rFonts w:ascii="Arial" w:cs="Arial" w:eastAsia="Arial" w:hAnsi="Arial"/>
          <w:sz w:val="12"/>
          <w:szCs w:val="12"/>
          <w:color w:val="auto"/>
        </w:rPr>
        <w:t>Of the total amount, (i) $91 represents life insurance premiums through our group extended benefit plan, (ii) $388 represents provincial health care premiums and (iii) $2,932 represents contributions to our registered retirement savings plan.</w:t>
      </w:r>
    </w:p>
    <w:p>
      <w:pPr>
        <w:ind w:left="320" w:hanging="264"/>
        <w:spacing w:after="0" w:line="184" w:lineRule="auto"/>
        <w:tabs>
          <w:tab w:leader="none" w:pos="320" w:val="left"/>
        </w:tabs>
        <w:numPr>
          <w:ilvl w:val="0"/>
          <w:numId w:val="90"/>
        </w:numPr>
        <w:rPr>
          <w:rFonts w:ascii="Arial" w:cs="Arial" w:eastAsia="Arial" w:hAnsi="Arial"/>
          <w:sz w:val="19"/>
          <w:szCs w:val="19"/>
          <w:color w:val="auto"/>
          <w:vertAlign w:val="superscript"/>
        </w:rPr>
      </w:pPr>
      <w:r>
        <w:rPr>
          <w:rFonts w:ascii="Arial" w:cs="Arial" w:eastAsia="Arial" w:hAnsi="Arial"/>
          <w:sz w:val="12"/>
          <w:szCs w:val="12"/>
          <w:color w:val="auto"/>
        </w:rPr>
        <w:t>This amount represents a discretionary bonus paid in 2013 to Dr. Goldberg in recognition of his efforts related to our preparation for this offering.</w:t>
      </w:r>
    </w:p>
    <w:p>
      <w:pPr>
        <w:spacing w:after="0" w:line="13" w:lineRule="exact"/>
        <w:rPr>
          <w:rFonts w:ascii="Arial" w:cs="Arial" w:eastAsia="Arial" w:hAnsi="Arial"/>
          <w:sz w:val="19"/>
          <w:szCs w:val="19"/>
          <w:color w:val="auto"/>
          <w:vertAlign w:val="superscript"/>
        </w:rPr>
      </w:pPr>
    </w:p>
    <w:p>
      <w:pPr>
        <w:ind w:left="320" w:right="500" w:hanging="264"/>
        <w:spacing w:after="0" w:line="190" w:lineRule="auto"/>
        <w:tabs>
          <w:tab w:leader="none" w:pos="32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Of the total amount for 2013, (i) $596 represents life insurance premiums through our group extended benefit plan, (ii) $1,550 represents provincial health care premiums and (iii) $14,051 represents contributions to our registered retirement savings plan. Of the total amount for 2012, (i) $616 represents life insurance premiums through our group extended benefit plan and (ii) $13,456 represents contributions to our registered retirement savings plan.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4"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Non-Equity Incentive Plan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Non-Equity Incentive Plan Payments</w:t>
      </w:r>
    </w:p>
    <w:p>
      <w:pPr>
        <w:spacing w:after="0" w:line="44"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For 2013, the target incentive amounts and the aggregate annual payments earned by our named executive officers under our 2013 Compensation Program Bonus Plan were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TARGET</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ACTUAL</w:t>
            </w:r>
          </w:p>
        </w:tc>
      </w:tr>
      <w:tr>
        <w:trPr>
          <w:trHeight w:val="151"/>
        </w:trPr>
        <w:tc>
          <w:tcPr>
            <w:tcW w:w="7040" w:type="dxa"/>
            <w:vAlign w:val="bottom"/>
          </w:tcPr>
          <w:p>
            <w:pPr>
              <w:spacing w:after="0"/>
              <w:rPr>
                <w:sz w:val="13"/>
                <w:szCs w:val="13"/>
                <w:color w:val="auto"/>
              </w:rPr>
            </w:pPr>
          </w:p>
        </w:tc>
        <w:tc>
          <w:tcPr>
            <w:tcW w:w="1660" w:type="dxa"/>
            <w:vAlign w:val="bottom"/>
            <w:gridSpan w:val="2"/>
          </w:tcPr>
          <w:p>
            <w:pPr>
              <w:jc w:val="center"/>
              <w:ind w:right="700"/>
              <w:spacing w:after="0" w:line="151" w:lineRule="exact"/>
              <w:rPr>
                <w:sz w:val="20"/>
                <w:szCs w:val="20"/>
                <w:color w:val="auto"/>
              </w:rPr>
            </w:pPr>
            <w:r>
              <w:rPr>
                <w:rFonts w:ascii="Arial" w:cs="Arial" w:eastAsia="Arial" w:hAnsi="Arial"/>
                <w:sz w:val="11"/>
                <w:szCs w:val="11"/>
                <w:b w:val="1"/>
                <w:bCs w:val="1"/>
                <w:color w:val="auto"/>
              </w:rPr>
              <w:t xml:space="preserve">AWARD </w:t>
            </w:r>
            <w:r>
              <w:rPr>
                <w:rFonts w:ascii="Arial" w:cs="Arial" w:eastAsia="Arial" w:hAnsi="Arial"/>
                <w:sz w:val="17"/>
                <w:szCs w:val="17"/>
                <w:b w:val="1"/>
                <w:bCs w:val="1"/>
                <w:color w:val="auto"/>
                <w:vertAlign w:val="superscript"/>
              </w:rPr>
              <w:t>(1)</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AWARD</w:t>
            </w:r>
          </w:p>
        </w:tc>
      </w:tr>
      <w:tr>
        <w:trPr>
          <w:trHeight w:val="159"/>
        </w:trPr>
        <w:tc>
          <w:tcPr>
            <w:tcW w:w="70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OPPORTUNITY</w:t>
            </w:r>
          </w:p>
        </w:tc>
        <w:tc>
          <w:tcPr>
            <w:tcW w:w="7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 ACHIEVEMENT</w:t>
            </w:r>
          </w:p>
        </w:tc>
        <w:tc>
          <w:tcPr>
            <w:tcW w:w="4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AMOUNT</w:t>
            </w:r>
          </w:p>
        </w:tc>
        <w:tc>
          <w:tcPr>
            <w:tcW w:w="100" w:type="dxa"/>
            <w:vAlign w:val="bottom"/>
            <w:tcBorders>
              <w:bottom w:val="single" w:sz="8" w:color="CCEEFF"/>
            </w:tcBorders>
          </w:tcPr>
          <w:p>
            <w:pPr>
              <w:spacing w:after="0"/>
              <w:rPr>
                <w:sz w:val="13"/>
                <w:szCs w:val="13"/>
                <w:color w:val="auto"/>
              </w:rPr>
            </w:pPr>
          </w:p>
        </w:tc>
      </w:tr>
      <w:tr>
        <w:trPr>
          <w:trHeight w:val="186"/>
        </w:trPr>
        <w:tc>
          <w:tcPr>
            <w:tcW w:w="70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Simon N. Pimstone</w:t>
            </w:r>
          </w:p>
        </w:tc>
        <w:tc>
          <w:tcPr>
            <w:tcW w:w="9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   184,926</w:t>
            </w:r>
          </w:p>
        </w:tc>
        <w:tc>
          <w:tcPr>
            <w:tcW w:w="7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40"/>
              <w:spacing w:after="0" w:line="186" w:lineRule="exact"/>
              <w:rPr>
                <w:sz w:val="20"/>
                <w:szCs w:val="20"/>
                <w:color w:val="auto"/>
              </w:rPr>
            </w:pPr>
            <w:r>
              <w:rPr>
                <w:rFonts w:ascii="Arial" w:cs="Arial" w:eastAsia="Arial" w:hAnsi="Arial"/>
                <w:sz w:val="17"/>
                <w:szCs w:val="17"/>
                <w:color w:val="auto"/>
              </w:rPr>
              <w:t>62.5%</w:t>
            </w:r>
          </w:p>
        </w:tc>
        <w:tc>
          <w:tcPr>
            <w:tcW w:w="10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$115,578</w:t>
            </w:r>
          </w:p>
        </w:tc>
        <w:tc>
          <w:tcPr>
            <w:tcW w:w="100" w:type="dxa"/>
            <w:vAlign w:val="bottom"/>
            <w:shd w:val="clear" w:color="auto" w:fill="CCEEFF"/>
          </w:tcPr>
          <w:p>
            <w:pPr>
              <w:spacing w:after="0"/>
              <w:rPr>
                <w:sz w:val="16"/>
                <w:szCs w:val="16"/>
                <w:color w:val="auto"/>
              </w:rPr>
            </w:pPr>
          </w:p>
        </w:tc>
      </w:tr>
      <w:tr>
        <w:trPr>
          <w:trHeight w:val="194"/>
        </w:trPr>
        <w:tc>
          <w:tcPr>
            <w:tcW w:w="7040" w:type="dxa"/>
            <w:vAlign w:val="bottom"/>
          </w:tcPr>
          <w:p>
            <w:pPr>
              <w:spacing w:after="0" w:line="194" w:lineRule="exact"/>
              <w:rPr>
                <w:sz w:val="20"/>
                <w:szCs w:val="20"/>
                <w:color w:val="auto"/>
              </w:rPr>
            </w:pPr>
            <w:r>
              <w:rPr>
                <w:rFonts w:ascii="Arial" w:cs="Arial" w:eastAsia="Arial" w:hAnsi="Arial"/>
                <w:sz w:val="17"/>
                <w:szCs w:val="17"/>
                <w:color w:val="auto"/>
              </w:rPr>
              <w:t>Ian C. Mortimer</w:t>
            </w:r>
            <w:r>
              <w:rPr>
                <w:rFonts w:ascii="Arial" w:cs="Arial" w:eastAsia="Arial" w:hAnsi="Arial"/>
                <w:sz w:val="21"/>
                <w:szCs w:val="21"/>
                <w:color w:val="auto"/>
                <w:vertAlign w:val="superscript"/>
              </w:rPr>
              <w:t>(2)</w:t>
            </w: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19,749</w:t>
            </w:r>
          </w:p>
        </w:tc>
        <w:tc>
          <w:tcPr>
            <w:tcW w:w="70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Arial" w:cs="Arial" w:eastAsia="Arial" w:hAnsi="Arial"/>
                <w:sz w:val="17"/>
                <w:szCs w:val="17"/>
                <w:color w:val="auto"/>
              </w:rPr>
              <w:t>100.0</w:t>
            </w:r>
          </w:p>
        </w:tc>
        <w:tc>
          <w:tcPr>
            <w:tcW w:w="480" w:type="dxa"/>
            <w:vAlign w:val="bottom"/>
          </w:tcPr>
          <w:p>
            <w:pPr>
              <w:spacing w:after="0"/>
              <w:rPr>
                <w:sz w:val="16"/>
                <w:szCs w:val="16"/>
                <w:color w:val="auto"/>
              </w:rPr>
            </w:pPr>
          </w:p>
        </w:tc>
        <w:tc>
          <w:tcPr>
            <w:tcW w:w="11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19,749</w:t>
            </w:r>
          </w:p>
        </w:tc>
      </w:tr>
      <w:tr>
        <w:trPr>
          <w:trHeight w:val="194"/>
        </w:trPr>
        <w:tc>
          <w:tcPr>
            <w:tcW w:w="7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Y. Paul Goldberg</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84,303</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70.0</w:t>
            </w:r>
          </w:p>
        </w:tc>
        <w:tc>
          <w:tcPr>
            <w:tcW w:w="48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59,012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9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21" w:lineRule="exact"/>
        <w:rPr>
          <w:sz w:val="20"/>
          <w:szCs w:val="20"/>
          <w:color w:val="auto"/>
        </w:rPr>
      </w:pPr>
    </w:p>
    <w:p>
      <w:pPr>
        <w:ind w:left="320" w:right="380" w:hanging="264"/>
        <w:spacing w:after="0" w:line="193" w:lineRule="auto"/>
        <w:tabs>
          <w:tab w:leader="none" w:pos="320" w:val="left"/>
        </w:tabs>
        <w:numPr>
          <w:ilvl w:val="0"/>
          <w:numId w:val="91"/>
        </w:numPr>
        <w:rPr>
          <w:rFonts w:ascii="Arial" w:cs="Arial" w:eastAsia="Arial" w:hAnsi="Arial"/>
          <w:sz w:val="20"/>
          <w:szCs w:val="20"/>
          <w:color w:val="auto"/>
          <w:vertAlign w:val="superscript"/>
        </w:rPr>
      </w:pPr>
      <w:r>
        <w:rPr>
          <w:rFonts w:ascii="Arial" w:cs="Arial" w:eastAsia="Arial" w:hAnsi="Arial"/>
          <w:sz w:val="12"/>
          <w:szCs w:val="12"/>
          <w:color w:val="auto"/>
        </w:rPr>
        <w:t>Except as otherwise indicated, compensation amounts were paid in Canadian dollars and have been converted to U.S. dollars for purposes of the table. The U.S. dollar per Canadian dollar exchange rate used for such conversion was 0.9713 which was the average Bank of Canada exchange rate for the 2013 fiscal year.</w:t>
      </w:r>
    </w:p>
    <w:p>
      <w:pPr>
        <w:ind w:left="320" w:hanging="264"/>
        <w:spacing w:after="0" w:line="184" w:lineRule="auto"/>
        <w:tabs>
          <w:tab w:leader="none" w:pos="320" w:val="left"/>
        </w:tabs>
        <w:numPr>
          <w:ilvl w:val="0"/>
          <w:numId w:val="91"/>
        </w:numPr>
        <w:rPr>
          <w:rFonts w:ascii="Arial" w:cs="Arial" w:eastAsia="Arial" w:hAnsi="Arial"/>
          <w:sz w:val="19"/>
          <w:szCs w:val="19"/>
          <w:color w:val="auto"/>
          <w:vertAlign w:val="superscript"/>
        </w:rPr>
      </w:pPr>
      <w:r>
        <w:rPr>
          <w:rFonts w:ascii="Arial" w:cs="Arial" w:eastAsia="Arial" w:hAnsi="Arial"/>
          <w:sz w:val="12"/>
          <w:szCs w:val="12"/>
          <w:color w:val="auto"/>
        </w:rPr>
        <w:t>Mr. Mortimer joined our company as the Chief Financial Officer in October 2013. This bonus represents an amount paid in 2013 upon execution of his employment agreement.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Non-Equity Incentive Plan Payments</w:t>
      </w:r>
    </w:p>
    <w:p>
      <w:pPr>
        <w:spacing w:after="0" w:line="44"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For 2012, the target incentive amounts and the aggregate annual payments earned by our named executive officers under our 2012 Compensation Program Bonus Plan were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3"/>
                <w:szCs w:val="13"/>
                <w:color w:val="auto"/>
              </w:rPr>
            </w:pPr>
          </w:p>
        </w:tc>
        <w:tc>
          <w:tcPr>
            <w:tcW w:w="1920" w:type="dxa"/>
            <w:vAlign w:val="bottom"/>
            <w:gridSpan w:val="3"/>
          </w:tcPr>
          <w:p>
            <w:pPr>
              <w:jc w:val="center"/>
              <w:ind w:right="860"/>
              <w:spacing w:after="0"/>
              <w:rPr>
                <w:sz w:val="20"/>
                <w:szCs w:val="20"/>
                <w:color w:val="auto"/>
              </w:rPr>
            </w:pPr>
            <w:r>
              <w:rPr>
                <w:rFonts w:ascii="Arial" w:cs="Arial" w:eastAsia="Arial" w:hAnsi="Arial"/>
                <w:sz w:val="13"/>
                <w:szCs w:val="13"/>
                <w:b w:val="1"/>
                <w:bCs w:val="1"/>
                <w:color w:val="auto"/>
                <w:w w:val="95"/>
              </w:rPr>
              <w:t>TARGET AWARD</w:t>
            </w:r>
          </w:p>
        </w:tc>
        <w:tc>
          <w:tcPr>
            <w:tcW w:w="1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ACTUAL AWARD</w:t>
            </w:r>
          </w:p>
        </w:tc>
        <w:tc>
          <w:tcPr>
            <w:tcW w:w="0" w:type="dxa"/>
            <w:vAlign w:val="bottom"/>
          </w:tcPr>
          <w:p>
            <w:pPr>
              <w:spacing w:after="0"/>
              <w:rPr>
                <w:sz w:val="1"/>
                <w:szCs w:val="1"/>
                <w:color w:val="auto"/>
              </w:rPr>
            </w:pPr>
          </w:p>
        </w:tc>
      </w:tr>
      <w:tr>
        <w:trPr>
          <w:trHeight w:val="138"/>
        </w:trPr>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206"/>
              <w:spacing w:after="0"/>
              <w:rPr>
                <w:sz w:val="20"/>
                <w:szCs w:val="20"/>
                <w:color w:val="auto"/>
              </w:rPr>
            </w:pPr>
            <w:r>
              <w:rPr>
                <w:rFonts w:ascii="Arial" w:cs="Arial" w:eastAsia="Arial" w:hAnsi="Arial"/>
                <w:sz w:val="11"/>
                <w:szCs w:val="11"/>
                <w:b w:val="1"/>
                <w:bCs w:val="1"/>
                <w:color w:val="auto"/>
                <w:w w:val="88"/>
              </w:rPr>
              <w:t>(1)</w:t>
            </w:r>
          </w:p>
        </w:tc>
        <w:tc>
          <w:tcPr>
            <w:tcW w:w="8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360" w:type="dxa"/>
            <w:vAlign w:val="bottom"/>
          </w:tcPr>
          <w:p>
            <w:pPr>
              <w:spacing w:after="0"/>
              <w:rPr>
                <w:sz w:val="20"/>
                <w:szCs w:val="20"/>
                <w:color w:val="auto"/>
              </w:rPr>
            </w:pPr>
            <w:r>
              <w:rPr>
                <w:rFonts w:ascii="Arial" w:cs="Arial" w:eastAsia="Arial" w:hAnsi="Arial"/>
                <w:sz w:val="13"/>
                <w:szCs w:val="13"/>
                <w:b w:val="1"/>
                <w:bCs w:val="1"/>
                <w:color w:val="auto"/>
              </w:rPr>
              <w:t>Named Executive Officer</w:t>
            </w:r>
          </w:p>
        </w:tc>
        <w:tc>
          <w:tcPr>
            <w:tcW w:w="1920" w:type="dxa"/>
            <w:vAlign w:val="bottom"/>
            <w:gridSpan w:val="3"/>
          </w:tcPr>
          <w:p>
            <w:pPr>
              <w:jc w:val="center"/>
              <w:ind w:right="840"/>
              <w:spacing w:after="0"/>
              <w:rPr>
                <w:sz w:val="20"/>
                <w:szCs w:val="20"/>
                <w:color w:val="auto"/>
              </w:rPr>
            </w:pPr>
            <w:r>
              <w:rPr>
                <w:rFonts w:ascii="Arial" w:cs="Arial" w:eastAsia="Arial" w:hAnsi="Arial"/>
                <w:sz w:val="13"/>
                <w:szCs w:val="13"/>
                <w:b w:val="1"/>
                <w:bCs w:val="1"/>
                <w:color w:val="auto"/>
                <w:w w:val="97"/>
              </w:rPr>
              <w:t>OPPORTUNITY</w:t>
            </w:r>
          </w:p>
        </w:tc>
        <w:tc>
          <w:tcPr>
            <w:tcW w:w="16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836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Simon N. Pimstone</w:t>
            </w:r>
          </w:p>
        </w:tc>
        <w:tc>
          <w:tcPr>
            <w:tcW w:w="280" w:type="dxa"/>
            <w:vAlign w:val="bottom"/>
            <w:tcBorders>
              <w:top w:val="single" w:sz="8" w:color="auto"/>
            </w:tcBorders>
            <w:shd w:val="clear" w:color="auto" w:fill="CCEEFF"/>
          </w:tcPr>
          <w:p>
            <w:pPr>
              <w:jc w:val="right"/>
              <w:ind w:right="109"/>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183,185</w:t>
            </w:r>
          </w:p>
        </w:tc>
        <w:tc>
          <w:tcPr>
            <w:tcW w:w="8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183,185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Y. Paul Goldberg</w:t>
            </w:r>
          </w:p>
        </w:tc>
        <w:tc>
          <w:tcPr>
            <w:tcW w:w="280" w:type="dxa"/>
            <w:vAlign w:val="bottom"/>
          </w:tcPr>
          <w:p>
            <w:pPr>
              <w:spacing w:after="0"/>
              <w:rPr>
                <w:sz w:val="17"/>
                <w:szCs w:val="17"/>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7"/>
                <w:szCs w:val="17"/>
                <w:color w:val="auto"/>
              </w:rPr>
              <w:t>83,507</w:t>
            </w:r>
          </w:p>
        </w:tc>
        <w:tc>
          <w:tcPr>
            <w:tcW w:w="1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83,507</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80" w:hanging="229"/>
        <w:spacing w:after="0" w:line="193" w:lineRule="auto"/>
        <w:tabs>
          <w:tab w:leader="none" w:pos="320"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Except as otherwise indicated, compensation amounts were paid in Canadian dollars and have been converted to U.S. dollars for purposes of the table. The U.S. dollar per Canadian dollar exchange rate used for such conversion was 1.0006 which was the average Bank of Canada exchange rate for the 2012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729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Performance-Based Bonus Plan</w:t>
      </w:r>
    </w:p>
    <w:p>
      <w:pPr>
        <w:spacing w:after="0" w:line="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2013 Compensation Program Bonus Plan provides our named executive officers with an opportunity for an annual incentive compensation payment for achievement of our corporate performance goals as well as individual performance. The target annual opportunity for each of our named executive officers remained unchanged from 2012. The annual incentive payments are calculated by weighting corporate goal attainment and individual goal attainment for each named executive officer. For 2013, the corporate and individual weighting was 80% corporate with the remainder tied to individual goals for Dr. Goldberg, 100% individual for Mr. Mortimer, and 100% corporate for Dr. Pimstone. Our 2013 corporate-level goals included establishing proof-of-concept data for topical TV-45070, declaring a new product candidate as a development track candidate, securing funding for at least 22 full-time employees, completing at least one new pharmaceutical collaboration and operating within our planned budget for the fiscal year. For 2013, our board of directors determined that we achieved 62.5% of our corporate-level goals. Our board of directors determined that Dr. Goldberg achieved 70% of his individual objectives and Mr. Mortimer achieved 100% of his individual objectives.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2012 Compensation Program Bonus Plan provides our named executive officers with an opportunity for an annual incentive compensation payment subject to achievement of our corporate performance goals as well as individual performance. For 2012, our corporate-level goals included establishing proof-of-concept data for topical TV-45070, declaring a new product candidate as a development track candidate, securing funding for at least 20 full-time employees, completing at least one new pharmaceutical collaboration and operating within our planned budget for the fiscal year. For 2012, we achieved all of our corporate-level goals at target levels. The individual goals for 2012 related generally to each named executive officer’s overall contributions in his or her roles towards reaching our corporate goals. The following was our determination of individual goal attainment in 2012: Dr. Pimstone, 100%; and Dr. Goldberg, 100%. The target bonus percentage for each of our named executive officers was determined through executive employment arrangements, set forth below. The annual incentive payments 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44"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calculated by weighing corporate goal attainment and individual goal attainment for each named executive officer at 75% corporate/25% individual for Dr. Goldberg and 100% corporate for Dr. Pimstone.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Discretionary Bonuses</w:t>
      </w:r>
    </w:p>
    <w:p>
      <w:pPr>
        <w:spacing w:after="0" w:line="4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Our board of directors may, in certain circumstances, authorize the payment of discretionary bonuses to our executive officers and other employees. For 2012, each of Drs. Pimstone and Goldberg were awarded a discretionary bonus by our board of directors in connection with their involvement with the successful negotiation and execution of our collaborative arrangement with Teva. Also, in 2013, Dr. Goldberg was awarded a discretionary bonus by our board of directors in recognition of his efforts related to our preparation for this offering.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Employment Arrangements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Simon N. Pimstone</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entered into an offer letter agreement on October 3, 2014 with Dr. Pimstone, our President and Chief Executive Officer. The offer letter agreement is for an indefinite term. Dr. Pimstone’s current annual base salary is CAD$392,202, and he is eligible for an annual incentive payment up to 50% of his base salary, subject to achievement of performance metrics. The offer letter agreement also requires Dr. Pimstone to enter into an employee non-disclosure, non-solicitation and non-competition agreement that also deals with confidentiality and the ownership of intellectual property developments. Additionally, the offer letter agreement provides for severance benefits if Dr. Pimstone is terminated without cause or resigns for good reason in connection with a change of control. For details regarding our current obligations under such circumstances, please see “Termination Benefits” below.</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Mr. Ian C. Mortimer</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entered into an offer letter agreement on October 3, 2014 with Mr. Mortimer, our Chief Financial Officer. Mr. Mortimer’s current annual base salary is CAD$311,100, and he is eligible for an annual incentive payment up to 40% of his base salary, subject to achievement of performance metrics. The offer letter agreement also requires Mr. Mortimer to enter into an employee non-disclosure, non-solicitation and non-competition agreement that also deals with confidentiality and the ownership of intellectual property developments. Additionally, the offer letter agreement provides for severance benefits if Mr. Mortimer is terminated without cause or resigns for good reason in connection with a change of control. For details regarding our current obligations to Mr. Mortimer under such circumstances, please see “Termination Benefits” below.</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Y. Paul Goldberg</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entered into an offer letter agreement on October 3, 2014 with Dr. Goldberg, our Vice President of Clinical Development. The offer letter agreement is for an indefinite term. Dr. Goldberg’s current annual base salary is CAD$299,439, and he is eligible for an annual incentive payment up to 35% of his base salary, subject to achievement of performance metrics. The offer letter agreement also requires Dr. Goldberg to enter into an employee non-disclosure, non-solicitation and non-competition agreement that also deals with confidentiality and the ownership of intellectual property developments. Additionally, the offer letter agreement provides for severance benefits if Dr. Goldberg is terminated without cause or resigns for good reason in connection with a change of control. For details regarding our current obligations under such circumstances, please see “Termination Benefits” below.</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 Karen Corraini</w:t>
      </w:r>
    </w:p>
    <w:p>
      <w:pPr>
        <w:spacing w:after="0" w:line="4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entered into an offer letter agreement on October 3, 2014 with Ms. Corraini, our General Counsel and Corporate Secretary. The offer letter agreement is for an indefinite term. Ms. Corraini’s current annual base salary is CAD$261,353, and she is eligible for an annual incentive payment up to 35% of her base salary, subject to achievement of performance metrics. The offer letter agreement also requires Ms. Corriani to enter into an employee non-disclosure, non-solicitation and non-competition agreement that also deals with confidentiality and the ownership of intellectual property developments. Additionally, the offer letter agreement provides for severance benefits if Ms. Corraini is terminated without cause or resigns for good reason in connection with a change of control. For details regarding our current obligations under such circumstances, please see “Termination Benefits”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44"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 Robin Sherrington</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entered into an offer letter agreement on October 3, 2014 with Dr. Sherrington, our Senior Vice President of Business and Corporate Development. The offer letter agreement is for an indefinite term. Dr. Sherrington’s current annual base salary is CAD$255,397, and he is eligible for an annual incentive payment up to 35% of his base salary, subject to achievement of performance metrics. The offer letter agreement also requires Dr. Sherrington to enter into an employee non-disclosure, non-solicitation and non-competition agreement that also deals with confidentiality and the ownership of intellectual property developments. Additionally, the offer letter agreement provides for severance benefits if Dr. Sherrington is terminated without cause or resigns for good reason in connection with a change of control.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Benefits</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offer letter agreements with each of Drs. Pimstone, Goldberg and Sherrington, Mr. Mortimer and Ms. Corraini provide that we may terminate the applicable executive’s employment without cause upon providing the executive with working notice of termination, a lump sum payment of base salary in lieu of such notice in the amount of 12 months plus one additional month for every one year of consecutive service with us, up to a combined maximum of 18 months, or the Payment Period, or an equivalent combination of working notice and such payment. If we provide the executive with any base salary payment in lieu of notice, we will (i) arrange for continued coverage for the executive under our group benefits insurance until the Payment Period ends or the executive commences full-time employment, subject to the applicable insurer’s terms of coverage (and if the insurer does not continue coverage, pay the executive an amount equal to what the monthly premiums for such continued coverage would have cost), (ii) pay the executive a pro-rated portion of his or her Average Bonus (as defined below), (iii) pay the executive the contributions to our group RRSP plan that we would have paid on his or her behalf for the balance of the Payment Period, (iv) provide for options granted under our Amended and Restated Stock Option Plan and any prior stock option plan to continue to vest during the Payment Period and remain exercisable for three months following the end of the Payment Period, and (v) provide for options and other deferred compensation granted under our 2014 Equity Incentive Plan or any subsequent incentive compensation plan to continue to vest for three months following the date the executive’s employment terminates and remain exercisable for up to six months following termination of employment. “Average Bonus” means an amount that is (i) the sum of the annual bonus awards (expressed as a percentage of the applicable year’s base salary) that the executive earned in each of the three completed calendar years preceding the date the executive’s employment terminates, divided by</w:t>
      </w:r>
    </w:p>
    <w:p>
      <w:pPr>
        <w:spacing w:after="0" w:line="6" w:lineRule="exact"/>
        <w:rPr>
          <w:sz w:val="20"/>
          <w:szCs w:val="20"/>
          <w:color w:val="auto"/>
        </w:rPr>
      </w:pPr>
    </w:p>
    <w:p>
      <w:pPr>
        <w:ind w:firstLine="3"/>
        <w:spacing w:after="0" w:line="254" w:lineRule="auto"/>
        <w:tabs>
          <w:tab w:leader="none" w:pos="23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three, and multiplied by (iii) the executive’s base salary at the time his or her employment terminates. If the executive’s employment is terminated after an event constituting grounds for good reason occurs either (1) prior to but in connection with a change of control or (2) within 12 months after a Change of Control (as such terms are defined in the offer letter agreement), we will (i) pay the executive his or her base salary for the Payment Period, (ii) pay the executive a pro-rated portion of his or her Average Bonus, (iii) arrange for continued coverage for the executive under our group benefits insurance until the Payment Period ends or the executive commences full-time employment, subject to the applicable insurer’s terms of coverage (and if the insurer does not continue coverage, pay the executive an amount equal to what the monthly premiums for such continued coverage would have cost), (iv) pay the executive any unpaid contributions to our group RRSP plan for the period leading up to the termination of employment and the contributions to the group RRSP plan that we would have paid during the Payment Period, (v) fully accelerate the vesting of all of the executive’s unvested share options and other deferred compensation awards, and (vi) provide for the continued exercisability of the executive’s share options and other deferred compensation awards for (A) 90 days from the end of the Payment Period for such options and awards granted under our Amended and Restated Stock Option Plan or any prior stock option plan or (B) the longer of the period stipulated in the applicable plan or grant and six months from the termination of your employment for such options and awards granted under our 2014 Equity Incentive Plan or any subsequent deferred compensation plan.</w:t>
      </w:r>
    </w:p>
    <w:p>
      <w:pPr>
        <w:spacing w:after="0" w:line="103"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Our named executive officers are not entitled to special benefits upon a change in control, except for the potential vesting acceleration of their stock options. For a description of such benefits, see below under “– Outstanding Equity Awards of Fiscal Year-End” and “Employee Benefit Plans.”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4"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concerning equity awards held by our named executive officers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740" w:type="dxa"/>
            <w:vAlign w:val="bottom"/>
            <w:gridSpan w:val="6"/>
          </w:tcPr>
          <w:p>
            <w:pPr>
              <w:jc w:val="center"/>
              <w:ind w:right="20"/>
              <w:spacing w:after="0" w:line="122" w:lineRule="exact"/>
              <w:rPr>
                <w:sz w:val="20"/>
                <w:szCs w:val="20"/>
                <w:color w:val="auto"/>
              </w:rPr>
            </w:pPr>
            <w:r>
              <w:rPr>
                <w:rFonts w:ascii="Arial" w:cs="Arial" w:eastAsia="Arial" w:hAnsi="Arial"/>
                <w:sz w:val="13"/>
                <w:szCs w:val="13"/>
                <w:b w:val="1"/>
                <w:bCs w:val="1"/>
                <w:color w:val="auto"/>
                <w:w w:val="99"/>
              </w:rPr>
              <w:t>NUMBER OF SECURITIES</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600"/>
              <w:spacing w:after="0" w:line="122" w:lineRule="exact"/>
              <w:rPr>
                <w:sz w:val="20"/>
                <w:szCs w:val="20"/>
                <w:color w:val="auto"/>
              </w:rPr>
            </w:pPr>
            <w:r>
              <w:rPr>
                <w:rFonts w:ascii="Arial" w:cs="Arial" w:eastAsia="Arial" w:hAnsi="Arial"/>
                <w:sz w:val="13"/>
                <w:szCs w:val="13"/>
                <w:b w:val="1"/>
                <w:bCs w:val="1"/>
                <w:color w:val="auto"/>
                <w:w w:val="96"/>
              </w:rPr>
              <w:t>OPTION</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rPr>
              <w:t>VESTING</w:t>
            </w:r>
          </w:p>
        </w:tc>
        <w:tc>
          <w:tcPr>
            <w:tcW w:w="420" w:type="dxa"/>
            <w:vAlign w:val="bottom"/>
          </w:tcPr>
          <w:p>
            <w:pPr>
              <w:spacing w:after="0"/>
              <w:rPr>
                <w:sz w:val="12"/>
                <w:szCs w:val="12"/>
                <w:color w:val="auto"/>
              </w:rPr>
            </w:pPr>
          </w:p>
        </w:tc>
        <w:tc>
          <w:tcPr>
            <w:tcW w:w="2740" w:type="dxa"/>
            <w:vAlign w:val="bottom"/>
            <w:gridSpan w:val="6"/>
          </w:tcPr>
          <w:p>
            <w:pPr>
              <w:jc w:val="center"/>
              <w:ind w:right="20"/>
              <w:spacing w:after="0" w:line="142" w:lineRule="exact"/>
              <w:rPr>
                <w:sz w:val="20"/>
                <w:szCs w:val="20"/>
                <w:color w:val="auto"/>
              </w:rPr>
            </w:pPr>
            <w:r>
              <w:rPr>
                <w:rFonts w:ascii="Arial" w:cs="Arial" w:eastAsia="Arial" w:hAnsi="Arial"/>
                <w:sz w:val="13"/>
                <w:szCs w:val="13"/>
                <w:b w:val="1"/>
                <w:bCs w:val="1"/>
                <w:color w:val="auto"/>
                <w:w w:val="98"/>
              </w:rPr>
              <w:t>UNDERLYING UNEXERCISED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3"/>
          </w:tcPr>
          <w:p>
            <w:pPr>
              <w:jc w:val="right"/>
              <w:ind w:right="540"/>
              <w:spacing w:after="0" w:line="142" w:lineRule="exact"/>
              <w:rPr>
                <w:sz w:val="20"/>
                <w:szCs w:val="20"/>
                <w:color w:val="auto"/>
              </w:rPr>
            </w:pPr>
            <w:r>
              <w:rPr>
                <w:rFonts w:ascii="Arial" w:cs="Arial" w:eastAsia="Arial" w:hAnsi="Arial"/>
                <w:sz w:val="13"/>
                <w:szCs w:val="13"/>
                <w:b w:val="1"/>
                <w:bCs w:val="1"/>
                <w:color w:val="auto"/>
                <w:w w:val="94"/>
              </w:rPr>
              <w:t>EXERCISE</w:t>
            </w: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5"/>
        </w:trPr>
        <w:tc>
          <w:tcPr>
            <w:tcW w:w="3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42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9"/>
              </w:rPr>
              <w:t>COMMENCEMENT</w:t>
            </w: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4"/>
          </w:tcPr>
          <w:p>
            <w:pPr>
              <w:ind w:left="20"/>
              <w:spacing w:after="0"/>
              <w:rPr>
                <w:sz w:val="20"/>
                <w:szCs w:val="20"/>
                <w:color w:val="auto"/>
              </w:rPr>
            </w:pPr>
            <w:r>
              <w:rPr>
                <w:rFonts w:ascii="Arial" w:cs="Arial" w:eastAsia="Arial" w:hAnsi="Arial"/>
                <w:sz w:val="13"/>
                <w:szCs w:val="13"/>
                <w:b w:val="1"/>
                <w:bCs w:val="1"/>
                <w:color w:val="auto"/>
              </w:rPr>
              <w:t>OPTIONS (#)</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rPr>
              <w:t>PRICE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EXPIRATION</w:t>
            </w:r>
          </w:p>
        </w:tc>
        <w:tc>
          <w:tcPr>
            <w:tcW w:w="0" w:type="dxa"/>
            <w:vAlign w:val="bottom"/>
          </w:tcPr>
          <w:p>
            <w:pPr>
              <w:spacing w:after="0"/>
              <w:rPr>
                <w:sz w:val="1"/>
                <w:szCs w:val="1"/>
                <w:color w:val="auto"/>
              </w:rPr>
            </w:pPr>
          </w:p>
        </w:tc>
      </w:tr>
      <w:tr>
        <w:trPr>
          <w:trHeight w:val="109"/>
        </w:trPr>
        <w:tc>
          <w:tcPr>
            <w:tcW w:w="37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rPr>
              <w:t>DATE</w:t>
            </w:r>
          </w:p>
        </w:tc>
        <w:tc>
          <w:tcPr>
            <w:tcW w:w="420" w:type="dxa"/>
            <w:vAlign w:val="bottom"/>
          </w:tcPr>
          <w:p>
            <w:pPr>
              <w:spacing w:after="0"/>
              <w:rPr>
                <w:sz w:val="9"/>
                <w:szCs w:val="9"/>
                <w:color w:val="auto"/>
              </w:rPr>
            </w:pPr>
          </w:p>
        </w:tc>
        <w:tc>
          <w:tcPr>
            <w:tcW w:w="960" w:type="dxa"/>
            <w:vAlign w:val="bottom"/>
            <w:tcBorders>
              <w:top w:val="single" w:sz="8" w:color="auto"/>
            </w:tcBorders>
            <w:gridSpan w:val="2"/>
          </w:tcPr>
          <w:p>
            <w:pPr>
              <w:ind w:left="20"/>
              <w:spacing w:after="0" w:line="96" w:lineRule="exact"/>
              <w:rPr>
                <w:sz w:val="20"/>
                <w:szCs w:val="20"/>
                <w:color w:val="auto"/>
              </w:rPr>
            </w:pPr>
            <w:r>
              <w:rPr>
                <w:rFonts w:ascii="Arial" w:cs="Arial" w:eastAsia="Arial" w:hAnsi="Arial"/>
                <w:sz w:val="11"/>
                <w:szCs w:val="11"/>
                <w:b w:val="1"/>
                <w:bCs w:val="1"/>
                <w:color w:val="auto"/>
              </w:rPr>
              <w:t>EXERCISABLE</w:t>
            </w:r>
          </w:p>
        </w:tc>
        <w:tc>
          <w:tcPr>
            <w:tcW w:w="2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b w:val="1"/>
                <w:bCs w:val="1"/>
                <w:color w:val="auto"/>
              </w:rPr>
              <w:t>UNEXERCISABLE</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tcPr>
          <w:p>
            <w:pPr>
              <w:jc w:val="center"/>
              <w:ind w:right="600"/>
              <w:spacing w:after="0" w:line="89" w:lineRule="exact"/>
              <w:rPr>
                <w:sz w:val="20"/>
                <w:szCs w:val="20"/>
                <w:color w:val="auto"/>
              </w:rPr>
            </w:pPr>
            <w:r>
              <w:rPr>
                <w:rFonts w:ascii="Arial" w:cs="Arial" w:eastAsia="Arial" w:hAnsi="Arial"/>
                <w:sz w:val="10"/>
                <w:szCs w:val="10"/>
                <w:b w:val="1"/>
                <w:bCs w:val="1"/>
                <w:color w:val="auto"/>
              </w:rPr>
              <w:t>(CAD$)</w:t>
            </w:r>
          </w:p>
        </w:tc>
        <w:tc>
          <w:tcPr>
            <w:tcW w:w="1000" w:type="dxa"/>
            <w:vAlign w:val="bottom"/>
            <w:gridSpan w:val="2"/>
          </w:tcPr>
          <w:p>
            <w:pPr>
              <w:jc w:val="center"/>
              <w:ind w:right="100"/>
              <w:spacing w:after="0" w:line="89" w:lineRule="exact"/>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6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Simon N. Pimstone</w:t>
            </w:r>
          </w:p>
        </w:tc>
        <w:tc>
          <w:tcPr>
            <w:tcW w:w="1660" w:type="dxa"/>
            <w:vAlign w:val="bottom"/>
            <w:gridSpan w:val="4"/>
            <w:shd w:val="clear" w:color="auto" w:fill="CCEEFF"/>
          </w:tcPr>
          <w:p>
            <w:pPr>
              <w:jc w:val="right"/>
              <w:ind w:right="100"/>
              <w:spacing w:after="0" w:line="172" w:lineRule="exact"/>
              <w:rPr>
                <w:sz w:val="20"/>
                <w:szCs w:val="20"/>
                <w:color w:val="auto"/>
              </w:rPr>
            </w:pPr>
            <w:r>
              <w:rPr>
                <w:rFonts w:ascii="Arial" w:cs="Arial" w:eastAsia="Arial" w:hAnsi="Arial"/>
                <w:sz w:val="17"/>
                <w:szCs w:val="17"/>
                <w:color w:val="auto"/>
              </w:rPr>
              <w:t>1/1/2004</w:t>
            </w:r>
          </w:p>
        </w:tc>
        <w:tc>
          <w:tcPr>
            <w:tcW w:w="1380" w:type="dxa"/>
            <w:vAlign w:val="bottom"/>
            <w:gridSpan w:val="3"/>
            <w:shd w:val="clear" w:color="auto" w:fill="CCEEFF"/>
          </w:tcPr>
          <w:p>
            <w:pPr>
              <w:jc w:val="right"/>
              <w:spacing w:after="0" w:line="172" w:lineRule="exact"/>
              <w:rPr>
                <w:sz w:val="20"/>
                <w:szCs w:val="20"/>
                <w:color w:val="auto"/>
              </w:rPr>
            </w:pPr>
            <w:r>
              <w:rPr>
                <w:rFonts w:ascii="Arial" w:cs="Arial" w:eastAsia="Arial" w:hAnsi="Arial"/>
                <w:sz w:val="17"/>
                <w:szCs w:val="17"/>
                <w:color w:val="auto"/>
              </w:rPr>
              <w:t>15,432</w:t>
            </w: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line="172"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620" w:type="dxa"/>
            <w:vAlign w:val="bottom"/>
            <w:gridSpan w:val="4"/>
            <w:shd w:val="clear" w:color="auto" w:fill="CCEEFF"/>
          </w:tcPr>
          <w:p>
            <w:pPr>
              <w:jc w:val="right"/>
              <w:ind w:right="540"/>
              <w:spacing w:after="0" w:line="172"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12/31/2013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10/1/2004</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5,144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9/30/2014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1/11/2005</w:t>
            </w:r>
          </w:p>
        </w:tc>
        <w:tc>
          <w:tcPr>
            <w:tcW w:w="13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15,432</w:t>
            </w: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1/10/2015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8/1/2006</w:t>
            </w:r>
          </w:p>
        </w:tc>
        <w:tc>
          <w:tcPr>
            <w:tcW w:w="10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12,345</w:t>
            </w: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7/31/2016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1/1/2008</w:t>
            </w:r>
          </w:p>
        </w:tc>
        <w:tc>
          <w:tcPr>
            <w:tcW w:w="10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10,288</w:t>
            </w: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6/27/2008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36,008</w:t>
            </w: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6/26/2018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9,259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9/1/2009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12,345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8/31/2019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6,172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16,975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5,658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10,288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10,288</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5,144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5,144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41,152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2.67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3/10/2013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30,864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2.67</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3/9/2023</w:t>
            </w:r>
          </w:p>
        </w:tc>
        <w:tc>
          <w:tcPr>
            <w:tcW w:w="0" w:type="dxa"/>
            <w:vAlign w:val="bottom"/>
          </w:tcPr>
          <w:p>
            <w:pPr>
              <w:spacing w:after="0"/>
              <w:rPr>
                <w:sz w:val="1"/>
                <w:szCs w:val="1"/>
                <w:color w:val="auto"/>
              </w:rPr>
            </w:pPr>
          </w:p>
        </w:tc>
      </w:tr>
      <w:tr>
        <w:trPr>
          <w:trHeight w:val="308"/>
        </w:trPr>
        <w:tc>
          <w:tcPr>
            <w:tcW w:w="3760" w:type="dxa"/>
            <w:vAlign w:val="bottom"/>
            <w:gridSpan w:val="2"/>
          </w:tcPr>
          <w:p>
            <w:pPr>
              <w:spacing w:after="0"/>
              <w:rPr>
                <w:sz w:val="20"/>
                <w:szCs w:val="20"/>
                <w:color w:val="auto"/>
              </w:rPr>
            </w:pPr>
            <w:r>
              <w:rPr>
                <w:rFonts w:ascii="Arial" w:cs="Arial" w:eastAsia="Arial" w:hAnsi="Arial"/>
                <w:sz w:val="17"/>
                <w:szCs w:val="17"/>
                <w:color w:val="auto"/>
              </w:rPr>
              <w:t>Ian C. Mortimer</w:t>
            </w:r>
          </w:p>
        </w:tc>
        <w:tc>
          <w:tcPr>
            <w:tcW w:w="1660" w:type="dxa"/>
            <w:vAlign w:val="bottom"/>
            <w:gridSpan w:val="4"/>
          </w:tcPr>
          <w:p>
            <w:pPr>
              <w:jc w:val="right"/>
              <w:ind w:right="100"/>
              <w:spacing w:after="0"/>
              <w:rPr>
                <w:sz w:val="20"/>
                <w:szCs w:val="20"/>
                <w:color w:val="auto"/>
              </w:rPr>
            </w:pPr>
            <w:r>
              <w:rPr>
                <w:rFonts w:ascii="Arial" w:cs="Arial" w:eastAsia="Arial" w:hAnsi="Arial"/>
                <w:sz w:val="17"/>
                <w:szCs w:val="17"/>
                <w:color w:val="auto"/>
              </w:rPr>
              <w:t>8/1/2013</w:t>
            </w:r>
          </w:p>
        </w:tc>
        <w:tc>
          <w:tcPr>
            <w:tcW w:w="4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7"/>
                <w:szCs w:val="17"/>
                <w:color w:val="auto"/>
              </w:rPr>
              <w:t>42,592</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tcPr>
          <w:p>
            <w:pPr>
              <w:jc w:val="right"/>
              <w:ind w:right="540"/>
              <w:spacing w:after="0"/>
              <w:rPr>
                <w:sz w:val="20"/>
                <w:szCs w:val="20"/>
                <w:color w:val="auto"/>
              </w:rPr>
            </w:pPr>
            <w:r>
              <w:rPr>
                <w:rFonts w:ascii="Arial" w:cs="Arial" w:eastAsia="Arial" w:hAnsi="Arial"/>
                <w:sz w:val="17"/>
                <w:szCs w:val="17"/>
                <w:color w:val="auto"/>
              </w:rPr>
              <w:t>9.76</w:t>
            </w:r>
          </w:p>
        </w:tc>
        <w:tc>
          <w:tcPr>
            <w:tcW w:w="900" w:type="dxa"/>
            <w:vAlign w:val="bottom"/>
          </w:tcPr>
          <w:p>
            <w:pPr>
              <w:jc w:val="right"/>
              <w:spacing w:after="0"/>
              <w:rPr>
                <w:sz w:val="20"/>
                <w:szCs w:val="20"/>
                <w:color w:val="auto"/>
              </w:rPr>
            </w:pPr>
            <w:r>
              <w:rPr>
                <w:rFonts w:ascii="Arial" w:cs="Arial" w:eastAsia="Arial" w:hAnsi="Arial"/>
                <w:sz w:val="17"/>
                <w:szCs w:val="17"/>
                <w:color w:val="auto"/>
              </w:rPr>
              <w:t>7/31/2023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8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660" w:type="dxa"/>
            <w:vAlign w:val="bottom"/>
            <w:gridSpan w:val="4"/>
          </w:tcPr>
          <w:p>
            <w:pPr>
              <w:spacing w:after="0"/>
              <w:rPr>
                <w:sz w:val="7"/>
                <w:szCs w:val="7"/>
                <w:color w:val="auto"/>
              </w:rPr>
            </w:pPr>
          </w:p>
        </w:tc>
        <w:tc>
          <w:tcPr>
            <w:tcW w:w="13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7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Y. Paul Goldberg</w:t>
            </w:r>
          </w:p>
        </w:tc>
        <w:tc>
          <w:tcPr>
            <w:tcW w:w="16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1/1/2004</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1,234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10/1/2004</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9/30/2014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1/11/2005</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2,057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1/10/2015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1/1/2006</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411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6.07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2,057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5,144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6,172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7/2/2010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3,395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1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10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7/1/2020</w:t>
            </w: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12/2/2010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3,487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12/1/2020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18,519</w:t>
            </w:r>
          </w:p>
        </w:tc>
        <w:tc>
          <w:tcPr>
            <w:tcW w:w="24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auto"/>
                <w:w w:val="88"/>
              </w:rPr>
              <w:t>(1)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6,172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6,858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1,372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20" w:type="dxa"/>
            <w:vAlign w:val="bottom"/>
            <w:gridSpan w:val="4"/>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1,372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685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4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3.74</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(2)</w:t>
            </w: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514</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2.67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1/1/2013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12,345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rPr>
              <w:t>2.67</w:t>
            </w: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12/31/2022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right="140" w:hanging="264"/>
        <w:spacing w:after="0" w:line="190" w:lineRule="auto"/>
        <w:tabs>
          <w:tab w:leader="none" w:pos="320" w:val="left"/>
        </w:tabs>
        <w:numPr>
          <w:ilvl w:val="0"/>
          <w:numId w:val="94"/>
        </w:numPr>
        <w:rPr>
          <w:rFonts w:ascii="Arial" w:cs="Arial" w:eastAsia="Arial" w:hAnsi="Arial"/>
          <w:sz w:val="22"/>
          <w:szCs w:val="22"/>
          <w:color w:val="auto"/>
          <w:vertAlign w:val="superscript"/>
        </w:rPr>
      </w:pPr>
      <w:r>
        <w:rPr>
          <w:rFonts w:ascii="Arial" w:cs="Arial" w:eastAsia="Arial" w:hAnsi="Arial"/>
          <w:sz w:val="13"/>
          <w:szCs w:val="13"/>
          <w:color w:val="auto"/>
        </w:rPr>
        <w:t>Options vest over four years as follows: 25% of the shares vest one year following the vesting commencement date, with the remaining 75% vesting in equal monthly installments over the following three years. Notwithstanding the foregoing, if the named executive officer’s employment is terminated other than for cause, because of death or disability or resigns for good reason, in each case, during the period beginning on, and ending 12 months after, a change in control, then 100% of the then-unvested shares vest.</w:t>
      </w:r>
    </w:p>
    <w:p>
      <w:pPr>
        <w:spacing w:after="0" w:line="14" w:lineRule="exact"/>
        <w:rPr>
          <w:rFonts w:ascii="Arial" w:cs="Arial" w:eastAsia="Arial" w:hAnsi="Arial"/>
          <w:sz w:val="22"/>
          <w:szCs w:val="22"/>
          <w:color w:val="auto"/>
          <w:vertAlign w:val="superscript"/>
        </w:rPr>
      </w:pPr>
    </w:p>
    <w:p>
      <w:pPr>
        <w:ind w:left="320" w:right="20" w:hanging="264"/>
        <w:spacing w:after="0" w:line="190" w:lineRule="auto"/>
        <w:tabs>
          <w:tab w:leader="none" w:pos="320" w:val="left"/>
        </w:tabs>
        <w:numPr>
          <w:ilvl w:val="0"/>
          <w:numId w:val="94"/>
        </w:numPr>
        <w:rPr>
          <w:rFonts w:ascii="Arial" w:cs="Arial" w:eastAsia="Arial" w:hAnsi="Arial"/>
          <w:sz w:val="22"/>
          <w:szCs w:val="22"/>
          <w:color w:val="auto"/>
          <w:vertAlign w:val="superscript"/>
        </w:rPr>
      </w:pPr>
      <w:r>
        <w:rPr>
          <w:rFonts w:ascii="Arial" w:cs="Arial" w:eastAsia="Arial" w:hAnsi="Arial"/>
          <w:sz w:val="13"/>
          <w:szCs w:val="13"/>
          <w:color w:val="auto"/>
        </w:rPr>
        <w:t>Options vest over four years as follows: one-third of the shares vest on the vesting commencement date, with the remaining two-thirds vesting in equal monthly installments over the following four years. Notwithstanding the foregoing, if the named executive officer’s employment is terminated other than for cause, because of death or disability, or resigns for good reason, in each case, during the period on, and 12 months after, a change in control, then 100% of the then-unvested shares vest.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4"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October 2013, our compensation committee adopted a 2014 Equity Incentive Plan, which was amended by our board of directors in April 2014. The 2014 Equity Incentive Plan, as amended, or the 2014 Equity Incentive Plan, was approved by our shareholders in June 2014. The 2014 Equity Incentive Plan became effective one business day prior to the date of this prospectus. Excluding option grants made to our non-management directors on the date of this prospectus, we do not expect to use the 2014 Equity Incentive Plan until after the completion of this offering. Our 2014 Equity Incentive Plan provides for the grant of incentive share options, which are “incentive stock options” within the meaning of Section 422 of the Internal Revenue Code, to our employees and any subsidiary corporations’ employees, and for the grant of nonstatutory share options, restricted share, restricted share units, share appreciation rights, and performance shares to our employees, officers, directors and consultants and those of our subsidiary corporations.</w:t>
      </w:r>
    </w:p>
    <w:p>
      <w:pPr>
        <w:spacing w:after="0" w:line="9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2014 Equity Incentive Plan will continue in effect for a term of ten years from the date adopted, unless terminated earlier as permitted under the 2014 Equity Incentive Plan’s provisions.</w:t>
      </w:r>
    </w:p>
    <w:p>
      <w:pPr>
        <w:spacing w:after="0" w:line="86" w:lineRule="exact"/>
        <w:rPr>
          <w:sz w:val="20"/>
          <w:szCs w:val="20"/>
          <w:color w:val="auto"/>
        </w:rPr>
      </w:pPr>
    </w:p>
    <w:p>
      <w:pPr>
        <w:jc w:val="both"/>
        <w:ind w:right="40"/>
        <w:spacing w:after="0" w:line="247"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We reserved a total of 411,522 common shares for issuance pursuant to the 2014 Equity Incentive Plan of which options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36,008 common shares are issued and outstanding as of the date of this prospectus. The number of shares available for issuance under the 2014 Equity Incentive Plan will increase annually on the first business day of each fiscal year beginning in 2015 by an amount which shall be determined by the board of directors on or before the first business day of each fiscal year, such amount to be equal to the least of:</w:t>
      </w:r>
    </w:p>
    <w:p>
      <w:pPr>
        <w:spacing w:after="0" w:line="20" w:lineRule="exact"/>
        <w:rPr>
          <w:sz w:val="20"/>
          <w:szCs w:val="20"/>
          <w:color w:val="auto"/>
        </w:rPr>
      </w:pPr>
    </w:p>
    <w:p>
      <w:pPr>
        <w:ind w:left="780" w:hanging="441"/>
        <w:spacing w:after="0"/>
        <w:tabs>
          <w:tab w:leader="none" w:pos="780" w:val="left"/>
        </w:tabs>
        <w:numPr>
          <w:ilvl w:val="0"/>
          <w:numId w:val="95"/>
        </w:numPr>
        <w:rPr>
          <w:rFonts w:ascii="Arial" w:cs="Arial" w:eastAsia="Arial" w:hAnsi="Arial"/>
          <w:sz w:val="26"/>
          <w:szCs w:val="26"/>
          <w:color w:val="auto"/>
          <w:vertAlign w:val="superscript"/>
        </w:rPr>
      </w:pPr>
      <w:r>
        <w:rPr>
          <w:rFonts w:ascii="Arial" w:cs="Arial" w:eastAsia="Arial" w:hAnsi="Arial"/>
          <w:sz w:val="17"/>
          <w:szCs w:val="17"/>
          <w:color w:val="auto"/>
        </w:rPr>
        <w:t>1,028,806 common shares;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95"/>
        </w:numPr>
        <w:rPr>
          <w:rFonts w:ascii="Arial" w:cs="Arial" w:eastAsia="Arial" w:hAnsi="Arial"/>
          <w:sz w:val="23"/>
          <w:szCs w:val="23"/>
          <w:color w:val="auto"/>
          <w:vertAlign w:val="superscript"/>
        </w:rPr>
      </w:pPr>
      <w:r>
        <w:rPr>
          <w:rFonts w:ascii="Arial" w:cs="Arial" w:eastAsia="Arial" w:hAnsi="Arial"/>
          <w:sz w:val="15"/>
          <w:szCs w:val="15"/>
          <w:color w:val="auto"/>
        </w:rPr>
        <w:t>4% of the outstanding common shares on the last business day of the immediately preceding fiscal year; or</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95"/>
        </w:numPr>
        <w:rPr>
          <w:rFonts w:ascii="Arial" w:cs="Arial" w:eastAsia="Arial" w:hAnsi="Arial"/>
          <w:sz w:val="23"/>
          <w:szCs w:val="23"/>
          <w:color w:val="auto"/>
          <w:vertAlign w:val="superscript"/>
        </w:rPr>
      </w:pPr>
      <w:r>
        <w:rPr>
          <w:rFonts w:ascii="Arial" w:cs="Arial" w:eastAsia="Arial" w:hAnsi="Arial"/>
          <w:sz w:val="15"/>
          <w:szCs w:val="15"/>
          <w:color w:val="auto"/>
        </w:rPr>
        <w:t>such other amount as the board of directors may determine.</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will administer the 2014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Subject to the provisions of our 2014 Equity Incentive Plan, the administrator has the power to determine the eligible persons to whom awards may be granted, the number of common shares to be covered by each award, the exercise price (provided that such exercise price may not be less than the lowest permitted under all applicable law), the forms of award agreements for use under the 2014 Equity Incentive Plan, and terms and conditions of any award. In the case of awards intended to qualify as “performance-based compensation” within the meaning of Section 162(m) of the U.S. Internal Revenue Code, the committee will consist of two or more “outside directors” within the meaning of Section 162(m). In addition, if our board of directors determines it is desirable to qualify transactions under the 2014 Equity Incentive Plan as exempt under Rule 16b-3 of the Securities Exchange Act of 1934, as amended, or the Exchange Act, such transactions will be structured to satisfy the requirements for exemption under Rule 16b-3. Subject to the provisions of our 2014 Equity Incentive Plan, the administrator has the power to administer the plan, including but not limited to, the power to interpret the terms of the 2014 Equity Incentive Plan and awards granted under it, to create, amend and revoke rules relating to the 2014 Equity Incentive Plan, including creating sub-plans, and to determine the terms of the awards, including the exercisability of the awards and the form of consideration, if any, payable upon exercise. The administrator also has the authority to amend existing awards to reduce or increase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of the same type which may have a higher or lower exercise price or different terms, awards of a different type and/or cash.</w:t>
      </w:r>
    </w:p>
    <w:p>
      <w:pPr>
        <w:spacing w:after="0" w:line="94"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Share Options</w:t>
      </w:r>
      <w:r>
        <w:rPr>
          <w:rFonts w:ascii="Arial" w:cs="Arial" w:eastAsia="Arial" w:hAnsi="Arial"/>
          <w:sz w:val="17"/>
          <w:szCs w:val="17"/>
          <w:color w:val="auto"/>
        </w:rPr>
        <w:t>. We may grant share options under the 2014 Equity Incentive Plan. The exercise price of options granted under our 2014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must at least be equal to the fair market value of our common shares on the date of grant, provided that such price may not be less than the lowest exercise price permitted under applicable law. The term of an incentive share option may not exceed ten years, except that with respect to any participant who owns more than 10% of the voting power of all classes of our outstanding shares, the term must not exceed five years and the exercise price must equal at least 110% of the fair market value on the grant date. The administrator will determine the methods of payment of the exercise price of an option, which may include cash,</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380"/>
          </w:cols>
          <w:pgMar w:left="240" w:top="444" w:right="2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Generally, the option will remain exercisable for 365 days if termination is due to death or disability or for 180 days if termination is due to retirement. In all other cases, the option will generally remain exercisable for 90 days following the termination of service. However, in no event may an option be exercised later than the expiration of its term except in certain circumstances where the expiration occurs during a blackout period as described more fully in the 2014 Equity Incentive Plan. Subject to the provisions of our 2014 Equity Incentive Plan, the administrator determines the other terms of options.</w:t>
      </w:r>
    </w:p>
    <w:p>
      <w:pPr>
        <w:spacing w:after="0" w:line="78"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Share Appreciation Rights</w:t>
      </w:r>
      <w:r>
        <w:rPr>
          <w:rFonts w:ascii="Arial" w:cs="Arial" w:eastAsia="Arial" w:hAnsi="Arial"/>
          <w:sz w:val="17"/>
          <w:szCs w:val="17"/>
          <w:color w:val="auto"/>
        </w:rPr>
        <w:t>. We may grant share appreciation rights under our 2014 Equity Incentive Plan. Share appreciation rights allow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appreciation in the fair market value of our common shares between the exercise date and the date of grant. Share appreciation rights may not have a term exceeding ten years. After the termination of service of an employee, director or consultant, the same expiration rules described above for options apply to share appreciation rights. Subject to the provisions of our 2014 Equity Incentive Plan, the administrator determines the other terms of share appreciation rights, including when such rights become exercisable and whether to pay any increased appreciation in cash or with our common shares, or a combination thereof, except that the per share exercise price for the shares to be issued pursuant to the exercise of a share appreciation right will be no less than 100% of the fair market value per share on the date of grant.</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We may grant restricted share awards under our 2014 Equity Incentive Plan. Restricted share awards are grants of common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vest in accordance with terms and conditions established by the administrator. The administrator will determine the number of restricted share awards granted to any employee, director or consultant and, subject to the provisions of our 2014 Equity Incentive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share awards generally will have voting and dividend rights with respect to such shares upon grant without regard to vesting, unless the administrator provides otherwise. Restricted share awards that do not vest are subject to our right of repurchase or forfeiture.</w:t>
      </w:r>
    </w:p>
    <w:p>
      <w:pPr>
        <w:spacing w:after="0" w:line="95"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Restricted Share Units</w:t>
      </w:r>
      <w:r>
        <w:rPr>
          <w:rFonts w:ascii="Arial" w:cs="Arial" w:eastAsia="Arial" w:hAnsi="Arial"/>
          <w:sz w:val="16"/>
          <w:szCs w:val="16"/>
          <w:color w:val="auto"/>
        </w:rPr>
        <w:t>. We may grant restricted share units under our 2014 Equity Incentive Plan. Restricted share units are bookkeeping entries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an amount equal to the fair market value of one of our common shares. Subject to the provisions of our 2014 Equity Incentive Plan, the administrator determines the terms and conditions of restricted share units, including the vesting criteria (which may include accomplishing specified performance criteria or continued service to us) and the form and timing of payment (which may consist of any combination of cash or common shares). Notwithstanding the foregoing, the administrator, in its sole discretion may accelerate the time at which any restrictions will lapse or be removed.</w:t>
      </w:r>
    </w:p>
    <w:p>
      <w:pPr>
        <w:spacing w:after="0" w:line="7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Performance Shares</w:t>
      </w:r>
      <w:r>
        <w:rPr>
          <w:rFonts w:ascii="Arial" w:cs="Arial" w:eastAsia="Arial" w:hAnsi="Arial"/>
          <w:sz w:val="17"/>
          <w:szCs w:val="17"/>
          <w:color w:val="auto"/>
        </w:rPr>
        <w:t>. We may grant performance shares under our 2014 Equity Incentive Plan. Performance shares are awards that will result in a</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to a participant only if performance goals established by the administrator are achieved or the awards otherwise vest. The administrator will establish organizational or individual performance goals or other vesting criteria in its discretion, which, depending on the extent to which they are met, will determine the number and/or the value of performance shares to be paid out to participants. After the grant of performance shares, the administrator, in its sole discretion, may reduce or waive any performance criteria or other vesting provisions for such performance shares. Performance shares shall have an initial value equal to the fair market value of our common shares on the grant date. The administrator, in its sole discretion, may pay earned performance shares in the form of cash, in shares or in some combination thereof.</w:t>
      </w:r>
    </w:p>
    <w:p>
      <w:pPr>
        <w:spacing w:after="0" w:line="9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Our 2014 Equity Incentive Plan provides that all outside directors will be eligible to receive all types of awards (except for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options) under the 2014 Equity Incentive Plan. In connection with this offering, we have implemented a formal policy pursuant to which our outside directors are eligible to receive equity awards under the 2014 Equity Incentive Plan. Our 2014 Equity Incentive Plan provides that in any given year an outside director will not receive (i) cash-settled awards having a grant date fair value greater than $500,000, increased to $1,000,000 in connection with his or her initial service; and (ii) share-settled awards having a grant date fair value greater than $500,000, increased to $1,000,000 in connection with his or her initial service, in each case, as determined under generally accepted accounting principles.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44"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i w:val="1"/>
          <w:iCs w:val="1"/>
          <w:color w:val="auto"/>
        </w:rPr>
        <w:t xml:space="preserve">Non-Transferability of Awards. </w:t>
      </w:r>
      <w:r>
        <w:rPr>
          <w:rFonts w:ascii="Arial" w:cs="Arial" w:eastAsia="Arial" w:hAnsi="Arial"/>
          <w:sz w:val="17"/>
          <w:szCs w:val="17"/>
          <w:color w:val="auto"/>
        </w:rPr>
        <w:t>Unless the administrator provides otherwise, our 2014 Equity Incentive Plan generally does not allow for the transfer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and only the recipient of an award may exercise an award during his or her lifetime.</w:t>
      </w:r>
    </w:p>
    <w:p>
      <w:pPr>
        <w:spacing w:after="0" w:line="68"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the 2014 Equity Incentive Plan, the administrator will adjust the number and class of shares that may be delivered under the 2014 Equity Incentive Plan and/or the number, class, and price of shares covered by each outstanding award, and the numerical share limits set forth in the 2014 Equity Incentive Plan.</w:t>
      </w:r>
    </w:p>
    <w:p>
      <w:pPr>
        <w:spacing w:after="0" w:line="8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2014 Equity Incentive Plan provides that in the event of a merger or change in control, as defined under the 2014</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Incentive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 If the service of an outside director is terminated on or following a change of control, other than pursuant to a voluntary resignation, his or her options and share appreciation rights will vest fully and become immediately exercisable, all restrictions on his or her restricted shares and restricted share units will lapse, and with respect to his or her performance shares, all performance goals or other vesting requirements will be deemed achieved at 100% of target levels and all other terms and conditions met.</w:t>
      </w:r>
    </w:p>
    <w:p>
      <w:pPr>
        <w:spacing w:after="0" w:line="92" w:lineRule="exact"/>
        <w:rPr>
          <w:sz w:val="20"/>
          <w:szCs w:val="20"/>
          <w:color w:val="auto"/>
        </w:rPr>
      </w:pPr>
    </w:p>
    <w:p>
      <w:pPr>
        <w:jc w:val="both"/>
        <w:ind w:right="180"/>
        <w:spacing w:after="0" w:line="252"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will have the authority to amend, suspend or terminate the 2014 Equity Incentive Plan provided such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impair the existing rights of any participant. Our 2014 Equity Incentive Plan will automatically terminate in 2024, unless we terminate it sooner pursuant to the provisions of the 2014 Equity Incentive Plan.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Stock Option Plan</w:t>
      </w:r>
    </w:p>
    <w:p>
      <w:pPr>
        <w:spacing w:after="0" w:line="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Amended and Restated Stock Option Plan, or our Stock Plan, was initially adopted by our board of directors and shareholders in June 1999. Our Stock Plan permits the grant of stock options to our directors, officers and other Service Providers (as defined in the Stock Plan). Our Stock Plan was most recently amended and restated in September 2014. In connection with this offering, we have terminated our Stock Plan with respect to any future grant of options and as such, no other securities will be granted pursuant to the Stock Plan; however, our Stock Plan will continue to govern the terms and conditions of outstanding options granted thereunder.</w:t>
      </w:r>
    </w:p>
    <w:p>
      <w:pPr>
        <w:spacing w:after="0" w:line="93" w:lineRule="exact"/>
        <w:rPr>
          <w:sz w:val="20"/>
          <w:szCs w:val="20"/>
          <w:color w:val="auto"/>
        </w:rPr>
      </w:pPr>
    </w:p>
    <w:p>
      <w:pPr>
        <w:jc w:val="both"/>
        <w:ind w:right="420"/>
        <w:spacing w:after="0" w:line="252"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aggregate number of our common shares reserved for issuance under the Stock Plan was 1,604,938 shares. Any</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shares for which an option had been exercised are not included in determining whether the maximum number of common shares had been reached.</w:t>
      </w:r>
    </w:p>
    <w:p>
      <w:pPr>
        <w:spacing w:after="0" w:line="81"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Subject to the provisions of our Stock Plan, our board of directors has the power to determine the directors, officers and other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to whom options may be granted; to determine terms and conditions of options; and to extend the period of time following an optionee’s termination of service within which the optionee’s option may be exercised.</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per share exercise price of each option equals the market price of our common share on the date of grant, and each option has a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up to ten years, subject to earlier termination upon an optionee’s termination of service. After an optionee’s termination of service, the optionee may exercise his or her option, to the extent vested as of such date of termination, (i) until 5:00 p.m. Vancouver time on the date of termination if the optionee’s service was terminated for cause (as determined by us in our sole discretion), (ii) for 365 days following a termination of the optionee’s service due to death or disability, or (iii)(a) for optionees other than non-employee and non-consultant directors, 90 days following a termination of the optionee’s service for any other reason and (b) for options of our directors other than those directors that are employees or consultants, 24 months following a termination of the optionee’s service, each for any other reason. As of the effective date of the registration statement of which this prospectus forms a part, the time period in (iii)(a) of the previous sentence shall be changed to 90 days. In no event may an option be exercised later than the expiration of its term except in certain circumstances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4"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where the expiration occurs during a blackout period as described in greater detail in the Stock Plan. Our board of directors determined the remaining terms and conditions of an option, as our board of directors, in its discretion, deemed to be consistent with the Stock Plan. The specific terms of any grant of stock options are set forth in an award agreement between us and the recipient.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Optionees may not assign their options or their rights under the Stock Plan.</w:t>
      </w:r>
    </w:p>
    <w:p>
      <w:pPr>
        <w:spacing w:after="0" w:line="11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under the Stock Plan, our board of directors may make proportional adjustments to the number of common shares that may be delivered under the Stock Plan and/or the number and price of shares covered by each outstanding option.</w:t>
      </w:r>
    </w:p>
    <w:p>
      <w:pPr>
        <w:spacing w:after="0" w:line="81" w:lineRule="exact"/>
        <w:rPr>
          <w:sz w:val="20"/>
          <w:szCs w:val="20"/>
          <w:color w:val="auto"/>
        </w:rPr>
      </w:pPr>
    </w:p>
    <w:p>
      <w:pPr>
        <w:ind w:right="20"/>
        <w:spacing w:after="0"/>
        <w:rPr>
          <w:sz w:val="20"/>
          <w:szCs w:val="20"/>
          <w:color w:val="auto"/>
        </w:rPr>
      </w:pPr>
      <w:r>
        <w:rPr>
          <w:rFonts w:ascii="Arial" w:cs="Arial" w:eastAsia="Arial" w:hAnsi="Arial"/>
          <w:sz w:val="17"/>
          <w:szCs w:val="17"/>
          <w:i w:val="1"/>
          <w:iCs w:val="1"/>
          <w:color w:val="auto"/>
        </w:rPr>
        <w:t>Merger, Dissolution, Liquidation, or other Change of Control</w:t>
      </w:r>
      <w:r>
        <w:rPr>
          <w:rFonts w:ascii="Arial" w:cs="Arial" w:eastAsia="Arial" w:hAnsi="Arial"/>
          <w:sz w:val="17"/>
          <w:szCs w:val="17"/>
          <w:color w:val="auto"/>
        </w:rPr>
        <w:t>. Our Stock Plan provides that in the event of a dissolution, liquidation, sale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assets; merger, consolidation, amalgamation, arrangement or reorganization in which we are not the surviving corporation; reverse merger in which we are the surviving corporation but our common shares are converted into other property; or an acquisition by any person, entity or group within the meaning of Section 13(d) of the Exchange Act of our securities representing at least 35% of the combined voting power entitled to vote in an election of directors, which we collectively refer to as a Change of Control, any successor corporation shall assume our obligations in respect of all outstanding options under our Stock Plan or shall substitute an equivalent option for all outstanding options under the Stock Plan. If a successor corporation does not assume or substitute for an outstanding option, then any options held by persons who are directors, officers, or Service Providers generally will fully vest and the time during which such option may be exercised shall be accelerated prior to the completion of the Change of Control. All options that are not assumed or are not substituted for will terminate unless exercised prior to the Change of Control. In the event of our merger into another corporation or other entity or any other Change of Control in which the options are assumed or substituted for by a successor corporation, the assumed options or the substitute options held by a director, officer or Service Provider will become fully vested and exercisable if, within 12 months following the Change of Control, either (i) the optionee’s service is terminated by us or the successor corporation other than for Cause (as defined in the Stock Plan) or (ii) the optionee resigns for Good Reason (as defined in the Stock Plan).</w:t>
      </w:r>
    </w:p>
    <w:p>
      <w:pPr>
        <w:spacing w:after="0" w:line="9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Plan Amendment</w:t>
      </w:r>
      <w:r>
        <w:rPr>
          <w:rFonts w:ascii="Arial" w:cs="Arial" w:eastAsia="Arial" w:hAnsi="Arial"/>
          <w:sz w:val="17"/>
          <w:szCs w:val="17"/>
          <w:color w:val="auto"/>
        </w:rPr>
        <w:t>. Subject to any required regulatory approval, we may amend the Stock Plan at any time, provided that such amendment does not impair</w:t>
      </w:r>
      <w:r>
        <w:rPr>
          <w:rFonts w:ascii="Arial" w:cs="Arial" w:eastAsia="Arial" w:hAnsi="Arial"/>
          <w:sz w:val="17"/>
          <w:szCs w:val="17"/>
          <w:i w:val="1"/>
          <w:iCs w:val="1"/>
          <w:color w:val="auto"/>
        </w:rPr>
        <w:t xml:space="preserve"> </w:t>
      </w:r>
      <w:r>
        <w:rPr>
          <w:rFonts w:ascii="Arial" w:cs="Arial" w:eastAsia="Arial" w:hAnsi="Arial"/>
          <w:sz w:val="17"/>
          <w:szCs w:val="17"/>
          <w:color w:val="auto"/>
        </w:rPr>
        <w:t>the existing rights of any optionee under any then-outstanding option.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and Pension Benefits</w:t>
      </w:r>
    </w:p>
    <w:p>
      <w:pPr>
        <w:spacing w:after="0" w:line="4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Our registered retirement savings plan, or RRSP Plan, provides Canadian resident employees with an opportunity to participate in a retirement savings plan. This type of retirement plan is a Canadian retirement plan with features similar to a 401(k) plan or an individual retirement account administered in the U.S. All of our named executive officers are eligible to participate in all of our employee benefit plans, in each case on the same basis as other employees. Under our current RRSP Plan, we match 100% of employee contributions by eligible employees up to a maximum of 5% of the employee’s salary.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00"/>
          </w:cols>
          <w:pgMar w:left="240" w:top="444" w:right="2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50"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following is a description of transactions since January 1, 2011 to which we have been a party, in which the amount involved exceeds $120,000, and in which any of our directors, executive officers, or holders of more than 5% of our shares, or an affiliate or immediate family member thereof, had or will have a direct or indirect material interest, other than compensation arrangements which are described under the sections of this prospectus captioned “Management—Director Compensation” and “Executive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 Policy</w:t>
      </w:r>
    </w:p>
    <w:p>
      <w:pPr>
        <w:spacing w:after="0" w:line="4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have adopted a formal, written policy, which became effective as of the date of this prospectus, that our executive officers, directors (including director nominees), holders of more than 5% of any class of our voting securities, and any member of the immediate family of or any entities affiliated with any of the foregoing persons, are not permitted to enter into a related party transaction with us without the prior approval or, in the case of pending or ongoing related party transactions, ratification of our audit committee. For purposes of our policy, a related party transaction is a transaction, arrangement or relationship where we were, are or will be involved and in which a related party had, has or will have a direct or indirect material interest, other than transactions available to all of our employees.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Services Provided by Genworks, Inc.</w:t>
      </w:r>
    </w:p>
    <w:p>
      <w:pPr>
        <w:spacing w:after="0" w:line="4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Genworks Inc., or Genworks, is controlled by Dr. Michael Hayden, one of our directors. Consulting fees have been paid to Genworks in consideration of certain scientific consulting services provided by Dr. Hayden. During the fiscal years ended December 31, 2011, 2012, and 2013, and the six months ended June 30, 2014, we incurred cash consulting fees to Genworks in the amount of $278,622, $307,264, and $0, and $0, respectively. These amounts were paid in Canadian dollars and have been converted to U.S. dollars based on the average annual U.S. dollar per Canadian dollar exchange rate for the applicable year in which the amounts were paid. The U.S. dollar per Canadian dollar exchange rate used for such conversions is 1.0117, 1.0006, and 0.9713 respectively.</w:t>
      </w:r>
    </w:p>
    <w:p>
      <w:pPr>
        <w:spacing w:after="0" w:line="11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Pursuant to the terms of our agreement with Genworks, our board of directors has the ability to grant discretionary bonuses to Genworks related to Dr. Hayden’s provision of services as our chief scientific officer. In January 2013, in recognition of the services Dr. Hayden rendered to us in 2012, our board of directors exercised its discretion and granted Genworks an option to purchase 30,864 of our common shares at an exercise price of CAD$2.67 per share. In January 2012, in recognition of the services Dr. Hayden rendered to us in 2011, our board of directors exercised its discretion and granted Genworks an option to purchase 10,288 of our common shares at an exercise price of CAD$3.74 per share. One quarter of the shares underlying these options vest on the first anniversary of the grant date, with the remainder of the shares vesting on a monthly basis over the next three years, subject to Genworks’ continuing status as a service provider to us.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to the options granted to Genworks, our board of directors awarded a performance bonus to Genworks in acknowledgment of services provided prior to September 1, 2012 relating to our sublicense agreement with uniQure Biopharma B.V., or uniQure. Pursuant to the terms of this performance bonus award, in the event that we receive royalty payments from uniQure satisfying certain pre-specified thresholds, Genworks has a right to receive a portion of such royalty payments, totaling up to CAD$600,000. Excluding any amounts owing to Genworks pursuant to the performance bonus relating to uniQure, as of September 1, 2012, no further cash consulting fees are payable to Genworks under such consulting agreement. While we do retain the services of Genworks from time to time, Dr. Hayden no longer provides services to us as our chief scientific officer.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and Regulatory Services Provided by Medpace, Inc.</w:t>
      </w:r>
    </w:p>
    <w:p>
      <w:pPr>
        <w:spacing w:after="0" w:line="4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During the fiscal years ended December 31, 2011 and 2012, we incurred contract research organization, or CRO, fees to Medpace, Inc., or Medpace, in the amount of $876,474 and $150,915, respectively. Dr. Evan A. Stein, one of our directors, is a former equityholder and former director of Medpace. These CRO fees were paid to Medpace in consideration of certain clinical development services provided by Medpace during this period by individuals other than Dr. Stein. None of these fees were paid directly to Dr. Stein. We are not currently party to a consulting agreement with Medpace and we do not expect to engage Medpace for CRO services in the future. The fees paid 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44"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Medpace did not exceed 5% of the consolidated gross revenue of Medpace during any of these fiscal years and we made no payments to Medpace in 2013 or during the six months ended June 30, 2014.</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4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We have entered into an amended and restated investor rights agreement, dated December 6, 2006, as amended, with certain holders of our preferred shares, including entities affiliated with Fidelity Investments, entities affiliated with InterWest Partners and entities affiliated with Lipoterx, L.P., which provides these holders with, among other things, certain rights relating to the registration of our common shares. See the section of this prospectus captioned “Description of Share Capital—Registration Rights” for more information about the amended and restated investor rights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to Articles of Continuance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In June 2014, our shareholders approved certain amendments to our articles of continuance, which have the effect of, among other things, increasing in the number of common shares issuable upon conversion of our Series E preferred shares if the initial public offering price was below $16.55 per share. We expect to file the amendment effecting this change prior to the closing of this offering. For additional information regarding the conversion provisions of the Series E preferred shares, please see the section of this prospectus captioned “Description of Share Capital.”</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 and Directors’ and Officers’ Liability Insurance</w:t>
      </w:r>
    </w:p>
    <w:p>
      <w:pPr>
        <w:spacing w:after="0" w:line="4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will enter into indemnification agreements with each of our directors and officers prior to the completion of this offering. As provided by our by-laws, these agreements, among other things, will require us to indemnify each director and officer to the fullest extent permitted by the Canada Business Corporations Act, or CBCA, including indemnification of all costs, charges and expenses reasonably incurred by such person in any action or proceeding, including any action or proceeding by or in right of us, arising out of the person’s services as a director or officer.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under the Canada Business Corporations Act</w:t>
      </w:r>
    </w:p>
    <w:p>
      <w:pPr>
        <w:spacing w:after="0" w:line="4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Pursuant to the CBCA, directors and officers are required to act honestly and in good faith with a view to the best interests of the company. Under the CBCA, subject to certain limited exceptions, a director who holds a disclosable interest in a material contract or transaction into which we have entered or propose to enter shall not vote on any directors’ resolution to approve the contract or transaction. A director or officer has a disclosable interest in a material contract or transaction if the director or officer is:</w:t>
      </w:r>
    </w:p>
    <w:p>
      <w:pPr>
        <w:spacing w:after="0" w:line="24" w:lineRule="exact"/>
        <w:rPr>
          <w:sz w:val="20"/>
          <w:szCs w:val="20"/>
          <w:color w:val="auto"/>
        </w:rPr>
      </w:pPr>
    </w:p>
    <w:p>
      <w:pPr>
        <w:ind w:left="780" w:hanging="441"/>
        <w:spacing w:after="0"/>
        <w:tabs>
          <w:tab w:leader="none" w:pos="780" w:val="left"/>
        </w:tabs>
        <w:numPr>
          <w:ilvl w:val="0"/>
          <w:numId w:val="96"/>
        </w:numPr>
        <w:rPr>
          <w:rFonts w:ascii="Arial" w:cs="Arial" w:eastAsia="Arial" w:hAnsi="Arial"/>
          <w:sz w:val="26"/>
          <w:szCs w:val="26"/>
          <w:color w:val="auto"/>
          <w:vertAlign w:val="superscript"/>
        </w:rPr>
      </w:pPr>
      <w:r>
        <w:rPr>
          <w:rFonts w:ascii="Arial" w:cs="Arial" w:eastAsia="Arial" w:hAnsi="Arial"/>
          <w:sz w:val="17"/>
          <w:szCs w:val="17"/>
          <w:color w:val="auto"/>
        </w:rPr>
        <w:t>a party to the contract or transaction;</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96"/>
        </w:numPr>
        <w:rPr>
          <w:rFonts w:ascii="Arial" w:cs="Arial" w:eastAsia="Arial" w:hAnsi="Arial"/>
          <w:sz w:val="23"/>
          <w:szCs w:val="23"/>
          <w:color w:val="auto"/>
          <w:vertAlign w:val="superscript"/>
        </w:rPr>
      </w:pPr>
      <w:r>
        <w:rPr>
          <w:rFonts w:ascii="Arial" w:cs="Arial" w:eastAsia="Arial" w:hAnsi="Arial"/>
          <w:sz w:val="15"/>
          <w:szCs w:val="15"/>
          <w:color w:val="auto"/>
        </w:rPr>
        <w:t>is a director or officer, or an individual acting in a similar capacity, of a party to the contract or transaction; or</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96"/>
        </w:numPr>
        <w:rPr>
          <w:rFonts w:ascii="Arial" w:cs="Arial" w:eastAsia="Arial" w:hAnsi="Arial"/>
          <w:sz w:val="23"/>
          <w:szCs w:val="23"/>
          <w:color w:val="auto"/>
          <w:vertAlign w:val="superscript"/>
        </w:rPr>
      </w:pPr>
      <w:r>
        <w:rPr>
          <w:rFonts w:ascii="Arial" w:cs="Arial" w:eastAsia="Arial" w:hAnsi="Arial"/>
          <w:sz w:val="15"/>
          <w:szCs w:val="15"/>
          <w:color w:val="auto"/>
        </w:rPr>
        <w:t>has a material interest in a party to the contract or transaction.</w:t>
      </w:r>
    </w:p>
    <w:p>
      <w:pPr>
        <w:spacing w:after="0" w:line="108" w:lineRule="exact"/>
        <w:rPr>
          <w:sz w:val="20"/>
          <w:szCs w:val="20"/>
          <w:color w:val="auto"/>
        </w:rPr>
      </w:pPr>
    </w:p>
    <w:p>
      <w:pPr>
        <w:jc w:val="both"/>
        <w:ind w:right="180"/>
        <w:spacing w:after="0" w:line="241" w:lineRule="auto"/>
        <w:rPr>
          <w:sz w:val="20"/>
          <w:szCs w:val="20"/>
          <w:color w:val="auto"/>
        </w:rPr>
      </w:pPr>
      <w:r>
        <w:rPr>
          <w:rFonts w:ascii="Arial" w:cs="Arial" w:eastAsia="Arial" w:hAnsi="Arial"/>
          <w:sz w:val="17"/>
          <w:szCs w:val="17"/>
          <w:color w:val="auto"/>
        </w:rPr>
        <w:t>Generally, as a matter of practice, directors or officers who have disclosed a material interest in any contract or transaction that our board of directors is considering will not take part in any board discussion respecting that contract or transaction. If such directors were to participate in the discussions, they would abstain from voting on any matters relating to matters in which they have disclosed a disclosable interest.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4"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SHAREHOLDERS</w:t>
      </w:r>
    </w:p>
    <w:p>
      <w:pPr>
        <w:spacing w:after="0" w:line="250"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following table sets forth information relating to the beneficial ownership of our common shares as of September 30, 2014 as adjusted to reflect the sale of common shares offered by us in this offering, for:</w:t>
      </w:r>
    </w:p>
    <w:p>
      <w:pPr>
        <w:spacing w:after="0" w:line="20" w:lineRule="exact"/>
        <w:rPr>
          <w:sz w:val="20"/>
          <w:szCs w:val="20"/>
          <w:color w:val="auto"/>
        </w:rPr>
      </w:pPr>
    </w:p>
    <w:p>
      <w:pPr>
        <w:ind w:left="780" w:hanging="441"/>
        <w:spacing w:after="0"/>
        <w:tabs>
          <w:tab w:leader="none" w:pos="780" w:val="left"/>
        </w:tabs>
        <w:numPr>
          <w:ilvl w:val="0"/>
          <w:numId w:val="97"/>
        </w:numPr>
        <w:rPr>
          <w:rFonts w:ascii="Arial" w:cs="Arial" w:eastAsia="Arial" w:hAnsi="Arial"/>
          <w:sz w:val="26"/>
          <w:szCs w:val="26"/>
          <w:color w:val="auto"/>
          <w:vertAlign w:val="superscript"/>
        </w:rPr>
      </w:pPr>
      <w:r>
        <w:rPr>
          <w:rFonts w:ascii="Arial" w:cs="Arial" w:eastAsia="Arial" w:hAnsi="Arial"/>
          <w:sz w:val="17"/>
          <w:szCs w:val="17"/>
          <w:color w:val="auto"/>
        </w:rPr>
        <w:t>each person, or group of affiliated persons, known by us to beneficially own more than 5% of our outstanding common shares;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97"/>
        </w:numPr>
        <w:rPr>
          <w:rFonts w:ascii="Arial" w:cs="Arial" w:eastAsia="Arial" w:hAnsi="Arial"/>
          <w:sz w:val="23"/>
          <w:szCs w:val="23"/>
          <w:color w:val="auto"/>
          <w:vertAlign w:val="superscript"/>
        </w:rPr>
      </w:pPr>
      <w:r>
        <w:rPr>
          <w:rFonts w:ascii="Arial" w:cs="Arial" w:eastAsia="Arial" w:hAnsi="Arial"/>
          <w:sz w:val="15"/>
          <w:szCs w:val="15"/>
          <w:color w:val="auto"/>
        </w:rPr>
        <w:t>each of our named executive officers;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97"/>
        </w:numPr>
        <w:rPr>
          <w:rFonts w:ascii="Arial" w:cs="Arial" w:eastAsia="Arial" w:hAnsi="Arial"/>
          <w:sz w:val="23"/>
          <w:szCs w:val="23"/>
          <w:color w:val="auto"/>
          <w:vertAlign w:val="superscript"/>
        </w:rPr>
      </w:pPr>
      <w:r>
        <w:rPr>
          <w:rFonts w:ascii="Arial" w:cs="Arial" w:eastAsia="Arial" w:hAnsi="Arial"/>
          <w:sz w:val="15"/>
          <w:szCs w:val="15"/>
          <w:color w:val="auto"/>
        </w:rPr>
        <w:t>each of our directors;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97"/>
        </w:numPr>
        <w:rPr>
          <w:rFonts w:ascii="Arial" w:cs="Arial" w:eastAsia="Arial" w:hAnsi="Arial"/>
          <w:sz w:val="23"/>
          <w:szCs w:val="23"/>
          <w:color w:val="auto"/>
          <w:vertAlign w:val="superscript"/>
        </w:rPr>
      </w:pPr>
      <w:r>
        <w:rPr>
          <w:rFonts w:ascii="Arial" w:cs="Arial" w:eastAsia="Arial" w:hAnsi="Arial"/>
          <w:sz w:val="15"/>
          <w:szCs w:val="15"/>
          <w:color w:val="auto"/>
        </w:rPr>
        <w:t>all current executive officers and directors as a group.</w:t>
      </w:r>
    </w:p>
    <w:p>
      <w:pPr>
        <w:spacing w:after="0" w:line="10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percentage of beneficial ownership prior to the offering shown in the table is based upon 9,085,716 common shares outstanding as of September 30, 2014, based upon the initial public offering price of $9.00 per share. The percentage of beneficial ownership after this offering shown in the table is based on 13,580,716 common shares outstanding after the closing of this offering and the concurrent private placement, assuming no exercise of the underwriters’ option to purchase additional common shares.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common shares issuable pursuant to the exercise of stock options or warrants that are either immediately exercisable or exercisable on or before the 60th day after September 30, 2014. Unless otherwise indicated, the persons or entities identified in this table have sole voting and investment power with respect to all shares shown as beneficially owned by them, subject to applicable community property laws.</w:t>
      </w:r>
    </w:p>
    <w:p>
      <w:pPr>
        <w:spacing w:after="0" w:line="110"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Except as otherwise noted below, the address for each person or entity listed in the table is c/o Xenon Pharmaceuticals Inc., 200 – 3650 Gilmore Way, Burnaby, British Columbia V5G 4W8,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20" w:type="dxa"/>
            <w:vAlign w:val="bottom"/>
            <w:gridSpan w:val="2"/>
          </w:tcPr>
          <w:p>
            <w:pPr>
              <w:jc w:val="center"/>
              <w:ind w:right="880"/>
              <w:spacing w:after="0"/>
              <w:rPr>
                <w:sz w:val="20"/>
                <w:szCs w:val="20"/>
                <w:color w:val="auto"/>
              </w:rPr>
            </w:pPr>
            <w:r>
              <w:rPr>
                <w:rFonts w:ascii="Arial" w:cs="Arial" w:eastAsia="Arial" w:hAnsi="Arial"/>
                <w:sz w:val="13"/>
                <w:szCs w:val="13"/>
                <w:b w:val="1"/>
                <w:bCs w:val="1"/>
                <w:color w:val="auto"/>
                <w:w w:val="99"/>
              </w:rPr>
              <w:t>NUMBER OF</w:t>
            </w:r>
          </w:p>
        </w:tc>
        <w:tc>
          <w:tcPr>
            <w:tcW w:w="3460" w:type="dxa"/>
            <w:vAlign w:val="bottom"/>
            <w:gridSpan w:val="4"/>
            <w:vMerge w:val="restart"/>
          </w:tcPr>
          <w:p>
            <w:pPr>
              <w:jc w:val="right"/>
              <w:ind w:right="940"/>
              <w:spacing w:after="0"/>
              <w:rPr>
                <w:sz w:val="20"/>
                <w:szCs w:val="20"/>
                <w:color w:val="auto"/>
              </w:rPr>
            </w:pPr>
            <w:r>
              <w:rPr>
                <w:rFonts w:ascii="Arial" w:cs="Arial" w:eastAsia="Arial" w:hAnsi="Arial"/>
                <w:sz w:val="13"/>
                <w:szCs w:val="13"/>
                <w:b w:val="1"/>
                <w:bCs w:val="1"/>
                <w:color w:val="auto"/>
              </w:rPr>
              <w:t>PERCENTAGE OF SHARES</w:t>
            </w:r>
          </w:p>
        </w:tc>
        <w:tc>
          <w:tcPr>
            <w:tcW w:w="0" w:type="dxa"/>
            <w:vAlign w:val="bottom"/>
          </w:tcPr>
          <w:p>
            <w:pPr>
              <w:spacing w:after="0"/>
              <w:rPr>
                <w:sz w:val="1"/>
                <w:szCs w:val="1"/>
                <w:color w:val="auto"/>
              </w:rPr>
            </w:pPr>
          </w:p>
        </w:tc>
      </w:tr>
      <w:tr>
        <w:trPr>
          <w:trHeight w:val="77"/>
        </w:trPr>
        <w:tc>
          <w:tcPr>
            <w:tcW w:w="19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20" w:type="dxa"/>
            <w:vAlign w:val="bottom"/>
            <w:gridSpan w:val="2"/>
            <w:vMerge w:val="restart"/>
          </w:tcPr>
          <w:p>
            <w:pPr>
              <w:jc w:val="center"/>
              <w:ind w:right="880"/>
              <w:spacing w:after="0" w:line="142" w:lineRule="exact"/>
              <w:rPr>
                <w:sz w:val="20"/>
                <w:szCs w:val="20"/>
                <w:color w:val="auto"/>
              </w:rPr>
            </w:pPr>
            <w:r>
              <w:rPr>
                <w:rFonts w:ascii="Arial" w:cs="Arial" w:eastAsia="Arial" w:hAnsi="Arial"/>
                <w:sz w:val="13"/>
                <w:szCs w:val="13"/>
                <w:b w:val="1"/>
                <w:bCs w:val="1"/>
                <w:color w:val="auto"/>
                <w:w w:val="99"/>
              </w:rPr>
              <w:t>SHARES</w:t>
            </w:r>
          </w:p>
        </w:tc>
        <w:tc>
          <w:tcPr>
            <w:tcW w:w="3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9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3460" w:type="dxa"/>
            <w:vAlign w:val="bottom"/>
            <w:gridSpan w:val="4"/>
            <w:vMerge w:val="restart"/>
          </w:tcPr>
          <w:p>
            <w:pPr>
              <w:jc w:val="right"/>
              <w:ind w:right="106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94"/>
        </w:trPr>
        <w:tc>
          <w:tcPr>
            <w:tcW w:w="19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20" w:type="dxa"/>
            <w:vAlign w:val="bottom"/>
            <w:gridSpan w:val="2"/>
            <w:vMerge w:val="restart"/>
          </w:tcPr>
          <w:p>
            <w:pPr>
              <w:jc w:val="center"/>
              <w:ind w:right="880"/>
              <w:spacing w:after="0" w:line="142" w:lineRule="exact"/>
              <w:rPr>
                <w:sz w:val="20"/>
                <w:szCs w:val="20"/>
                <w:color w:val="auto"/>
              </w:rPr>
            </w:pPr>
            <w:r>
              <w:rPr>
                <w:rFonts w:ascii="Arial" w:cs="Arial" w:eastAsia="Arial" w:hAnsi="Arial"/>
                <w:sz w:val="13"/>
                <w:szCs w:val="13"/>
                <w:b w:val="1"/>
                <w:bCs w:val="1"/>
                <w:color w:val="auto"/>
                <w:w w:val="99"/>
              </w:rPr>
              <w:t>BENEFICIALLY</w:t>
            </w:r>
          </w:p>
        </w:tc>
        <w:tc>
          <w:tcPr>
            <w:tcW w:w="3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76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53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gridSpan w:val="2"/>
          </w:tcPr>
          <w:p>
            <w:pPr>
              <w:jc w:val="center"/>
              <w:ind w:right="880"/>
              <w:spacing w:after="0" w:line="146" w:lineRule="exact"/>
              <w:rPr>
                <w:sz w:val="20"/>
                <w:szCs w:val="20"/>
                <w:color w:val="auto"/>
              </w:rPr>
            </w:pPr>
            <w:r>
              <w:rPr>
                <w:rFonts w:ascii="Arial" w:cs="Arial" w:eastAsia="Arial" w:hAnsi="Arial"/>
                <w:sz w:val="13"/>
                <w:szCs w:val="13"/>
                <w:b w:val="1"/>
                <w:bCs w:val="1"/>
                <w:color w:val="auto"/>
              </w:rPr>
              <w:t>OWNED</w:t>
            </w:r>
          </w:p>
        </w:tc>
        <w:tc>
          <w:tcPr>
            <w:tcW w:w="2220" w:type="dxa"/>
            <w:vAlign w:val="bottom"/>
            <w:gridSpan w:val="2"/>
          </w:tcPr>
          <w:p>
            <w:pPr>
              <w:jc w:val="right"/>
              <w:ind w:right="980"/>
              <w:spacing w:after="0" w:line="146" w:lineRule="exact"/>
              <w:rPr>
                <w:sz w:val="20"/>
                <w:szCs w:val="20"/>
                <w:color w:val="auto"/>
              </w:rPr>
            </w:pPr>
            <w:r>
              <w:rPr>
                <w:rFonts w:ascii="Arial" w:cs="Arial" w:eastAsia="Arial" w:hAnsi="Arial"/>
                <w:sz w:val="13"/>
                <w:szCs w:val="13"/>
                <w:b w:val="1"/>
                <w:bCs w:val="1"/>
                <w:color w:val="auto"/>
                <w:w w:val="97"/>
              </w:rPr>
              <w:t>BEFORE OFFERING</w:t>
            </w:r>
          </w:p>
        </w:tc>
        <w:tc>
          <w:tcPr>
            <w:tcW w:w="1240" w:type="dxa"/>
            <w:vAlign w:val="bottom"/>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w w:val="98"/>
              </w:rPr>
              <w:t>AFTER OFFERING</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5% and Greater Shareholders</w:t>
            </w:r>
          </w:p>
        </w:tc>
        <w:tc>
          <w:tcPr>
            <w:tcW w:w="7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Entities affiliated with MX Associates, LLP </w:t>
            </w:r>
            <w:r>
              <w:rPr>
                <w:rFonts w:ascii="Arial" w:cs="Arial" w:eastAsia="Arial" w:hAnsi="Arial"/>
                <w:sz w:val="21"/>
                <w:szCs w:val="21"/>
                <w:color w:val="auto"/>
                <w:vertAlign w:val="superscript"/>
              </w:rPr>
              <w:t>(1)</w:t>
            </w:r>
          </w:p>
        </w:tc>
        <w:tc>
          <w:tcPr>
            <w:tcW w:w="1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1,474,660</w:t>
            </w:r>
          </w:p>
        </w:tc>
        <w:tc>
          <w:tcPr>
            <w:tcW w:w="880" w:type="dxa"/>
            <w:vAlign w:val="bottom"/>
          </w:tcPr>
          <w:p>
            <w:pPr>
              <w:spacing w:after="0"/>
              <w:rPr>
                <w:sz w:val="16"/>
                <w:szCs w:val="16"/>
                <w:color w:val="auto"/>
              </w:rPr>
            </w:pPr>
          </w:p>
        </w:tc>
        <w:tc>
          <w:tcPr>
            <w:tcW w:w="2220" w:type="dxa"/>
            <w:vAlign w:val="bottom"/>
            <w:gridSpan w:val="2"/>
          </w:tcPr>
          <w:p>
            <w:pPr>
              <w:jc w:val="right"/>
              <w:ind w:right="820"/>
              <w:spacing w:after="0" w:line="194" w:lineRule="exact"/>
              <w:rPr>
                <w:sz w:val="20"/>
                <w:szCs w:val="20"/>
                <w:color w:val="auto"/>
              </w:rPr>
            </w:pPr>
            <w:r>
              <w:rPr>
                <w:rFonts w:ascii="Arial" w:cs="Arial" w:eastAsia="Arial" w:hAnsi="Arial"/>
                <w:sz w:val="17"/>
                <w:szCs w:val="17"/>
                <w:color w:val="auto"/>
              </w:rPr>
              <w:t>16.2%</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Entities affiliated with Lipoterx, Ltd. </w:t>
            </w:r>
            <w:r>
              <w:rPr>
                <w:rFonts w:ascii="Arial" w:cs="Arial" w:eastAsia="Arial" w:hAnsi="Arial"/>
                <w:sz w:val="21"/>
                <w:szCs w:val="21"/>
                <w:color w:val="auto"/>
                <w:vertAlign w:val="superscript"/>
              </w:rPr>
              <w:t>(2)</w:t>
            </w:r>
          </w:p>
        </w:tc>
        <w:tc>
          <w:tcPr>
            <w:tcW w:w="1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1,038,964</w:t>
            </w:r>
          </w:p>
        </w:tc>
        <w:tc>
          <w:tcPr>
            <w:tcW w:w="88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11.4</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Entities affiliated with InterWest Partners </w:t>
            </w:r>
            <w:r>
              <w:rPr>
                <w:rFonts w:ascii="Arial" w:cs="Arial" w:eastAsia="Arial" w:hAnsi="Arial"/>
                <w:sz w:val="21"/>
                <w:szCs w:val="21"/>
                <w:color w:val="auto"/>
                <w:vertAlign w:val="superscript"/>
              </w:rPr>
              <w:t>(3)</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803,925</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8.8</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FMR LLC </w:t>
            </w:r>
            <w:r>
              <w:rPr>
                <w:rFonts w:ascii="Arial" w:cs="Arial" w:eastAsia="Arial" w:hAnsi="Arial"/>
                <w:sz w:val="21"/>
                <w:szCs w:val="21"/>
                <w:color w:val="auto"/>
                <w:vertAlign w:val="superscript"/>
              </w:rPr>
              <w:t>(4)</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631,239</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6.9</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Executive Officers and Directors</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Simon N. Pimstone </w:t>
            </w:r>
            <w:r>
              <w:rPr>
                <w:rFonts w:ascii="Arial" w:cs="Arial" w:eastAsia="Arial" w:hAnsi="Arial"/>
                <w:sz w:val="21"/>
                <w:szCs w:val="21"/>
                <w:color w:val="auto"/>
                <w:vertAlign w:val="superscript"/>
              </w:rPr>
              <w:t>(5)</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392,319</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4.2</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Ian Mortimer</w:t>
            </w:r>
            <w:r>
              <w:rPr>
                <w:rFonts w:ascii="Arial" w:cs="Arial" w:eastAsia="Arial" w:hAnsi="Arial"/>
                <w:sz w:val="21"/>
                <w:szCs w:val="21"/>
                <w:color w:val="auto"/>
                <w:vertAlign w:val="superscript"/>
              </w:rPr>
              <w:t>(6)</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13,310</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Y. Paul Goldberg </w:t>
            </w:r>
            <w:r>
              <w:rPr>
                <w:rFonts w:ascii="Arial" w:cs="Arial" w:eastAsia="Arial" w:hAnsi="Arial"/>
                <w:sz w:val="21"/>
                <w:szCs w:val="21"/>
                <w:color w:val="auto"/>
                <w:vertAlign w:val="superscript"/>
              </w:rPr>
              <w:t>(7)</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72,693</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Michael M. Tarnow </w:t>
            </w:r>
            <w:r>
              <w:rPr>
                <w:rFonts w:ascii="Arial" w:cs="Arial" w:eastAsia="Arial" w:hAnsi="Arial"/>
                <w:sz w:val="21"/>
                <w:szCs w:val="21"/>
                <w:color w:val="auto"/>
                <w:vertAlign w:val="superscript"/>
              </w:rPr>
              <w:t>(8)</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136,230</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1.5</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Mohammad Azab </w:t>
            </w:r>
            <w:r>
              <w:rPr>
                <w:rFonts w:ascii="Arial" w:cs="Arial" w:eastAsia="Arial" w:hAnsi="Arial"/>
                <w:sz w:val="21"/>
                <w:szCs w:val="21"/>
                <w:color w:val="auto"/>
                <w:vertAlign w:val="superscript"/>
              </w:rPr>
              <w:t>(9)</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45,126</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Gary Bridger </w:t>
            </w:r>
            <w:r>
              <w:rPr>
                <w:rFonts w:ascii="Arial" w:cs="Arial" w:eastAsia="Arial" w:hAnsi="Arial"/>
                <w:sz w:val="21"/>
                <w:szCs w:val="21"/>
                <w:color w:val="auto"/>
                <w:vertAlign w:val="superscript"/>
              </w:rPr>
              <w:t>(10)</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22,076</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Karen Corraini </w:t>
            </w:r>
            <w:r>
              <w:rPr>
                <w:rFonts w:ascii="Arial" w:cs="Arial" w:eastAsia="Arial" w:hAnsi="Arial"/>
                <w:sz w:val="21"/>
                <w:szCs w:val="21"/>
                <w:color w:val="auto"/>
                <w:vertAlign w:val="superscript"/>
              </w:rPr>
              <w:t>(11)</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63,277</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Johnston L. Evans </w:t>
            </w:r>
            <w:r>
              <w:rPr>
                <w:rFonts w:ascii="Arial" w:cs="Arial" w:eastAsia="Arial" w:hAnsi="Arial"/>
                <w:sz w:val="21"/>
                <w:szCs w:val="21"/>
                <w:color w:val="auto"/>
                <w:vertAlign w:val="superscript"/>
              </w:rPr>
              <w:t>(12)</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444,655</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4.9</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Michael Hayden </w:t>
            </w:r>
            <w:r>
              <w:rPr>
                <w:rFonts w:ascii="Arial" w:cs="Arial" w:eastAsia="Arial" w:hAnsi="Arial"/>
                <w:sz w:val="21"/>
                <w:szCs w:val="21"/>
                <w:color w:val="auto"/>
                <w:vertAlign w:val="superscript"/>
              </w:rPr>
              <w:t>(13)</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295,002</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3.2</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Frank A. Holler </w:t>
            </w:r>
            <w:r>
              <w:rPr>
                <w:rFonts w:ascii="Arial" w:cs="Arial" w:eastAsia="Arial" w:hAnsi="Arial"/>
                <w:sz w:val="21"/>
                <w:szCs w:val="21"/>
                <w:color w:val="auto"/>
                <w:vertAlign w:val="superscript"/>
              </w:rPr>
              <w:t>(14)</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279,408</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3.0</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Gary Patou </w:t>
            </w:r>
            <w:r>
              <w:rPr>
                <w:rFonts w:ascii="Arial" w:cs="Arial" w:eastAsia="Arial" w:hAnsi="Arial"/>
                <w:sz w:val="21"/>
                <w:szCs w:val="21"/>
                <w:color w:val="auto"/>
                <w:vertAlign w:val="superscript"/>
              </w:rPr>
              <w:t>(15)</w:t>
            </w:r>
          </w:p>
        </w:tc>
        <w:tc>
          <w:tcPr>
            <w:tcW w:w="2580" w:type="dxa"/>
            <w:vAlign w:val="bottom"/>
            <w:gridSpan w:val="3"/>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40,437</w:t>
            </w: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Robin Sherrington </w:t>
            </w:r>
            <w:r>
              <w:rPr>
                <w:rFonts w:ascii="Arial" w:cs="Arial" w:eastAsia="Arial" w:hAnsi="Arial"/>
                <w:sz w:val="21"/>
                <w:szCs w:val="21"/>
                <w:color w:val="auto"/>
                <w:vertAlign w:val="superscript"/>
              </w:rPr>
              <w:t>(16)</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63,575</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Evan A. Stein </w:t>
            </w:r>
            <w:r>
              <w:rPr>
                <w:rFonts w:ascii="Arial" w:cs="Arial" w:eastAsia="Arial" w:hAnsi="Arial"/>
                <w:sz w:val="21"/>
                <w:szCs w:val="21"/>
                <w:color w:val="auto"/>
                <w:vertAlign w:val="superscript"/>
              </w:rPr>
              <w:t>(17)</w:t>
            </w:r>
          </w:p>
        </w:tc>
        <w:tc>
          <w:tcPr>
            <w:tcW w:w="1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1,048,729</w:t>
            </w:r>
          </w:p>
        </w:tc>
        <w:tc>
          <w:tcPr>
            <w:tcW w:w="88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11.5</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94"/>
        </w:trPr>
        <w:tc>
          <w:tcPr>
            <w:tcW w:w="5380" w:type="dxa"/>
            <w:vAlign w:val="bottom"/>
            <w:gridSpan w:val="2"/>
          </w:tcPr>
          <w:p>
            <w:pPr>
              <w:spacing w:after="0" w:line="194" w:lineRule="exact"/>
              <w:rPr>
                <w:sz w:val="20"/>
                <w:szCs w:val="20"/>
                <w:color w:val="auto"/>
              </w:rPr>
            </w:pPr>
            <w:r>
              <w:rPr>
                <w:rFonts w:ascii="Arial" w:cs="Arial" w:eastAsia="Arial" w:hAnsi="Arial"/>
                <w:sz w:val="17"/>
                <w:szCs w:val="17"/>
                <w:color w:val="auto"/>
              </w:rPr>
              <w:t xml:space="preserve">Charles J. Cohen </w:t>
            </w:r>
            <w:r>
              <w:rPr>
                <w:rFonts w:ascii="Arial" w:cs="Arial" w:eastAsia="Arial" w:hAnsi="Arial"/>
                <w:sz w:val="21"/>
                <w:szCs w:val="21"/>
                <w:color w:val="auto"/>
                <w:vertAlign w:val="superscript"/>
              </w:rPr>
              <w:t>(18)</w:t>
            </w:r>
          </w:p>
        </w:tc>
        <w:tc>
          <w:tcPr>
            <w:tcW w:w="2580" w:type="dxa"/>
            <w:vAlign w:val="bottom"/>
            <w:gridSpan w:val="3"/>
          </w:tcPr>
          <w:p>
            <w:pPr>
              <w:jc w:val="right"/>
              <w:ind w:right="880"/>
              <w:spacing w:after="0" w:line="194" w:lineRule="exact"/>
              <w:rPr>
                <w:sz w:val="20"/>
                <w:szCs w:val="20"/>
                <w:color w:val="auto"/>
              </w:rPr>
            </w:pPr>
            <w:r>
              <w:rPr>
                <w:rFonts w:ascii="Arial" w:cs="Arial" w:eastAsia="Arial" w:hAnsi="Arial"/>
                <w:sz w:val="17"/>
                <w:szCs w:val="17"/>
                <w:color w:val="auto"/>
              </w:rPr>
              <w:t>39,306</w:t>
            </w:r>
          </w:p>
        </w:tc>
        <w:tc>
          <w:tcPr>
            <w:tcW w:w="2220" w:type="dxa"/>
            <w:vAlign w:val="bottom"/>
            <w:gridSpan w:val="2"/>
          </w:tcPr>
          <w:p>
            <w:pPr>
              <w:jc w:val="right"/>
              <w:ind w:right="980"/>
              <w:spacing w:after="0" w:line="194"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 xml:space="preserve">All current executive officers and directors as a group (14 persons) </w:t>
            </w:r>
            <w:r>
              <w:rPr>
                <w:rFonts w:ascii="Arial" w:cs="Arial" w:eastAsia="Arial" w:hAnsi="Arial"/>
                <w:sz w:val="21"/>
                <w:szCs w:val="21"/>
                <w:color w:val="auto"/>
                <w:vertAlign w:val="superscript"/>
              </w:rPr>
              <w:t>(19)</w:t>
            </w:r>
          </w:p>
        </w:tc>
        <w:tc>
          <w:tcPr>
            <w:tcW w:w="1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2,956,144</w:t>
            </w:r>
          </w:p>
        </w:tc>
        <w:tc>
          <w:tcPr>
            <w:tcW w:w="88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980"/>
              <w:spacing w:after="0" w:line="194" w:lineRule="exact"/>
              <w:rPr>
                <w:sz w:val="20"/>
                <w:szCs w:val="20"/>
                <w:color w:val="auto"/>
              </w:rPr>
            </w:pPr>
            <w:r>
              <w:rPr>
                <w:rFonts w:ascii="Arial" w:cs="Arial" w:eastAsia="Arial" w:hAnsi="Arial"/>
                <w:sz w:val="17"/>
                <w:szCs w:val="17"/>
                <w:color w:val="auto"/>
              </w:rPr>
              <w:t>29.7</w:t>
            </w:r>
          </w:p>
        </w:tc>
        <w:tc>
          <w:tcPr>
            <w:tcW w:w="12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6"/>
        </w:trPr>
        <w:tc>
          <w:tcPr>
            <w:tcW w:w="1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60" w:type="dxa"/>
            <w:vAlign w:val="bottom"/>
          </w:tcPr>
          <w:p>
            <w:pPr>
              <w:jc w:val="right"/>
              <w:ind w:right="196"/>
              <w:spacing w:after="0"/>
              <w:rPr>
                <w:sz w:val="20"/>
                <w:szCs w:val="20"/>
                <w:color w:val="auto"/>
              </w:rPr>
            </w:pPr>
            <w:r>
              <w:rPr>
                <w:rFonts w:ascii="Arial" w:cs="Arial" w:eastAsia="Arial" w:hAnsi="Arial"/>
                <w:sz w:val="17"/>
                <w:szCs w:val="17"/>
                <w:color w:val="auto"/>
              </w:rPr>
              <w:t>148</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320" w:hanging="148"/>
        <w:spacing w:after="0"/>
        <w:tabs>
          <w:tab w:leader="none" w:pos="3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Indicates beneficial ownership of less than 1% of the total outstanding common shares.</w:t>
      </w:r>
    </w:p>
    <w:p>
      <w:pPr>
        <w:spacing w:after="0" w:line="18" w:lineRule="exact"/>
        <w:rPr>
          <w:rFonts w:ascii="Arial" w:cs="Arial" w:eastAsia="Arial" w:hAnsi="Arial"/>
          <w:sz w:val="13"/>
          <w:szCs w:val="13"/>
          <w:color w:val="auto"/>
        </w:rPr>
      </w:pPr>
    </w:p>
    <w:p>
      <w:pPr>
        <w:ind w:left="320" w:right="80" w:hanging="264"/>
        <w:spacing w:after="0" w:line="193" w:lineRule="auto"/>
        <w:tabs>
          <w:tab w:leader="none" w:pos="32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Consists of 1,474,660 shares held by MX Associates, LLP. Dr. August Troendle, as the managing partner of MX Associates has sole voting and investment power with respect to the shares held by MX Associates, LLP. The address for this entity is 5375 Medpace Way, Cincinnati, Ohio 45227.</w:t>
      </w:r>
    </w:p>
    <w:p>
      <w:pPr>
        <w:spacing w:after="0" w:line="13" w:lineRule="exact"/>
        <w:rPr>
          <w:rFonts w:ascii="Arial" w:cs="Arial" w:eastAsia="Arial" w:hAnsi="Arial"/>
          <w:sz w:val="20"/>
          <w:szCs w:val="20"/>
          <w:color w:val="auto"/>
          <w:vertAlign w:val="superscript"/>
        </w:rPr>
      </w:pPr>
    </w:p>
    <w:p>
      <w:pPr>
        <w:ind w:left="320" w:right="140" w:hanging="264"/>
        <w:spacing w:after="0" w:line="190" w:lineRule="auto"/>
        <w:tabs>
          <w:tab w:leader="none" w:pos="32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Consists of 1,038,964 shares held by Lipoterx, Ltd. (“Lipoterx”). Lipoterx Holdings, LLC, the general partner of Lipoterx, has sole voting and investment power with respect to the shares held by Lipoterx. Dr. Stein, the managing partner of Lipoterx Holdings, LLC has sole voting and investment power with respect to the shares held by Lipoterx. The address for these entities is 25 E. Superior St., Chicago, Illinois 60611.</w:t>
      </w:r>
    </w:p>
    <w:p>
      <w:pPr>
        <w:spacing w:after="0" w:line="14" w:lineRule="exact"/>
        <w:rPr>
          <w:rFonts w:ascii="Arial" w:cs="Arial" w:eastAsia="Arial" w:hAnsi="Arial"/>
          <w:sz w:val="22"/>
          <w:szCs w:val="22"/>
          <w:color w:val="auto"/>
          <w:vertAlign w:val="superscript"/>
        </w:rPr>
      </w:pPr>
    </w:p>
    <w:p>
      <w:pPr>
        <w:ind w:left="320" w:right="20" w:hanging="264"/>
        <w:spacing w:after="0" w:line="203" w:lineRule="auto"/>
        <w:tabs>
          <w:tab w:leader="none" w:pos="32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Consists of (i) 767,187 shares held by InterWest Partners VII, LP (“IW7”) and (ii) 36,738 shares held by InterWest Investors VII, LP (“II7”). InterWest Management Partners VII, LLC (“IMP7”), the general partner of IW7 and II7, has sole voting and investment power with respect to the shares held by IW7 and II7. Harvey B. Cash, Philip T. Gianos, W. Stephen Holmes, Gilbert H. Kliman and Arnold L. Oronsky as the managing directors of IMP7 share voting and investment power with respect to the shares held by IW7 and II7. IMP7 has delegated shared voting and investment power with respect to the shares held by IW7 and II7 to Nina Kjellson, one of our former directors. The address for these entities is c/o InterWest Partners, 2710 Sand Hill Road, Suite 200, Menlo Park, California 94025.</w:t>
      </w:r>
    </w:p>
    <w:p>
      <w:pPr>
        <w:spacing w:after="0" w:line="15" w:lineRule="exact"/>
        <w:rPr>
          <w:rFonts w:ascii="Arial" w:cs="Arial" w:eastAsia="Arial" w:hAnsi="Arial"/>
          <w:sz w:val="22"/>
          <w:szCs w:val="22"/>
          <w:color w:val="auto"/>
          <w:vertAlign w:val="superscript"/>
        </w:rPr>
      </w:pPr>
    </w:p>
    <w:p>
      <w:pPr>
        <w:ind w:left="320" w:hanging="264"/>
        <w:spacing w:after="0" w:line="218" w:lineRule="auto"/>
        <w:tabs>
          <w:tab w:leader="none" w:pos="32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Consists of (i) 285,920 shares held by Fidelity Select Portfolios: Biotechnology Portfolio; (ii) 2,161 shares held by Fidelity Canadian Opportunities Fund; (iii) 173,073 shares held by Fidelity Canadian Growth Company Fund; and (iv) 170,085 shares by Fidelity Canadian Asset Allocation Fund. Fidelity Management &amp; Research Company (“Fidelity”), 82 Devonshire Street, Boston, Massachusetts 02109, a wholly-owned subsidiary of FMR LLC and an investment adviser registered under Section 203 of the Investment Advisers Act of 1940, is the beneficial owner of 285,920 shares as a result of acting as investment adviser to various investment companies registered under Section 8 of the Investment Company Act of 1940. Edward C. Johnson 3d and FMR LLC, through its control of Fidelity, and the funds each has sole power to dispose of the 285,920 shares owned by the Funds. Members of the family of Edward C. Johnson 3d,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Chairman of FMR LLC, has the sole power to vote or direct the voting of the shares owned directly by the Fidelity Funds, which power resides with the Funds’ Boards of Trustees. Fidelity carries out the voting of the shares under written guidelines established by the Funds’ Boards of Trustees. Pyramis Global Advisors Trust Company (“PGATC”), 900 Salem Street, Smithfield, Rhode Island, 02917, an indirect wholly-owned subsidiary of FMR LLC and a bank as defined in Section 3(a)(6) of the Securities Exchange Act of 1934, is the beneficial owner of 345,319 shares as a result of its serving as investment manager of institutional accounts owning such shares. Edward C. Johnson 3d and FMR LLC, through its control of PGATC, each has sole dispositive power over 345,319 shares and sole power to vote or to direct the voting of 1,678,276 shares owned by the institutional accounts managed by PGATC as reported above.</w:t>
      </w:r>
    </w:p>
    <w:p>
      <w:pPr>
        <w:spacing w:after="0" w:line="18" w:lineRule="exact"/>
        <w:rPr>
          <w:rFonts w:ascii="Arial" w:cs="Arial" w:eastAsia="Arial" w:hAnsi="Arial"/>
          <w:sz w:val="22"/>
          <w:szCs w:val="22"/>
          <w:color w:val="auto"/>
          <w:vertAlign w:val="superscript"/>
        </w:rPr>
      </w:pPr>
    </w:p>
    <w:p>
      <w:pPr>
        <w:ind w:left="320" w:right="240" w:hanging="264"/>
        <w:spacing w:after="0" w:line="185" w:lineRule="auto"/>
        <w:tabs>
          <w:tab w:leader="none" w:pos="32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Consists of (i) 192,307 shares held by Dr. Pimstone; (ii) 16,460 shares held by Dr. Pimstone’s spouse; and (iii) 183,552 shares issuable upon exercise of options exercisable within 60 days of September 30, 2014.</w:t>
      </w:r>
    </w:p>
    <w:p>
      <w:pPr>
        <w:ind w:left="320" w:hanging="264"/>
        <w:spacing w:after="0" w:line="190" w:lineRule="auto"/>
        <w:tabs>
          <w:tab w:leader="none" w:pos="320" w:val="left"/>
        </w:tabs>
        <w:numPr>
          <w:ilvl w:val="0"/>
          <w:numId w:val="98"/>
        </w:numPr>
        <w:rPr>
          <w:rFonts w:ascii="Arial" w:cs="Arial" w:eastAsia="Arial" w:hAnsi="Arial"/>
          <w:sz w:val="17"/>
          <w:szCs w:val="17"/>
          <w:color w:val="auto"/>
          <w:vertAlign w:val="superscript"/>
        </w:rPr>
      </w:pPr>
      <w:r>
        <w:rPr>
          <w:rFonts w:ascii="Arial" w:cs="Arial" w:eastAsia="Arial" w:hAnsi="Arial"/>
          <w:sz w:val="11"/>
          <w:szCs w:val="11"/>
          <w:color w:val="auto"/>
        </w:rPr>
        <w:t>Consists of 13,310 shares issuable upon exercise of options exercisable within 60 days of September 30, 2014.</w:t>
      </w:r>
    </w:p>
    <w:p>
      <w:pPr>
        <w:spacing w:after="0" w:line="13" w:lineRule="exact"/>
        <w:rPr>
          <w:rFonts w:ascii="Arial" w:cs="Arial" w:eastAsia="Arial" w:hAnsi="Arial"/>
          <w:sz w:val="17"/>
          <w:szCs w:val="17"/>
          <w:color w:val="auto"/>
          <w:vertAlign w:val="superscript"/>
        </w:rPr>
      </w:pPr>
    </w:p>
    <w:p>
      <w:pPr>
        <w:ind w:left="320" w:hanging="264"/>
        <w:spacing w:after="0" w:line="190" w:lineRule="auto"/>
        <w:tabs>
          <w:tab w:leader="none" w:pos="320" w:val="left"/>
        </w:tabs>
        <w:numPr>
          <w:ilvl w:val="0"/>
          <w:numId w:val="98"/>
        </w:numPr>
        <w:rPr>
          <w:rFonts w:ascii="Arial" w:cs="Arial" w:eastAsia="Arial" w:hAnsi="Arial"/>
          <w:sz w:val="17"/>
          <w:szCs w:val="17"/>
          <w:color w:val="auto"/>
          <w:vertAlign w:val="superscript"/>
        </w:rPr>
      </w:pPr>
      <w:r>
        <w:rPr>
          <w:rFonts w:ascii="Arial" w:cs="Arial" w:eastAsia="Arial" w:hAnsi="Arial"/>
          <w:sz w:val="11"/>
          <w:szCs w:val="11"/>
          <w:color w:val="auto"/>
        </w:rPr>
        <w:t>Consists of (i) 4,320 shares held by Dr. Goldberg and (ii) 68,373 shares issuable upon exercise of options exercisable within 60 days of September 30, 2014.</w:t>
      </w:r>
    </w:p>
    <w:p>
      <w:pPr>
        <w:spacing w:after="0" w:line="13" w:lineRule="exact"/>
        <w:rPr>
          <w:rFonts w:ascii="Arial" w:cs="Arial" w:eastAsia="Arial" w:hAnsi="Arial"/>
          <w:sz w:val="17"/>
          <w:szCs w:val="17"/>
          <w:color w:val="auto"/>
          <w:vertAlign w:val="superscript"/>
        </w:rPr>
      </w:pPr>
    </w:p>
    <w:p>
      <w:pPr>
        <w:ind w:left="320" w:hanging="264"/>
        <w:spacing w:after="0" w:line="190" w:lineRule="auto"/>
        <w:tabs>
          <w:tab w:leader="none" w:pos="320" w:val="left"/>
        </w:tabs>
        <w:numPr>
          <w:ilvl w:val="0"/>
          <w:numId w:val="98"/>
        </w:numPr>
        <w:rPr>
          <w:rFonts w:ascii="Arial" w:cs="Arial" w:eastAsia="Arial" w:hAnsi="Arial"/>
          <w:sz w:val="17"/>
          <w:szCs w:val="17"/>
          <w:color w:val="auto"/>
          <w:vertAlign w:val="superscript"/>
        </w:rPr>
      </w:pPr>
      <w:r>
        <w:rPr>
          <w:rFonts w:ascii="Arial" w:cs="Arial" w:eastAsia="Arial" w:hAnsi="Arial"/>
          <w:sz w:val="11"/>
          <w:szCs w:val="11"/>
          <w:color w:val="auto"/>
        </w:rPr>
        <w:t>Consists of (i) 48,583 shares held by Mr. Tarnow and (ii) 87,647 shares issuable upon exercise of options exercisable within 60 days of September 30, 2014.</w:t>
      </w:r>
    </w:p>
    <w:p>
      <w:pPr>
        <w:spacing w:after="0" w:line="13" w:lineRule="exact"/>
        <w:rPr>
          <w:rFonts w:ascii="Arial" w:cs="Arial" w:eastAsia="Arial" w:hAnsi="Arial"/>
          <w:sz w:val="17"/>
          <w:szCs w:val="17"/>
          <w:color w:val="auto"/>
          <w:vertAlign w:val="superscript"/>
        </w:rPr>
      </w:pPr>
    </w:p>
    <w:p>
      <w:pPr>
        <w:ind w:left="320" w:hanging="264"/>
        <w:spacing w:after="0" w:line="182" w:lineRule="auto"/>
        <w:tabs>
          <w:tab w:leader="none" w:pos="320" w:val="left"/>
        </w:tabs>
        <w:numPr>
          <w:ilvl w:val="0"/>
          <w:numId w:val="98"/>
        </w:numPr>
        <w:rPr>
          <w:rFonts w:ascii="Arial" w:cs="Arial" w:eastAsia="Arial" w:hAnsi="Arial"/>
          <w:sz w:val="17"/>
          <w:szCs w:val="17"/>
          <w:color w:val="auto"/>
          <w:vertAlign w:val="superscript"/>
        </w:rPr>
      </w:pPr>
      <w:r>
        <w:rPr>
          <w:rFonts w:ascii="Arial" w:cs="Arial" w:eastAsia="Arial" w:hAnsi="Arial"/>
          <w:sz w:val="11"/>
          <w:szCs w:val="11"/>
          <w:color w:val="auto"/>
        </w:rPr>
        <w:t>Consists of 45,126 shares issuable upon exercise of options exercisable within 60 days of September 30, 2014.</w:t>
      </w:r>
    </w:p>
    <w:p>
      <w:pPr>
        <w:ind w:left="340" w:hanging="331"/>
        <w:spacing w:after="0" w:line="181" w:lineRule="auto"/>
        <w:tabs>
          <w:tab w:leader="none" w:pos="340" w:val="left"/>
        </w:tabs>
        <w:numPr>
          <w:ilvl w:val="0"/>
          <w:numId w:val="99"/>
        </w:numPr>
        <w:rPr>
          <w:rFonts w:ascii="Arial" w:cs="Arial" w:eastAsia="Arial" w:hAnsi="Arial"/>
          <w:sz w:val="20"/>
          <w:szCs w:val="20"/>
          <w:color w:val="auto"/>
          <w:vertAlign w:val="superscript"/>
        </w:rPr>
      </w:pPr>
      <w:r>
        <w:rPr>
          <w:rFonts w:ascii="Arial" w:cs="Arial" w:eastAsia="Arial" w:hAnsi="Arial"/>
          <w:sz w:val="12"/>
          <w:szCs w:val="12"/>
          <w:color w:val="auto"/>
        </w:rPr>
        <w:t>Consists of 22,076 shares issuable upon exercise of options exercisable within 60 days of September 30, 2014.</w:t>
      </w:r>
    </w:p>
    <w:p>
      <w:pPr>
        <w:spacing w:after="0" w:line="13" w:lineRule="exact"/>
        <w:rPr>
          <w:rFonts w:ascii="Arial" w:cs="Arial" w:eastAsia="Arial" w:hAnsi="Arial"/>
          <w:sz w:val="20"/>
          <w:szCs w:val="20"/>
          <w:color w:val="auto"/>
          <w:vertAlign w:val="superscript"/>
        </w:rPr>
      </w:pPr>
    </w:p>
    <w:p>
      <w:pPr>
        <w:ind w:left="340" w:hanging="331"/>
        <w:spacing w:after="0" w:line="190" w:lineRule="auto"/>
        <w:tabs>
          <w:tab w:leader="none" w:pos="340" w:val="left"/>
        </w:tabs>
        <w:numPr>
          <w:ilvl w:val="0"/>
          <w:numId w:val="99"/>
        </w:numPr>
        <w:rPr>
          <w:rFonts w:ascii="Arial" w:cs="Arial" w:eastAsia="Arial" w:hAnsi="Arial"/>
          <w:sz w:val="17"/>
          <w:szCs w:val="17"/>
          <w:color w:val="auto"/>
          <w:vertAlign w:val="superscript"/>
        </w:rPr>
      </w:pPr>
      <w:r>
        <w:rPr>
          <w:rFonts w:ascii="Arial" w:cs="Arial" w:eastAsia="Arial" w:hAnsi="Arial"/>
          <w:sz w:val="11"/>
          <w:szCs w:val="11"/>
          <w:color w:val="auto"/>
        </w:rPr>
        <w:t>Consists of (i) 2,057 shares held by Ms. Corraini and (ii) 61,220 shares issuable upon exercise of options exercisable within 60 days of September 30, 2014.</w:t>
      </w:r>
    </w:p>
    <w:p>
      <w:pPr>
        <w:spacing w:after="0" w:line="13" w:lineRule="exact"/>
        <w:rPr>
          <w:rFonts w:ascii="Arial" w:cs="Arial" w:eastAsia="Arial" w:hAnsi="Arial"/>
          <w:sz w:val="17"/>
          <w:szCs w:val="17"/>
          <w:color w:val="auto"/>
          <w:vertAlign w:val="superscript"/>
        </w:rPr>
      </w:pPr>
    </w:p>
    <w:p>
      <w:pPr>
        <w:ind w:left="340" w:hanging="331"/>
        <w:spacing w:after="0" w:line="203"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3"/>
          <w:szCs w:val="13"/>
          <w:color w:val="auto"/>
        </w:rPr>
        <w:t>Consists of (i) 264,349 shares held by Chancellor V, L.P. (“Chancellor V”); (ii) 138,644 shares held by Chancellor V-A, L.P. (“Chancellor V-A”); and (iii) 41,662 shares held by Citiventure 2000, L.P. (“Citiventure”). Invesco Private Capital, Inc. is the managing member of IPC Direct Associates V, LLC, which is a Managing Director of each of Chancellor V, Chancellor V-A and Citiventure (collectively referred to as the “Invesco Capital Entities”). Mr. Evans is the Head of Invesco Private Capital, Inc. and a member of the investment committee of IPC Direct Associates V, LLC. Accordingly, Mr. Evans shares voting and investment power of the shares held by the Invesco Capital Entities. Mr. Evans disclaims beneficial ownership of these shares except with respect to his pecuniary interest therein.</w:t>
      </w:r>
    </w:p>
    <w:p>
      <w:pPr>
        <w:spacing w:after="0" w:line="15" w:lineRule="exact"/>
        <w:rPr>
          <w:rFonts w:ascii="Arial" w:cs="Arial" w:eastAsia="Arial" w:hAnsi="Arial"/>
          <w:sz w:val="22"/>
          <w:szCs w:val="22"/>
          <w:color w:val="auto"/>
          <w:vertAlign w:val="superscript"/>
        </w:rPr>
      </w:pPr>
    </w:p>
    <w:p>
      <w:pPr>
        <w:ind w:left="340" w:right="140" w:hanging="331"/>
        <w:spacing w:after="0" w:line="193" w:lineRule="auto"/>
        <w:tabs>
          <w:tab w:leader="none" w:pos="340" w:val="left"/>
        </w:tabs>
        <w:numPr>
          <w:ilvl w:val="0"/>
          <w:numId w:val="99"/>
        </w:numPr>
        <w:rPr>
          <w:rFonts w:ascii="Arial" w:cs="Arial" w:eastAsia="Arial" w:hAnsi="Arial"/>
          <w:sz w:val="20"/>
          <w:szCs w:val="20"/>
          <w:color w:val="auto"/>
          <w:vertAlign w:val="superscript"/>
        </w:rPr>
      </w:pPr>
      <w:r>
        <w:rPr>
          <w:rFonts w:ascii="Arial" w:cs="Arial" w:eastAsia="Arial" w:hAnsi="Arial"/>
          <w:sz w:val="12"/>
          <w:szCs w:val="12"/>
          <w:color w:val="auto"/>
        </w:rPr>
        <w:t>Consists of (i) 97,319 shares held by Dr. Hayden; (ii) 75,886 shares held by Dr. Hayden’s spouse; (iii) 49,440 shares issuable upon exercise of options exercisable within 60 days of September 30, 2014 held by Dr. Hayden; and (iv) 72,357 shares issuable upon exercise of options exercisable within 60 days of September 30, 2014 held by Genworks Inc.</w:t>
      </w:r>
    </w:p>
    <w:p>
      <w:pPr>
        <w:ind w:left="340" w:hanging="331"/>
        <w:spacing w:after="0" w:line="184" w:lineRule="auto"/>
        <w:tabs>
          <w:tab w:leader="none" w:pos="340" w:val="left"/>
        </w:tabs>
        <w:numPr>
          <w:ilvl w:val="0"/>
          <w:numId w:val="99"/>
        </w:numPr>
        <w:rPr>
          <w:rFonts w:ascii="Arial" w:cs="Arial" w:eastAsia="Arial" w:hAnsi="Arial"/>
          <w:sz w:val="19"/>
          <w:szCs w:val="19"/>
          <w:color w:val="auto"/>
          <w:vertAlign w:val="superscript"/>
        </w:rPr>
      </w:pPr>
      <w:r>
        <w:rPr>
          <w:rFonts w:ascii="Arial" w:cs="Arial" w:eastAsia="Arial" w:hAnsi="Arial"/>
          <w:sz w:val="12"/>
          <w:szCs w:val="12"/>
          <w:color w:val="auto"/>
        </w:rPr>
        <w:t>Consists of (i) 173,618 shares held by Mr. Holler and (ii) 105,790 shares issuable upon exercise of options exercisable within 60 days of September 30, 2014.</w:t>
      </w:r>
    </w:p>
    <w:p>
      <w:pPr>
        <w:spacing w:after="0" w:line="13" w:lineRule="exact"/>
        <w:rPr>
          <w:rFonts w:ascii="Arial" w:cs="Arial" w:eastAsia="Arial" w:hAnsi="Arial"/>
          <w:sz w:val="19"/>
          <w:szCs w:val="19"/>
          <w:color w:val="auto"/>
          <w:vertAlign w:val="superscript"/>
        </w:rPr>
      </w:pPr>
    </w:p>
    <w:p>
      <w:pPr>
        <w:ind w:left="340" w:hanging="331"/>
        <w:spacing w:after="0" w:line="190" w:lineRule="auto"/>
        <w:tabs>
          <w:tab w:leader="none" w:pos="340" w:val="left"/>
        </w:tabs>
        <w:numPr>
          <w:ilvl w:val="0"/>
          <w:numId w:val="99"/>
        </w:numPr>
        <w:rPr>
          <w:rFonts w:ascii="Arial" w:cs="Arial" w:eastAsia="Arial" w:hAnsi="Arial"/>
          <w:sz w:val="17"/>
          <w:szCs w:val="17"/>
          <w:color w:val="auto"/>
          <w:vertAlign w:val="superscript"/>
        </w:rPr>
      </w:pPr>
      <w:r>
        <w:rPr>
          <w:rFonts w:ascii="Arial" w:cs="Arial" w:eastAsia="Arial" w:hAnsi="Arial"/>
          <w:sz w:val="11"/>
          <w:szCs w:val="11"/>
          <w:color w:val="auto"/>
        </w:rPr>
        <w:t>Consists of 40,437 shares issuable upon exercise of options exercisable within 60 days of September 30, 2014.</w:t>
      </w:r>
    </w:p>
    <w:p>
      <w:pPr>
        <w:spacing w:after="0" w:line="13" w:lineRule="exact"/>
        <w:rPr>
          <w:rFonts w:ascii="Arial" w:cs="Arial" w:eastAsia="Arial" w:hAnsi="Arial"/>
          <w:sz w:val="17"/>
          <w:szCs w:val="17"/>
          <w:color w:val="auto"/>
          <w:vertAlign w:val="superscript"/>
        </w:rPr>
      </w:pPr>
    </w:p>
    <w:p>
      <w:pPr>
        <w:ind w:left="340" w:hanging="331"/>
        <w:spacing w:after="0" w:line="190" w:lineRule="auto"/>
        <w:tabs>
          <w:tab w:leader="none" w:pos="340" w:val="left"/>
        </w:tabs>
        <w:numPr>
          <w:ilvl w:val="0"/>
          <w:numId w:val="99"/>
        </w:numPr>
        <w:rPr>
          <w:rFonts w:ascii="Arial" w:cs="Arial" w:eastAsia="Arial" w:hAnsi="Arial"/>
          <w:sz w:val="17"/>
          <w:szCs w:val="17"/>
          <w:color w:val="auto"/>
          <w:vertAlign w:val="superscript"/>
        </w:rPr>
      </w:pPr>
      <w:r>
        <w:rPr>
          <w:rFonts w:ascii="Arial" w:cs="Arial" w:eastAsia="Arial" w:hAnsi="Arial"/>
          <w:sz w:val="11"/>
          <w:szCs w:val="11"/>
          <w:color w:val="auto"/>
        </w:rPr>
        <w:t>Consists of (i) 2,057 shares held by Dr. Sherrington and (ii) 61,518 shares issuable upon exercise of options exercisable within 60 days of September 30, 2014.</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400"/>
          </w:cols>
          <w:pgMar w:left="240" w:top="444"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2" w:lineRule="exact"/>
        <w:rPr>
          <w:sz w:val="20"/>
          <w:szCs w:val="20"/>
          <w:color w:val="auto"/>
        </w:rPr>
      </w:pPr>
    </w:p>
    <w:p>
      <w:pPr>
        <w:ind w:left="340" w:right="120" w:hanging="331"/>
        <w:spacing w:after="0" w:line="193" w:lineRule="auto"/>
        <w:tabs>
          <w:tab w:leader="none" w:pos="34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Consists of (i) the shares listed in footnote (2) above, which are held by Lipoterx; (ii) 967 shares held by the Stein Family LLC for which Dr. Stein serves as the managing member; and (iii) 8,798 shares issuable upon exercise of options exercisable within 60 days of September 30, 2014.</w:t>
      </w:r>
    </w:p>
    <w:p>
      <w:pPr>
        <w:ind w:left="340" w:hanging="331"/>
        <w:spacing w:after="0" w:line="190" w:lineRule="auto"/>
        <w:tabs>
          <w:tab w:leader="none" w:pos="340" w:val="left"/>
        </w:tabs>
        <w:numPr>
          <w:ilvl w:val="0"/>
          <w:numId w:val="100"/>
        </w:numPr>
        <w:rPr>
          <w:rFonts w:ascii="Arial" w:cs="Arial" w:eastAsia="Arial" w:hAnsi="Arial"/>
          <w:sz w:val="17"/>
          <w:szCs w:val="17"/>
          <w:color w:val="auto"/>
          <w:vertAlign w:val="superscript"/>
        </w:rPr>
      </w:pPr>
      <w:r>
        <w:rPr>
          <w:rFonts w:ascii="Arial" w:cs="Arial" w:eastAsia="Arial" w:hAnsi="Arial"/>
          <w:sz w:val="11"/>
          <w:szCs w:val="11"/>
          <w:color w:val="auto"/>
        </w:rPr>
        <w:t>Consists of 39,306 shares issuable upon exercise of options exercisable within 60 days of September 30, 2014.</w:t>
      </w:r>
    </w:p>
    <w:p>
      <w:pPr>
        <w:ind w:left="340" w:hanging="331"/>
        <w:spacing w:after="0" w:line="193" w:lineRule="auto"/>
        <w:tabs>
          <w:tab w:leader="none" w:pos="34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Consists of (i) 2,097,193 shares beneficially owned by our current executive officers and directors and (ii) 858,951 shares issuable upon exercise of options exercisable within 60 days of September 30, 2014.</w:t>
      </w:r>
    </w:p>
    <w:p>
      <w:pPr>
        <w:spacing w:after="0" w:line="134"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880"/>
          </w:cols>
          <w:pgMar w:left="240" w:top="445" w:right="7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SHARE CAPITAL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7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following is a summary of the material rights of our common shares and new preferred shares, as contained in our articles and by-laws and any amendments thereto, that will be in effect upon completion of the offering. This summary is not a complete description of the share rights associated with our common shares and new preferred shares. For more detailed information, please see the forms of our articles and by-laws that will be in effect upon the closing of this offering, which are filed as exhibits to the registration statement of which this prospectus forms a part.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Upon or immediately prior to the closing of this offering:</w:t>
      </w:r>
    </w:p>
    <w:p>
      <w:pPr>
        <w:spacing w:after="0" w:line="127" w:lineRule="exact"/>
        <w:rPr>
          <w:sz w:val="20"/>
          <w:szCs w:val="20"/>
          <w:color w:val="auto"/>
        </w:rPr>
      </w:pPr>
    </w:p>
    <w:p>
      <w:pPr>
        <w:ind w:left="780" w:hanging="441"/>
        <w:spacing w:after="0" w:line="187" w:lineRule="auto"/>
        <w:tabs>
          <w:tab w:leader="none" w:pos="780" w:val="left"/>
        </w:tabs>
        <w:numPr>
          <w:ilvl w:val="0"/>
          <w:numId w:val="101"/>
        </w:numPr>
        <w:rPr>
          <w:rFonts w:ascii="Arial" w:cs="Arial" w:eastAsia="Arial" w:hAnsi="Arial"/>
          <w:sz w:val="26"/>
          <w:szCs w:val="26"/>
          <w:color w:val="auto"/>
          <w:vertAlign w:val="superscript"/>
        </w:rPr>
      </w:pPr>
      <w:r>
        <w:rPr>
          <w:rFonts w:ascii="Arial" w:cs="Arial" w:eastAsia="Arial" w:hAnsi="Arial"/>
          <w:sz w:val="17"/>
          <w:szCs w:val="17"/>
          <w:color w:val="auto"/>
        </w:rPr>
        <w:t>we will cause all of our outstanding Series A preferred shares and Series B preferred shares to convert into an aggregate of 2,146,353 common shares;</w:t>
      </w:r>
    </w:p>
    <w:p>
      <w:pPr>
        <w:spacing w:after="0" w:line="1" w:lineRule="exact"/>
        <w:rPr>
          <w:rFonts w:ascii="Arial" w:cs="Arial" w:eastAsia="Arial" w:hAnsi="Arial"/>
          <w:sz w:val="26"/>
          <w:szCs w:val="26"/>
          <w:color w:val="auto"/>
          <w:vertAlign w:val="superscript"/>
        </w:rPr>
      </w:pPr>
    </w:p>
    <w:p>
      <w:pPr>
        <w:ind w:left="780" w:right="200" w:hanging="441"/>
        <w:spacing w:after="0" w:line="191" w:lineRule="auto"/>
        <w:tabs>
          <w:tab w:leader="none" w:pos="780" w:val="left"/>
        </w:tabs>
        <w:numPr>
          <w:ilvl w:val="0"/>
          <w:numId w:val="101"/>
        </w:numPr>
        <w:rPr>
          <w:rFonts w:ascii="Arial" w:cs="Arial" w:eastAsia="Arial" w:hAnsi="Arial"/>
          <w:sz w:val="26"/>
          <w:szCs w:val="26"/>
          <w:color w:val="auto"/>
          <w:vertAlign w:val="superscript"/>
        </w:rPr>
      </w:pPr>
      <w:r>
        <w:rPr>
          <w:rFonts w:ascii="Arial" w:cs="Arial" w:eastAsia="Arial" w:hAnsi="Arial"/>
          <w:sz w:val="17"/>
          <w:szCs w:val="17"/>
          <w:color w:val="auto"/>
        </w:rPr>
        <w:t>we will cause all of our outstanding Series E preferred shares to convert into 5,579,571 common shares, based upon the initial public offering price of $9.00 per share and the adjustment provisions relating to our Series E preferred shares described below;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01"/>
        </w:numPr>
        <w:rPr>
          <w:rFonts w:ascii="Arial" w:cs="Arial" w:eastAsia="Arial" w:hAnsi="Arial"/>
          <w:sz w:val="25"/>
          <w:szCs w:val="25"/>
          <w:color w:val="auto"/>
          <w:vertAlign w:val="superscript"/>
        </w:rPr>
      </w:pPr>
      <w:r>
        <w:rPr>
          <w:rFonts w:ascii="Arial" w:cs="Arial" w:eastAsia="Arial" w:hAnsi="Arial"/>
          <w:sz w:val="16"/>
          <w:szCs w:val="16"/>
          <w:color w:val="auto"/>
        </w:rPr>
        <w:t>all of our outstanding subscription rights will automatically convert into an aggregate of 10,660 common shares.</w:t>
      </w:r>
    </w:p>
    <w:p>
      <w:pPr>
        <w:spacing w:after="0" w:line="14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Each Series E preferred share is convertible at any time at the option of the holder into common shares on a 1:1 basis, subject to certain adjustments. These adjustments differ for some of our outstanding Series E preferred shares depending on the date of issue, resulting in different conversion ratios for different Series E preferred shares. Pursuant to the terms of an amendment to our articles of continuance that will be filed prior to the closing of this offering, which was approved by our shareholders in June 2014, immediately prior to the closing of this offering, the conversion rights associated with each of our Series E preferred shares will increase by 20%. As a result of this offering, and based upon the initial public offering price of $9.00 per common share, all of our outstanding Series E preferred shares will convert into 5,579,571 common shares immediately prior to the closing of this offering.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Capital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Shares</w:t>
      </w:r>
    </w:p>
    <w:p>
      <w:pPr>
        <w:spacing w:after="0" w:line="4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As a result, upon closing of this offering and the concurrent private placement, based on the common shares, preferred shares and subscription rights outstanding as of June 30, 2014, our authorized share capital will consist of an unlimited number of common shares, each without par value, of which 13,579,687 will be issued and outstanding, and an unlimited number of new preferred shares, issuable in series, each without par value, none of which will be issued and outstanding.</w:t>
      </w:r>
    </w:p>
    <w:p>
      <w:pPr>
        <w:spacing w:after="0" w:line="10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As of June 30, 2014, we had 1,442,741 common shares issuable pursuant to outstanding options, and we had approximately 337 holders of record of our common shares.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4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Under our amended articles that will be in effect upon the closing of this offering, the holders of our common shares will be entitled to one vote for each common share held on all matters submitted to a vote of the shareholders, including the election of directors. Our articles and by-laws to be in effect upon the completion of this offering do not provide for cumulative voting rights. Because of this, the holders of a plurality of the common shares entitled to vote in any election of directors can elect all of the directors standing for election, if they should so choose.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4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Subject to priority rights that may be applicable to any then outstanding new preferred shares, holders of our common shares are entitled to receive dividends, as and when declared by our board of directors in their absolute discretion out of legally available funds. For more information, see the section titled “Dividend Policy.”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20"/>
          </w:cols>
          <w:pgMar w:left="240" w:top="444"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w:t>
      </w:r>
    </w:p>
    <w:p>
      <w:pPr>
        <w:spacing w:after="0" w:line="4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In the event of our liquidation, dissolution or winding up, holders of our common shares will be entitled to share ratably in the net assets legally available for distribution to shareholders after the payment of all of our debts and other liabilities and the satisfaction of any liquidation preference granted to the holders of any then outstanding new preferred shares.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Our common shares contain no pre-emptive or conversion rights and have no provisions for redemption or repurchase for cancellation, surrender or sinking or purchase funds. There are no provisions in our articles or by-laws requiring holders of common shares to contribute additional capital. The rights, preferences and privileges of the holders of our common shares are subject to and may be adversely affected by, the rights of the holders of any series of new preferred shares that our board of directors may designate and we may issue in the future.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4" w:lineRule="exact"/>
        <w:rPr>
          <w:sz w:val="20"/>
          <w:szCs w:val="20"/>
          <w:color w:val="auto"/>
        </w:rPr>
      </w:pPr>
    </w:p>
    <w:p>
      <w:pPr>
        <w:ind w:right="960"/>
        <w:spacing w:after="0" w:line="245" w:lineRule="auto"/>
        <w:rPr>
          <w:sz w:val="20"/>
          <w:szCs w:val="20"/>
          <w:color w:val="auto"/>
        </w:rPr>
      </w:pPr>
      <w:r>
        <w:rPr>
          <w:rFonts w:ascii="Arial" w:cs="Arial" w:eastAsia="Arial" w:hAnsi="Arial"/>
          <w:sz w:val="17"/>
          <w:szCs w:val="17"/>
          <w:color w:val="auto"/>
        </w:rPr>
        <w:t>All of our outstanding common shares are, and the common shares to be issued pursuant to this offering, when paid for, will be fully paid and nonassessable.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Preferred Shares</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Upon or immediately prior to the closing of this offering, our articles will be amended to delete all references to our Series A preferred shares, Series B preferred shares, Series C preferred shares, Series D preferred shares and Series E preferred shares. Under our amended articles that will be in effect upon the closing of this offering, our board of directors will have the authority to issue, without further action by our shareholders, an unlimited number of new preferred shares, issuable in one or more series, and subject to the provisions of the Canada Business Corporations Act, or CBCA, and to fix such rights, preferences, privileges, restrictions and conditions thereon, including dividend and voting rights, as our board of directors may determine, and such rights, preferences and privileges, including dividend, voting rights and rights relating to the distribution of our assets in the event of liquidation, dissolution or winding up of our affairs, whether, voluntary or involuntary, or any other distribution of our assets among our shareholders for the purpose of winding up our affairs, may be superior to those of our common shares. The issuance of new preferred shares, while providing flexibility in connection with possible acquisitions and other corporate purposes, could adversely affect the voting power of holders of common shares and the likelihood that such holders will receive dividend payments and payments upon liquidation. In addition, the issuance of new preferred shares could, among other things, have the effect of delaying, deferring or preventing a change in control of our company or other corporate action and could adversely affect the market price of our common shares and the voting and other rights of the holders of our common shares.</w:t>
      </w:r>
    </w:p>
    <w:p>
      <w:pPr>
        <w:spacing w:after="0" w:line="113" w:lineRule="exact"/>
        <w:rPr>
          <w:sz w:val="20"/>
          <w:szCs w:val="20"/>
          <w:color w:val="auto"/>
        </w:rPr>
      </w:pPr>
    </w:p>
    <w:p>
      <w:pPr>
        <w:ind w:right="1120"/>
        <w:spacing w:after="0" w:line="364" w:lineRule="auto"/>
        <w:rPr>
          <w:sz w:val="20"/>
          <w:szCs w:val="20"/>
          <w:color w:val="auto"/>
        </w:rPr>
      </w:pPr>
      <w:r>
        <w:rPr>
          <w:rFonts w:ascii="Arial" w:cs="Arial" w:eastAsia="Arial" w:hAnsi="Arial"/>
          <w:sz w:val="17"/>
          <w:szCs w:val="17"/>
          <w:color w:val="auto"/>
        </w:rPr>
        <w:t xml:space="preserve">Upon closing of this offering, no new preferred shares will be outstanding, and we have no present plan to issue any new preferred shares. </w:t>
      </w:r>
      <w:r>
        <w:rPr>
          <w:rFonts w:ascii="Arial" w:cs="Arial" w:eastAsia="Arial" w:hAnsi="Arial"/>
          <w:sz w:val="17"/>
          <w:szCs w:val="17"/>
          <w:b w:val="1"/>
          <w:bCs w:val="1"/>
          <w:color w:val="auto"/>
        </w:rPr>
        <w:t>Subscription Rights</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entered into a research funding agreement with Genome BC, which provides Genome BC with certain subscription rights upon certain funding payments. As of June 30, 2014, 10,660 common shares were issuable pursuant to these subscription rights, which rights will automatically convert into common shares immediately prior to the closing of this offering for no additional consideration.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our amended and restated investor rights agreement, as amended, the holders of approximately 6,334,582 common shares as of September 30, 2014, or their transferees, have the right to require us to register the offer and sale of their common shares, or to include their common shares in any registration statement we file, in each case as described below. In connection with the current offering, all of our shareholders with registration rights have agreed not to sell or otherwise dispose of any securities without the prior written consent of the representatives of underwriters for a period of 180 days after the date of this prospectus, subject to certain terms and conditions. For more information regarding such terms and conditions, see “Shares Eligible for Future Sale—Lock-Up and Market Stand-off Agreements” and “Underwriting.”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400"/>
          </w:cols>
          <w:pgMar w:left="240" w:top="444" w:right="2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holders of a majority of the shares having registration rights have the right to demand that we file a registration statement for the offer and sale of at least such number of common shares, or a lesser amount if the anticipated offering proceeds would exceed CAD$5,000,000, or $4,686,000, as converted, subject to specified limitations. We are only obligated to effect two registrations in connection with the exercise of demand registration rights. These registration rights are subject to specified conditions and limitations, including the right of the underwriters to limit the number of common shares included in any such registration under certain circumstances and our ability to defer the filing of a registration statement with respect to an exercise of such demand registration rights for up to 90 days under certain circumstances.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4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At any time after we are qualified to file a registration statement on Form S-3, each holder of shares having registration rights has the right to demand that we file a registration statement on Form S-3 so long as the aggregate amount of shares to be offered and sold under such registration statement on Form S-3 is at least CAD$500,000, or $468,600 as converted. We are not obligated to file any registration statements within 180 days following the effective date of a registration pertaining to a public offering or to effect more than two registrations on Form S-3 in any 12-month period. These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If we propose to register the offer and sale of any of our securities under the Securities Act either for our own account or for the account of other shareholders, a shareholder with registration rights will have the right, subject to certain exceptions, to include their common shares in the registration statement. These registration rights are subject to specified conditions and limitations, including the right of the underwriters to limit the number of common shares included in any such registration statement under certain circumstances, but not below 25% of the total number of common shares covered by the registration statement.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4"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We will pay all expenses relating to any demand registrations, Form S-3 registrations and piggyback registrations, other than underwriting discounts and selling commissions.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w:t>
      </w:r>
    </w:p>
    <w:p>
      <w:pPr>
        <w:spacing w:after="0" w:line="4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registration rights terminate upon the earliest of (1) the date that is four years after the closing of this offering and (2) as to a given holder of registration rights, if (a) we have completed our initial public offering and are subject to the public company reporting requirements of the Securities Exchange Act of 1934, (b) such holder holds less than 1% of our outstanding common shares and (c) such holder can sell all of such holder’s registrable securities in a three month-period pursuant to Rule 144 promulgated under the Securities Act.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 of First Refusal</w:t>
      </w:r>
    </w:p>
    <w:p>
      <w:pPr>
        <w:spacing w:after="0" w:line="7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Under our amended and restated investors rights agreement, as amended, certain holders of our redeemable convertible preferred shares have rights of first refusal to purchase their pro rata share of equity securities that we may issue from time to time, with certain exceptions. Such rights of first refusal do not apply to the shares to be issued in this offering. On the effective date of a registration statement for an initial public offering completed on or before December 31, 2014 that results in our common shares being quoted on NASDAQ, these rights of first refusal will terminate.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7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Under the CBCA, we are required to hold a general meeting of our shareholders at least once every year at a time and place determined by our board of directors, provided that the meeting must not be held later than 15 months after the preceding annual general meeting and no later than six months after the end of the preceding financial year. The CBCA requires that meetings of shareholders shall be held at any place within Canada as our board of directors may from time to time determine. A notice to convene a meeting, specifying the date, time and location of the meeting must be sent to shareholders, to each director and the auditor not less than 21 days prior to the meeting or such other minimum period as required by the applicable securities laws. Under the CBCA, shareholders entitled to notice of a meeting may waive or reduce the period of notice for that meeting, provided applicable securities laws requirements are met.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380"/>
          </w:cols>
          <w:pgMar w:left="240" w:top="444" w:right="2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Under the CBCA, all business transacted at a special meeting of shareholders and all business transacted at an annual meeting of shareholders, except consideration of the financial statements, auditor’s report, election of directors and re-appointment of the incumbent auditor, is deemed to be special business. Notice of a meeting of shareholders at which special business is to be transacted shall state (a) the nature of that business in sufficient detail to permit the shareholder to form a reasoned judgment thereon; and (b) the text of any special resolution to be submitted to the meeting.</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CBCA, our board of directors has the power at any time to call a special meeting of our shareholders. In addition, the holders of not less than 5% of our shares that carry the right to vote at a meeting sought to be held can also requisition our board of directors to call a meeting of our shareholders for the purposes stated in the requisition. If our board of directors does not call the meeting within 21 days after receiving the requisition, our shareholders can call the meeting and the expenses reasonably incurred by such shareholders in requisitioning, calling and holding the meeting must be reimbursed by us.</w:t>
      </w:r>
    </w:p>
    <w:p>
      <w:pPr>
        <w:spacing w:after="0" w:line="11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Those entitled to vote at a meeting are entitled to attend meetings of our shareholders. Every shareholder entitled to vote may appoint a proxyholder to attend the meeting in the manner and to the extent authorized and with the authority conferred by the proxy. Directors, auditors, legal counsels, secretary (if any), and any other persons invited by the chair of the meeting or with the consent of those at the meeting are entitled to attend any meeting of our shareholders but will not be counted in quorum or be entitled to vote at the meeting unless he or she or it is a shareholder or proxyholder entitled to vote at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Takeover Bid Requirements</w:t>
      </w:r>
    </w:p>
    <w:p>
      <w:pPr>
        <w:spacing w:after="0" w:line="7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Unless such offer constitutes an exempt transaction, an offer made by a person, an “offeror”, to acquire outstanding shares of a 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spacing w:after="0" w:line="10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addition to those takeover bid requirements noted above, the acquisition of our shares may trigger the application of statutory regimes including among others, the Investment Canada Act (Canada) and the Competition Act (Canada).</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Limitations on the ability to acquire and hold our common shares may be imposed by the Competition Act (Canada). This legislation permits the Commissioner of Competition, or the Commissioner, to review any acquisition of control over or of a significant interest in us. This legislation grants the Commissioner jurisdiction, for up to one year, to challenge this type of acquisition before the Canadian Competition Tribunal on the basis that it would, or would be likely to, substantially prevent or lessen competition in any market in Canada.</w:t>
      </w:r>
    </w:p>
    <w:p>
      <w:pPr>
        <w:spacing w:after="0" w:line="109" w:lineRule="exact"/>
        <w:rPr>
          <w:sz w:val="20"/>
          <w:szCs w:val="20"/>
          <w:color w:val="auto"/>
        </w:rPr>
      </w:pPr>
    </w:p>
    <w:p>
      <w:pPr>
        <w:jc w:val="both"/>
        <w:ind w:right="60"/>
        <w:spacing w:after="0" w:line="252" w:lineRule="auto"/>
        <w:rPr>
          <w:sz w:val="20"/>
          <w:szCs w:val="20"/>
          <w:color w:val="auto"/>
        </w:rPr>
      </w:pPr>
      <w:r>
        <w:rPr>
          <w:rFonts w:ascii="Arial" w:cs="Arial" w:eastAsia="Arial" w:hAnsi="Arial"/>
          <w:sz w:val="16"/>
          <w:szCs w:val="16"/>
          <w:color w:val="auto"/>
        </w:rPr>
        <w:t>This legislation also requires any person who intends to acquire our common shares to file a notification with the Canadian Competition Bureau if certain financial thresholds are exceeded and if that person (and their affiliates) would hold more than 20% of our common shares. If a person already owns 20% or more of our common shares, a notification must be filed when the acquisition of additional shares would bring that person’s holdings to over 50%.</w:t>
      </w:r>
    </w:p>
    <w:p>
      <w:pPr>
        <w:spacing w:after="0" w:line="1" w:lineRule="exact"/>
        <w:rPr>
          <w:sz w:val="20"/>
          <w:szCs w:val="20"/>
          <w:color w:val="auto"/>
        </w:rPr>
      </w:pPr>
    </w:p>
    <w:p>
      <w:pPr>
        <w:ind w:right="780"/>
        <w:spacing w:after="0" w:line="245" w:lineRule="auto"/>
        <w:rPr>
          <w:sz w:val="20"/>
          <w:szCs w:val="20"/>
          <w:color w:val="auto"/>
        </w:rPr>
      </w:pPr>
      <w:r>
        <w:rPr>
          <w:rFonts w:ascii="Arial" w:cs="Arial" w:eastAsia="Arial" w:hAnsi="Arial"/>
          <w:sz w:val="17"/>
          <w:szCs w:val="17"/>
          <w:color w:val="auto"/>
        </w:rPr>
        <w:t>Where a notification is required, the legislation prohibits completion of the acquisition until the expiration of a statutory waiting period, unless the Commissioner provides written notice that she does not intend to challenge the acquisition.</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There is no limitation imposed by Canadian law or our articles on the right of non-residents to hold or vote our common shares, other than those imposed by the Investment Canada Act.</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Investment Canada Act requires any person that is a “non-Canadian” (as defined in the Investment Canada Act) who acquires control of an existing Canadian business, where the acquisition of control is not a reviewable transaction, to file a notification with Industry Canada. The Investment Canada Act generally prohibits the implementation of a reviewable transaction unless, after review, the relevant minister is satisfied that the investment is likely to be of net benefit to Canada. Under the Investment Canada Act, the acquisition of control of us (either through the acquisition of our common shares or all or substantially all our assets) by a non-Canadian who is a World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44"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Trade Organization member country investor, including a U.S. investor, would be reviewable only if the value of our assets was equal to or greater than a specified amount. The specified amount for 2014 is CAD$354.0 million. The threshold amount is subject to an annual adjustment on the basis of a prescribed formula in the Investment Canada Act to reflect changes in Canadian gross domestic product.</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As a result of recent amendments to the Investment Canada Act substantial changes to the review threshold are pending. If and when these amendments come into force, the review threshold will increase to CAD$600.0 million (and eventually to CAD$1.0 billion) and will no longer be calculated on the basis of the book value of the Canadian business assets, but rather its “enterprise value”.</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acquisition of a majority of the voting interests of an entity is deemed to be acquisition of control of that entity. The acquisition of less than a majority but one-third or more of the voting shares of a corporation or an equivalent undivided ownership interest in the voting shares of a corporation is presumed to be an acquisition of 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 Certain transactions in relation to our common shares would be exempt from review by the Investment Canada Act including:</w:t>
      </w:r>
    </w:p>
    <w:p>
      <w:pPr>
        <w:spacing w:after="0" w:line="25" w:lineRule="exact"/>
        <w:rPr>
          <w:sz w:val="20"/>
          <w:szCs w:val="20"/>
          <w:color w:val="auto"/>
        </w:rPr>
      </w:pPr>
    </w:p>
    <w:p>
      <w:pPr>
        <w:ind w:left="780" w:hanging="441"/>
        <w:spacing w:after="0"/>
        <w:tabs>
          <w:tab w:leader="none" w:pos="780" w:val="left"/>
        </w:tabs>
        <w:numPr>
          <w:ilvl w:val="0"/>
          <w:numId w:val="102"/>
        </w:numPr>
        <w:rPr>
          <w:rFonts w:ascii="Arial" w:cs="Arial" w:eastAsia="Arial" w:hAnsi="Arial"/>
          <w:sz w:val="26"/>
          <w:szCs w:val="26"/>
          <w:color w:val="auto"/>
          <w:vertAlign w:val="superscript"/>
        </w:rPr>
      </w:pPr>
      <w:r>
        <w:rPr>
          <w:rFonts w:ascii="Arial" w:cs="Arial" w:eastAsia="Arial" w:hAnsi="Arial"/>
          <w:sz w:val="17"/>
          <w:szCs w:val="17"/>
          <w:color w:val="auto"/>
        </w:rPr>
        <w:t>the acquisition of our common shares by a person in the ordinary course of that person’s business as a trader or dealer in securities;</w:t>
      </w:r>
    </w:p>
    <w:p>
      <w:pPr>
        <w:spacing w:after="0" w:line="17" w:lineRule="exact"/>
        <w:rPr>
          <w:rFonts w:ascii="Arial" w:cs="Arial" w:eastAsia="Arial" w:hAnsi="Arial"/>
          <w:sz w:val="26"/>
          <w:szCs w:val="26"/>
          <w:color w:val="auto"/>
          <w:vertAlign w:val="superscript"/>
        </w:rPr>
      </w:pPr>
    </w:p>
    <w:p>
      <w:pPr>
        <w:ind w:left="780" w:right="480" w:hanging="441"/>
        <w:spacing w:after="0" w:line="191" w:lineRule="auto"/>
        <w:tabs>
          <w:tab w:leader="none" w:pos="780" w:val="left"/>
        </w:tabs>
        <w:numPr>
          <w:ilvl w:val="0"/>
          <w:numId w:val="102"/>
        </w:numPr>
        <w:rPr>
          <w:rFonts w:ascii="Arial" w:cs="Arial" w:eastAsia="Arial" w:hAnsi="Arial"/>
          <w:sz w:val="26"/>
          <w:szCs w:val="26"/>
          <w:color w:val="auto"/>
          <w:vertAlign w:val="superscript"/>
        </w:rPr>
      </w:pPr>
      <w:r>
        <w:rPr>
          <w:rFonts w:ascii="Arial" w:cs="Arial" w:eastAsia="Arial" w:hAnsi="Arial"/>
          <w:sz w:val="17"/>
          <w:szCs w:val="17"/>
          <w:color w:val="auto"/>
        </w:rPr>
        <w:t>the acquisition of control of us in connection with the realization of security granted for a loan or other financial assistance and not for any purpose related to the provisions of the Investment Canada Act; and</w:t>
      </w:r>
    </w:p>
    <w:p>
      <w:pPr>
        <w:spacing w:after="0" w:line="19" w:lineRule="exact"/>
        <w:rPr>
          <w:rFonts w:ascii="Arial" w:cs="Arial" w:eastAsia="Arial" w:hAnsi="Arial"/>
          <w:sz w:val="26"/>
          <w:szCs w:val="26"/>
          <w:color w:val="auto"/>
          <w:vertAlign w:val="superscript"/>
        </w:rPr>
      </w:pPr>
    </w:p>
    <w:p>
      <w:pPr>
        <w:ind w:left="780" w:right="100" w:hanging="441"/>
        <w:spacing w:after="0" w:line="191" w:lineRule="auto"/>
        <w:tabs>
          <w:tab w:leader="none" w:pos="780" w:val="left"/>
        </w:tabs>
        <w:numPr>
          <w:ilvl w:val="0"/>
          <w:numId w:val="102"/>
        </w:numPr>
        <w:rPr>
          <w:rFonts w:ascii="Arial" w:cs="Arial" w:eastAsia="Arial" w:hAnsi="Arial"/>
          <w:sz w:val="26"/>
          <w:szCs w:val="26"/>
          <w:color w:val="auto"/>
          <w:vertAlign w:val="superscript"/>
        </w:rPr>
      </w:pPr>
      <w:r>
        <w:rPr>
          <w:rFonts w:ascii="Arial" w:cs="Arial" w:eastAsia="Arial" w:hAnsi="Arial"/>
          <w:sz w:val="17"/>
          <w:szCs w:val="17"/>
          <w:color w:val="auto"/>
        </w:rPr>
        <w:t>the acquisition of control of us by reason of an amalgamation, merger, consolidation or corporate reorganization following which ultimate direct or indirect control in fact of us, through the ownership of our voting shares, remains unchanged.</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new national security regime in the Investment Canada Act,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The Minister of Industry has broad discretion to determine whether an investor is a non-Canadian and may be subject to national security review. Review on national security grounds is at the discretion of the federal government and may occur on a pre- or post-closing basis.</w:t>
      </w:r>
    </w:p>
    <w:p>
      <w:pPr>
        <w:spacing w:after="0" w:line="111" w:lineRule="exact"/>
        <w:rPr>
          <w:sz w:val="20"/>
          <w:szCs w:val="20"/>
          <w:color w:val="auto"/>
        </w:rPr>
      </w:pPr>
    </w:p>
    <w:p>
      <w:pPr>
        <w:jc w:val="both"/>
        <w:ind w:right="720"/>
        <w:spacing w:after="0" w:line="275" w:lineRule="auto"/>
        <w:rPr>
          <w:sz w:val="20"/>
          <w:szCs w:val="20"/>
          <w:color w:val="auto"/>
        </w:rPr>
      </w:pPr>
      <w:r>
        <w:rPr>
          <w:rFonts w:ascii="Arial" w:cs="Arial" w:eastAsia="Arial" w:hAnsi="Arial"/>
          <w:sz w:val="16"/>
          <w:szCs w:val="16"/>
          <w:color w:val="auto"/>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spacing w:after="0" w:line="8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Neither our articles to be in effect upon the completion of this offering nor by-laws to be in effect upon the completion of this offering contain any change of control limitations with respect to a merger, acquisition or corporate restructuring that involves us.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Actions Requiring a Special Majority</w:t>
      </w:r>
    </w:p>
    <w:p>
      <w:pPr>
        <w:spacing w:after="0" w:line="70"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Under the CBCA, certain corporate actions require the approval of a special majority of shareholders, meaning holders of shares representing not less than 66 </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those votes cast in respect of a shareholder vote addressing such matter. Those items requiring the approval of a special majority generally relate to fundamental changes with respect to our business, and include among others, resolutions: (i) amending our articles; (ii) approving an amalgamation; (iii) approving a continuance; and (iv) providing for a sale, lease or exchange of all or substantially all of our property.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20"/>
          </w:cols>
          <w:pgMar w:left="240" w:top="445"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Procedures and Shareholder Proposals</w:t>
      </w:r>
    </w:p>
    <w:p>
      <w:pPr>
        <w:spacing w:after="0" w:line="7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Under the CBCA, shareholders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CBCA. The notice must include information on the business the shareholder intends to bring before the meeting.</w:t>
      </w:r>
    </w:p>
    <w:p>
      <w:pPr>
        <w:spacing w:after="0" w:line="10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addition, our amended by-laws that will be in effect upon the closing of this offering, require that shareholders provide us with advance notice of their intention to nominate any persons, other than those nominated by management, for election to our board of directors at a meeting of shareholders.</w:t>
      </w:r>
    </w:p>
    <w:p>
      <w:pPr>
        <w:spacing w:after="0" w:line="8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These provisions could have the effect of delaying until the next shareholder meeting the nomination of certain persons for director that are favored by the holders of a majority of our outstanding voting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Ownership and Exchange Controls</w:t>
      </w:r>
    </w:p>
    <w:p>
      <w:pPr>
        <w:spacing w:after="0" w:line="7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There is currently no law, governmental decree or regulation in Canada that restricts the export or import of capital, or which would affect the remittance of dividends, interest or other payments by us to non-resident holders of our common shares, other than withholding tax requirements, as discussed below under “United States and Canadian Income Tax Considerations—Certain Canadian Federal Income Tax Information.”</w:t>
      </w:r>
    </w:p>
    <w:p>
      <w:pPr>
        <w:spacing w:after="0" w:line="10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There is currently no limitation imposed by Canadian law or our amended articles or by-laws on the right of non-residents to hold or vote our common shares, other than those imposed by the Investment Canada Act and the Competition Act (Canada). These acts will generally not apply except where a control of an existing Canadian business or company, which has Canadian assets or revenue over a certain threshold, is acquired and will not apply to trading generally of securities listed on a stock exchange.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common shares have been approved for listing on The NASDAQ Global Market under the symbol “XENE.”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7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transfer agent and registrar for our common shares is American Stock Transfer &amp; Trust Company, LLC. The transfer agent and registrar’s address is 6201 15th Avenue, Brooklyn, New York 11219, and its telephone number is (718) 921-8206. Additionally, in compliance with the CBCA, we have retained CST Trust Company, an affiliate of American Stock Transfer &amp; Trust Company, LLC, to act as our Canadian transfer agent and registrar. CST Trust Company’s address is 1066 West Hastings Street, Vancouver, BC V6E 3X1, and its telephone number is (604) 235-3703.</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20"/>
          </w:cols>
          <w:pgMar w:left="240" w:top="444"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MATERIAL DIFFERENCES BETWEEN THE CANADA BUSINESS CORPORATIONS ACT AND THE DELAWARE GENERAL CORPORATION LAW</w:t>
      </w:r>
    </w:p>
    <w:p>
      <w:pPr>
        <w:spacing w:after="0" w:line="26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Our corporate affairs are governed by our articles and by-laws and the provisions of the Canada Business Corporations Act, or CBCA. The CBCA differs from the various state laws applicable to U.S. corporations and their shareholders. The following table provides a summary of the material differences between the provisions of the CBCA and the Delaware General Corporation Law, or DGCL, taking into account certain specific provisions in our amended articles and our by-laws that will be in effect upon the closing of this offering.</w:t>
      </w:r>
    </w:p>
    <w:p>
      <w:pPr>
        <w:sectPr>
          <w:pgSz w:w="11900" w:h="16838" w:orient="portrait"/>
          <w:cols w:equalWidth="0" w:num="1">
            <w:col w:w="11420"/>
          </w:cols>
          <w:pgMar w:left="240" w:top="444" w:right="239" w:bottom="1440" w:gutter="0" w:footer="0" w:header="0"/>
        </w:sectPr>
      </w:pPr>
    </w:p>
    <w:p>
      <w:pPr>
        <w:spacing w:after="0" w:line="2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Authorized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3"/>
          <w:szCs w:val="13"/>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1222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Upon closing, under our amended articles, as permitted by the CBCA, the authorized share capital will consist of (i) an unlimited number of common shares without par value and (ii) an unlimited number of new preferred shares without par value, issuable in series.</w:t>
      </w:r>
    </w:p>
    <w:p>
      <w:pPr>
        <w:spacing w:after="0" w:line="12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Upon closing, under our amended articles, our board of directors will have the authority to issue new preferred shares in one or more series, with such designations and special rights and restrictions as our board of directors may determine.</w:t>
      </w:r>
    </w:p>
    <w:p>
      <w:pPr>
        <w:spacing w:after="0" w:line="35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Under the CBCA and our amended articles, dividends may be declared on the common shares at the discretion of our board of directors. Any dividends declared shall be subject to the rights, if any, of shareholders holding shares with special rights as to dividends. Our directors may declare dividends unless there are reasonable grounds for believing that we are insolvent or the payment of such dividends would render us insolvent.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30403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Under the DGCL, a corporation’s certificate of incorporation must specify the number of shares of each class of stock and their par value, or include a statement that such shares are without par value. The certificate of incorporation must also set forth the designations, powers, preferences, rights, qualifications, limitations and restrictions of each class of shares, if any. Under the DGCL, a corporation’s certificate of incorporation may give the board of directors the authority to issue preferred stock in one or more series, with such designations and special rights and restrictions as determined by the board of directors.</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DGCL generally provides that, subject to certain restrictions, the directors of a corporation may declare and pay dividends upon the shares of its capital stock either out of the corporation’s surplus or, if there is no such surplus, out of its net profits for the fiscal year in which the dividend is declared and/or the preceding fiscal year. Further, the holders of preferred or special stock of any class or series may be entitled to receive dividends at such rates, on such conditions and at such times as stated in the certificate of incorporation.</w:t>
      </w:r>
    </w:p>
    <w:p>
      <w:pPr>
        <w:spacing w:after="0" w:line="99" w:lineRule="exact"/>
        <w:rPr>
          <w:sz w:val="20"/>
          <w:szCs w:val="20"/>
          <w:color w:val="auto"/>
        </w:rPr>
      </w:pPr>
    </w:p>
    <w:p>
      <w:pPr>
        <w:sectPr>
          <w:pgSz w:w="11900" w:h="16838" w:orient="portrait"/>
          <w:cols w:equalWidth="0" w:num="3">
            <w:col w:w="960" w:space="660"/>
            <w:col w:w="4820" w:space="200"/>
            <w:col w:w="4780"/>
          </w:cols>
          <w:pgMar w:left="240" w:top="444" w:right="239" w:bottom="1440" w:gutter="0" w:footer="0" w:header="0"/>
          <w:type w:val="continuous"/>
        </w:sectPr>
      </w:pPr>
    </w:p>
    <w:p>
      <w:pPr>
        <w:spacing w:after="0"/>
        <w:tabs>
          <w:tab w:leader="none" w:pos="1600" w:val="left"/>
        </w:tabs>
        <w:rPr>
          <w:sz w:val="20"/>
          <w:szCs w:val="20"/>
          <w:color w:val="auto"/>
        </w:rPr>
      </w:pPr>
      <w:r>
        <w:rPr>
          <w:rFonts w:ascii="Arial" w:cs="Arial" w:eastAsia="Arial" w:hAnsi="Arial"/>
          <w:sz w:val="17"/>
          <w:szCs w:val="17"/>
          <w:color w:val="auto"/>
        </w:rPr>
        <w:t>Vote Required for</w:t>
      </w:r>
      <w:r>
        <w:rPr>
          <w:sz w:val="20"/>
          <w:szCs w:val="20"/>
          <w:color w:val="auto"/>
        </w:rPr>
        <w:tab/>
      </w:r>
      <w:r>
        <w:rPr>
          <w:rFonts w:ascii="Arial" w:cs="Arial" w:eastAsia="Arial" w:hAnsi="Arial"/>
          <w:sz w:val="16"/>
          <w:szCs w:val="16"/>
          <w:color w:val="auto"/>
        </w:rPr>
        <w:t>Under the CBCA, certain extraordinary corporate actions,</w:t>
      </w:r>
    </w:p>
    <w:p>
      <w:pPr>
        <w:spacing w:after="0"/>
        <w:tabs>
          <w:tab w:leader="none" w:pos="1600" w:val="left"/>
        </w:tabs>
        <w:rPr>
          <w:sz w:val="20"/>
          <w:szCs w:val="20"/>
          <w:color w:val="auto"/>
        </w:rPr>
      </w:pPr>
      <w:r>
        <w:rPr>
          <w:rFonts w:ascii="Arial" w:cs="Arial" w:eastAsia="Arial" w:hAnsi="Arial"/>
          <w:sz w:val="16"/>
          <w:szCs w:val="16"/>
          <w:color w:val="auto"/>
        </w:rPr>
        <w:t>Certain</w:t>
      </w:r>
      <w:r>
        <w:rPr>
          <w:sz w:val="20"/>
          <w:szCs w:val="20"/>
          <w:color w:val="auto"/>
        </w:rPr>
        <w:tab/>
      </w:r>
      <w:r>
        <w:rPr>
          <w:rFonts w:ascii="Arial" w:cs="Arial" w:eastAsia="Arial" w:hAnsi="Arial"/>
          <w:sz w:val="16"/>
          <w:szCs w:val="16"/>
          <w:color w:val="auto"/>
        </w:rPr>
        <w:t>including, without limitation, continuances, certain amalgamations</w:t>
      </w:r>
    </w:p>
    <w:p>
      <w:pPr>
        <w:spacing w:after="0" w:line="8"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Transactions</w:t>
      </w:r>
      <w:r>
        <w:rPr>
          <w:sz w:val="20"/>
          <w:szCs w:val="20"/>
          <w:color w:val="auto"/>
        </w:rPr>
        <w:tab/>
      </w:r>
      <w:r>
        <w:rPr>
          <w:rFonts w:ascii="Arial" w:cs="Arial" w:eastAsia="Arial" w:hAnsi="Arial"/>
          <w:sz w:val="17"/>
          <w:szCs w:val="17"/>
          <w:color w:val="auto"/>
        </w:rPr>
        <w:t>and sales, leases or exchanges of all, or substantially all, of the</w:t>
      </w:r>
    </w:p>
    <w:p>
      <w:pPr>
        <w:ind w:left="1620" w:right="100"/>
        <w:spacing w:after="0"/>
        <w:rPr>
          <w:sz w:val="20"/>
          <w:szCs w:val="20"/>
          <w:color w:val="auto"/>
        </w:rPr>
      </w:pPr>
      <w:r>
        <w:rPr>
          <w:rFonts w:ascii="Arial" w:cs="Arial" w:eastAsia="Arial" w:hAnsi="Arial"/>
          <w:sz w:val="17"/>
          <w:szCs w:val="17"/>
          <w:color w:val="auto"/>
        </w:rPr>
        <w:t>property of a corporation (other than in the ordinary course of business), and liquidations, dissolutions and certain arrangements, are required to be approved by special resolution of our shareholders.</w:t>
      </w:r>
    </w:p>
    <w:p>
      <w:pPr>
        <w:spacing w:after="0" w:line="122" w:lineRule="exact"/>
        <w:rPr>
          <w:sz w:val="20"/>
          <w:szCs w:val="20"/>
          <w:color w:val="auto"/>
        </w:rPr>
      </w:pPr>
    </w:p>
    <w:p>
      <w:pPr>
        <w:ind w:left="1620" w:right="80"/>
        <w:spacing w:after="0"/>
        <w:rPr>
          <w:sz w:val="20"/>
          <w:szCs w:val="20"/>
          <w:color w:val="auto"/>
        </w:rPr>
      </w:pPr>
      <w:r>
        <w:rPr>
          <w:rFonts w:ascii="Arial" w:cs="Arial" w:eastAsia="Arial" w:hAnsi="Arial"/>
          <w:sz w:val="17"/>
          <w:szCs w:val="17"/>
          <w:color w:val="auto"/>
        </w:rPr>
        <w:t>A special resolution is a resolution passed by not less than two-thirds of the votes cast by the shareholders who voted in respect of the resolution or signed by all shareholders entitled to vote on the resolution.</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7"/>
          <w:szCs w:val="17"/>
          <w:color w:val="auto"/>
        </w:rPr>
        <w:t>Under the DGCL, certain mergers, consolidation, sale, lease, exchange or other disposition of all, or substantially all, the property and assets of a corporation or dissolution of the corporation requires the approval of a majority of the outstanding voting stock of the corporation entitled to vote thereon.</w:t>
      </w:r>
    </w:p>
    <w:p>
      <w:pPr>
        <w:spacing w:after="0" w:line="1245" w:lineRule="exact"/>
        <w:rPr>
          <w:sz w:val="20"/>
          <w:szCs w:val="20"/>
          <w:color w:val="auto"/>
        </w:rPr>
      </w:pPr>
    </w:p>
    <w:p>
      <w:pPr>
        <w:sectPr>
          <w:pgSz w:w="11900" w:h="16838" w:orient="portrait"/>
          <w:cols w:equalWidth="0" w:num="2">
            <w:col w:w="6480" w:space="160"/>
            <w:col w:w="4780"/>
          </w:cols>
          <w:pgMar w:left="240" w:top="44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420"/>
          </w:cols>
          <w:pgMar w:left="240" w:top="444" w:right="239" w:bottom="1440" w:gutter="0" w:footer="0" w:header="0"/>
          <w:type w:val="continuous"/>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380"/>
          </w:cols>
          <w:pgMar w:left="240" w:top="445" w:right="279" w:bottom="1440" w:gutter="0" w:footer="0" w:header="0"/>
        </w:sectPr>
      </w:pPr>
    </w:p>
    <w:p>
      <w:pPr>
        <w:spacing w:after="0" w:line="337"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Amendment of</w:t>
      </w:r>
      <w:r>
        <w:rPr>
          <w:sz w:val="20"/>
          <w:szCs w:val="20"/>
          <w:color w:val="auto"/>
        </w:rPr>
        <w:tab/>
      </w:r>
      <w:r>
        <w:rPr>
          <w:rFonts w:ascii="Arial" w:cs="Arial" w:eastAsia="Arial" w:hAnsi="Arial"/>
          <w:sz w:val="16"/>
          <w:szCs w:val="16"/>
          <w:color w:val="auto"/>
        </w:rPr>
        <w:t>Under the CBCA, an amendment to our articles generally requires</w:t>
      </w:r>
    </w:p>
    <w:p>
      <w:pPr>
        <w:spacing w:after="0" w:line="237" w:lineRule="auto"/>
        <w:tabs>
          <w:tab w:leader="none" w:pos="1600" w:val="left"/>
        </w:tabs>
        <w:rPr>
          <w:sz w:val="20"/>
          <w:szCs w:val="20"/>
          <w:color w:val="auto"/>
        </w:rPr>
      </w:pPr>
      <w:r>
        <w:rPr>
          <w:rFonts w:ascii="Arial" w:cs="Arial" w:eastAsia="Arial" w:hAnsi="Arial"/>
          <w:sz w:val="17"/>
          <w:szCs w:val="17"/>
          <w:color w:val="auto"/>
        </w:rPr>
        <w:t>Organizing</w:t>
      </w:r>
      <w:r>
        <w:rPr>
          <w:sz w:val="20"/>
          <w:szCs w:val="20"/>
          <w:color w:val="auto"/>
        </w:rPr>
        <w:tab/>
      </w:r>
      <w:r>
        <w:rPr>
          <w:rFonts w:ascii="Arial" w:cs="Arial" w:eastAsia="Arial" w:hAnsi="Arial"/>
          <w:sz w:val="17"/>
          <w:szCs w:val="17"/>
          <w:color w:val="auto"/>
        </w:rPr>
        <w:t>approval by special resolution of holders of our voting shares.</w:t>
      </w:r>
    </w:p>
    <w:p>
      <w:pPr>
        <w:spacing w:after="0" w:line="238" w:lineRule="auto"/>
        <w:tabs>
          <w:tab w:leader="none" w:pos="1600" w:val="left"/>
        </w:tabs>
        <w:rPr>
          <w:sz w:val="20"/>
          <w:szCs w:val="20"/>
          <w:color w:val="auto"/>
        </w:rPr>
      </w:pPr>
      <w:r>
        <w:rPr>
          <w:rFonts w:ascii="Arial" w:cs="Arial" w:eastAsia="Arial" w:hAnsi="Arial"/>
          <w:sz w:val="17"/>
          <w:szCs w:val="17"/>
          <w:color w:val="auto"/>
        </w:rPr>
        <w:t>Documents</w:t>
      </w:r>
      <w:r>
        <w:rPr>
          <w:sz w:val="20"/>
          <w:szCs w:val="20"/>
          <w:color w:val="auto"/>
        </w:rPr>
        <w:tab/>
      </w:r>
      <w:r>
        <w:rPr>
          <w:rFonts w:ascii="Arial" w:cs="Arial" w:eastAsia="Arial" w:hAnsi="Arial"/>
          <w:sz w:val="17"/>
          <w:szCs w:val="17"/>
          <w:color w:val="auto"/>
        </w:rPr>
        <w:t>Specified amendments may also require the approval of other</w:t>
      </w:r>
    </w:p>
    <w:p>
      <w:pPr>
        <w:ind w:left="1620" w:right="120"/>
        <w:spacing w:after="0" w:line="239" w:lineRule="auto"/>
        <w:rPr>
          <w:sz w:val="20"/>
          <w:szCs w:val="20"/>
          <w:color w:val="auto"/>
        </w:rPr>
      </w:pPr>
      <w:r>
        <w:rPr>
          <w:rFonts w:ascii="Arial" w:cs="Arial" w:eastAsia="Arial" w:hAnsi="Arial"/>
          <w:sz w:val="17"/>
          <w:szCs w:val="17"/>
          <w:color w:val="auto"/>
        </w:rPr>
        <w:t>classes of our shares. In the event that an amendment to our articles would prejudice or interfere with a right or special right attached to our issued shares of a class or series of our shares, such amendment must be approved separately by the holders of the class or series of shares being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Amendment of By-</w:t>
      </w:r>
      <w:r>
        <w:rPr>
          <w:sz w:val="20"/>
          <w:szCs w:val="20"/>
          <w:color w:val="auto"/>
        </w:rPr>
        <w:tab/>
      </w:r>
      <w:r>
        <w:rPr>
          <w:rFonts w:ascii="Arial" w:cs="Arial" w:eastAsia="Arial" w:hAnsi="Arial"/>
          <w:sz w:val="16"/>
          <w:szCs w:val="16"/>
          <w:color w:val="auto"/>
        </w:rPr>
        <w:t>Under the CBCA, our board of directors may, by resolution, make,</w:t>
      </w:r>
    </w:p>
    <w:p>
      <w:pPr>
        <w:spacing w:after="0"/>
        <w:tabs>
          <w:tab w:leader="none" w:pos="1600" w:val="left"/>
        </w:tabs>
        <w:rPr>
          <w:sz w:val="20"/>
          <w:szCs w:val="20"/>
          <w:color w:val="auto"/>
        </w:rPr>
      </w:pPr>
      <w:r>
        <w:rPr>
          <w:rFonts w:ascii="Arial" w:cs="Arial" w:eastAsia="Arial" w:hAnsi="Arial"/>
          <w:sz w:val="16"/>
          <w:szCs w:val="16"/>
          <w:color w:val="auto"/>
        </w:rPr>
        <w:t>laws</w:t>
      </w:r>
      <w:r>
        <w:rPr>
          <w:sz w:val="20"/>
          <w:szCs w:val="20"/>
          <w:color w:val="auto"/>
        </w:rPr>
        <w:tab/>
      </w:r>
      <w:r>
        <w:rPr>
          <w:rFonts w:ascii="Arial" w:cs="Arial" w:eastAsia="Arial" w:hAnsi="Arial"/>
          <w:sz w:val="16"/>
          <w:szCs w:val="16"/>
          <w:color w:val="auto"/>
        </w:rPr>
        <w:t>amend or repeal any by-law that regulates our business or affairs.</w:t>
      </w:r>
    </w:p>
    <w:p>
      <w:pPr>
        <w:spacing w:after="0" w:line="10" w:lineRule="exact"/>
        <w:rPr>
          <w:sz w:val="20"/>
          <w:szCs w:val="20"/>
          <w:color w:val="auto"/>
        </w:rPr>
      </w:pPr>
    </w:p>
    <w:p>
      <w:pPr>
        <w:ind w:left="1620" w:right="20"/>
        <w:spacing w:after="0" w:line="238" w:lineRule="auto"/>
        <w:rPr>
          <w:sz w:val="20"/>
          <w:szCs w:val="20"/>
          <w:color w:val="auto"/>
        </w:rPr>
      </w:pPr>
      <w:r>
        <w:rPr>
          <w:rFonts w:ascii="Arial" w:cs="Arial" w:eastAsia="Arial" w:hAnsi="Arial"/>
          <w:sz w:val="17"/>
          <w:szCs w:val="17"/>
          <w:color w:val="auto"/>
        </w:rPr>
        <w:t>Where our board of directors makes, amends or repeals a by-law, they are required under the CBCA to submit that action to our shareholders at the next meeting of shareholders and our shareholders may confirm, reject or amend that action by ordinary resolution. If the action is rejected by our shareholders, or our board of directors does not submit the action to our shareholders at the next meeting of shareholders, the action will cease to be effective and no subsequent resolution of our directors to make, amend or repeal a by-law having substantially the same purpose or effect will be effective until it is confirmed.</w:t>
      </w:r>
    </w:p>
    <w:p>
      <w:pPr>
        <w:spacing w:after="0" w:line="99"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Quorum of</w:t>
      </w:r>
      <w:r>
        <w:rPr>
          <w:sz w:val="20"/>
          <w:szCs w:val="20"/>
          <w:color w:val="auto"/>
        </w:rPr>
        <w:tab/>
      </w:r>
      <w:r>
        <w:rPr>
          <w:rFonts w:ascii="Arial" w:cs="Arial" w:eastAsia="Arial" w:hAnsi="Arial"/>
          <w:sz w:val="16"/>
          <w:szCs w:val="16"/>
          <w:color w:val="auto"/>
        </w:rPr>
        <w:t>As permitted under the CBCA, our by-laws provide that quorum</w:t>
      </w:r>
    </w:p>
    <w:p>
      <w:pPr>
        <w:spacing w:after="0" w:line="237" w:lineRule="auto"/>
        <w:tabs>
          <w:tab w:leader="none" w:pos="160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for meetings of shareholders is one person present or</w:t>
      </w:r>
    </w:p>
    <w:p>
      <w:pPr>
        <w:spacing w:after="0" w:line="1" w:lineRule="exact"/>
        <w:rPr>
          <w:sz w:val="20"/>
          <w:szCs w:val="20"/>
          <w:color w:val="auto"/>
        </w:rPr>
      </w:pPr>
    </w:p>
    <w:p>
      <w:pPr>
        <w:ind w:left="1620" w:right="120"/>
        <w:spacing w:after="0" w:line="245" w:lineRule="auto"/>
        <w:rPr>
          <w:sz w:val="20"/>
          <w:szCs w:val="20"/>
          <w:color w:val="auto"/>
        </w:rPr>
      </w:pPr>
      <w:r>
        <w:rPr>
          <w:rFonts w:ascii="Arial" w:cs="Arial" w:eastAsia="Arial" w:hAnsi="Arial"/>
          <w:sz w:val="17"/>
          <w:szCs w:val="17"/>
          <w:color w:val="auto"/>
        </w:rPr>
        <w:t xml:space="preserve">representing by proxy, shareholders holding no less than 33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of the issued shares entitled to be voted at the meeting.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DGCL provides that a corporation may amend its certificate of incorporation if its board of directors has adopted such amendment, followed by the affirmative vote of a majority of the outstanding voting stock and a majority of the outstanding shares of each class entitled to vote on the amendment as a class. In the event the amendment would alter the aggregate number of authorized shares of a class of stock, their par value, or the powers, preferences or special rights of the shares of a class so as to affect them adversely, the holders of the outstanding shares of the class are entitled to vote as a class upon a proposed amendment, whether or not entitled to vote thereon by the certificate of incorporation.</w:t>
      </w:r>
    </w:p>
    <w:p>
      <w:pPr>
        <w:spacing w:after="0" w:line="1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DGCL provides that the stockholders entitled to vote have the power to adopt, amend or repeal bylaws. A corporation may also confer, in its certificate of incorporation, that power upon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Under the DGCL, unless otherwise provided in the certificate of incorporation, with respect to any matter, a quorum for a meeting of stockholders requires the holders of a majority of the shares entitled to vote are represented at the meeting in person or by proxy.</w:t>
      </w:r>
    </w:p>
    <w:p>
      <w:pPr>
        <w:spacing w:after="0" w:line="96" w:lineRule="exact"/>
        <w:rPr>
          <w:sz w:val="20"/>
          <w:szCs w:val="20"/>
          <w:color w:val="auto"/>
        </w:rPr>
      </w:pPr>
    </w:p>
    <w:p>
      <w:pPr>
        <w:sectPr>
          <w:pgSz w:w="11900" w:h="16838" w:orient="portrait"/>
          <w:cols w:equalWidth="0" w:num="2">
            <w:col w:w="6520" w:space="120"/>
            <w:col w:w="4740"/>
          </w:cols>
          <w:pgMar w:left="240" w:top="445" w:right="279" w:bottom="1440" w:gutter="0" w:footer="0" w:header="0"/>
          <w:type w:val="continuous"/>
        </w:sectPr>
      </w:pPr>
    </w:p>
    <w:p>
      <w:pPr>
        <w:spacing w:after="0"/>
        <w:tabs>
          <w:tab w:leader="none" w:pos="1600" w:val="left"/>
        </w:tabs>
        <w:rPr>
          <w:sz w:val="20"/>
          <w:szCs w:val="20"/>
          <w:color w:val="auto"/>
        </w:rPr>
      </w:pPr>
      <w:r>
        <w:rPr>
          <w:rFonts w:ascii="Arial" w:cs="Arial" w:eastAsia="Arial" w:hAnsi="Arial"/>
          <w:sz w:val="17"/>
          <w:szCs w:val="17"/>
          <w:color w:val="auto"/>
        </w:rPr>
        <w:t>Annual Meetings of</w:t>
      </w:r>
      <w:r>
        <w:rPr>
          <w:sz w:val="20"/>
          <w:szCs w:val="20"/>
          <w:color w:val="auto"/>
        </w:rPr>
        <w:tab/>
      </w:r>
      <w:r>
        <w:rPr>
          <w:rFonts w:ascii="Arial" w:cs="Arial" w:eastAsia="Arial" w:hAnsi="Arial"/>
          <w:sz w:val="16"/>
          <w:szCs w:val="16"/>
          <w:color w:val="auto"/>
        </w:rPr>
        <w:t>Under the CBCA, we must hold an annual general meeting of our</w:t>
      </w:r>
    </w:p>
    <w:p>
      <w:pPr>
        <w:spacing w:after="0" w:line="237" w:lineRule="auto"/>
        <w:tabs>
          <w:tab w:leader="none" w:pos="160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shareholders at least once every year at a time and place</w:t>
      </w:r>
    </w:p>
    <w:p>
      <w:pPr>
        <w:spacing w:after="0" w:line="1" w:lineRule="exact"/>
        <w:rPr>
          <w:sz w:val="20"/>
          <w:szCs w:val="20"/>
          <w:color w:val="auto"/>
        </w:rPr>
      </w:pPr>
    </w:p>
    <w:p>
      <w:pPr>
        <w:ind w:left="1620"/>
        <w:spacing w:after="0" w:line="238" w:lineRule="auto"/>
        <w:rPr>
          <w:sz w:val="20"/>
          <w:szCs w:val="20"/>
          <w:color w:val="auto"/>
        </w:rPr>
      </w:pPr>
      <w:r>
        <w:rPr>
          <w:rFonts w:ascii="Arial" w:cs="Arial" w:eastAsia="Arial" w:hAnsi="Arial"/>
          <w:sz w:val="17"/>
          <w:szCs w:val="17"/>
          <w:color w:val="auto"/>
        </w:rPr>
        <w:t>determined by our board of directors, provided that the meeting must not be held later than 15 months after the preceding annual general meeting but no later than six months after the end of our preceding financial year. The CBCA requires that a meeting of our shareholders may be held anywhere in Canada as our board of directors may determine. Under the CBCA, and our by-laws, we must provide notice of an annual general meeting to each shareholder entitled to vote thereat, to each director, and to our auditor at least 21 days in advance of the meeting.</w:t>
      </w:r>
    </w:p>
    <w:p>
      <w:pPr>
        <w:spacing w:after="0" w:line="14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7"/>
          <w:szCs w:val="17"/>
          <w:color w:val="auto"/>
        </w:rPr>
        <w:t>Under the DGCL, a corporation must hold an annual meeting of stockholders in a place designated by the certificate of incorporation or bylaws, whether inside or outside of Delaware, or, if not so designated, as determined by the board of directors and on a date and at a time designated in the bylaws, except as otherwise provided by law. Written notice of every meeting of stockholders must be given to each stockholder of record not less than ten and not more than 60 days before the date of the meeting.</w:t>
      </w:r>
    </w:p>
    <w:p>
      <w:pPr>
        <w:sectPr>
          <w:pgSz w:w="11900" w:h="16838" w:orient="portrait"/>
          <w:cols w:equalWidth="0" w:num="2">
            <w:col w:w="6520" w:space="120"/>
            <w:col w:w="4740"/>
          </w:cols>
          <w:pgMar w:left="240" w:top="445" w:right="279" w:bottom="1440" w:gutter="0" w:footer="0" w:header="0"/>
          <w:type w:val="continuous"/>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444" w:right="259" w:bottom="1440" w:gutter="0" w:footer="0" w:header="0"/>
        </w:sect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Arial" w:cs="Arial" w:eastAsia="Arial" w:hAnsi="Arial"/>
                <w:sz w:val="17"/>
                <w:szCs w:val="17"/>
                <w:color w:val="auto"/>
              </w:rPr>
              <w:t>Special Meetings of</w:t>
            </w: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Under the CBCA and our by-laws, our board of directors has the</w:t>
            </w: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7"/>
                <w:szCs w:val="17"/>
                <w:color w:val="auto"/>
              </w:rPr>
              <w:t>Shareholders</w:t>
            </w: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w w:val="98"/>
              </w:rPr>
              <w:t>power at any time to call a special meeting of shareholders. Under</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the CBCA, the holders of not less than 5% of our issued shares</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w w:val="99"/>
              </w:rPr>
              <w:t>that carry the right to vote at a meeting sought to be held can also</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requisition our directors to call a meeting of shareholders for the</w:t>
            </w:r>
          </w:p>
        </w:tc>
      </w:tr>
      <w:tr>
        <w:trPr>
          <w:trHeight w:val="202"/>
        </w:trPr>
        <w:tc>
          <w:tcPr>
            <w:tcW w:w="1540" w:type="dxa"/>
            <w:vAlign w:val="bottom"/>
          </w:tcPr>
          <w:p>
            <w:pPr>
              <w:spacing w:after="0"/>
              <w:rPr>
                <w:sz w:val="17"/>
                <w:szCs w:val="17"/>
                <w:color w:val="auto"/>
              </w:rPr>
            </w:pP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purposes stated in the requisition.</w:t>
            </w:r>
          </w:p>
        </w:tc>
      </w:tr>
      <w:tr>
        <w:trPr>
          <w:trHeight w:val="289"/>
        </w:trPr>
        <w:tc>
          <w:tcPr>
            <w:tcW w:w="1540" w:type="dxa"/>
            <w:vAlign w:val="bottom"/>
          </w:tcPr>
          <w:p>
            <w:pPr>
              <w:spacing w:after="0"/>
              <w:rPr>
                <w:sz w:val="20"/>
                <w:szCs w:val="20"/>
                <w:color w:val="auto"/>
              </w:rPr>
            </w:pPr>
            <w:r>
              <w:rPr>
                <w:rFonts w:ascii="Arial" w:cs="Arial" w:eastAsia="Arial" w:hAnsi="Arial"/>
                <w:sz w:val="17"/>
                <w:szCs w:val="17"/>
                <w:color w:val="auto"/>
              </w:rPr>
              <w:t>Anti-takeover</w:t>
            </w: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As permitted by the CBCA, our amended articles provide that our</w:t>
            </w: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7"/>
                <w:szCs w:val="17"/>
                <w:color w:val="auto"/>
              </w:rPr>
              <w:t>Provisions and</w:t>
            </w: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board of directors may fix the number of preferred shares in, and</w:t>
            </w: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7"/>
                <w:szCs w:val="17"/>
                <w:color w:val="auto"/>
              </w:rPr>
              <w:t>Interested</w:t>
            </w: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determine the designation of the shares of, each series and</w:t>
            </w: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7"/>
                <w:szCs w:val="17"/>
                <w:color w:val="auto"/>
              </w:rPr>
              <w:t>Shareholder</w:t>
            </w: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create, define and attach rights and restrictions to the preferred</w:t>
            </w:r>
          </w:p>
        </w:tc>
      </w:tr>
      <w:tr>
        <w:trPr>
          <w:trHeight w:val="202"/>
        </w:trPr>
        <w:tc>
          <w:tcPr>
            <w:tcW w:w="1540" w:type="dxa"/>
            <w:vAlign w:val="bottom"/>
          </w:tcPr>
          <w:p>
            <w:pPr>
              <w:spacing w:after="0"/>
              <w:rPr>
                <w:sz w:val="20"/>
                <w:szCs w:val="20"/>
                <w:color w:val="auto"/>
              </w:rPr>
            </w:pPr>
            <w:r>
              <w:rPr>
                <w:rFonts w:ascii="Arial" w:cs="Arial" w:eastAsia="Arial" w:hAnsi="Arial"/>
                <w:sz w:val="17"/>
                <w:szCs w:val="17"/>
                <w:color w:val="auto"/>
              </w:rPr>
              <w:t>Transactions</w:t>
            </w: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shares without shareholder approval.</w:t>
            </w:r>
          </w:p>
        </w:tc>
      </w:tr>
      <w:tr>
        <w:trPr>
          <w:trHeight w:val="314"/>
        </w:trPr>
        <w:tc>
          <w:tcPr>
            <w:tcW w:w="1540" w:type="dxa"/>
            <w:vAlign w:val="bottom"/>
          </w:tcPr>
          <w:p>
            <w:pPr>
              <w:spacing w:after="0"/>
              <w:rPr>
                <w:sz w:val="24"/>
                <w:szCs w:val="24"/>
                <w:color w:val="auto"/>
              </w:rPr>
            </w:pP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Neither the CBCA nor our amended articles restrict us from</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adopting a shareholder rights plan. The CBCA does not restrict</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related party transactions; however, in Canada takeovers and</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other related party transactions are addressed in provincial</w:t>
            </w:r>
          </w:p>
        </w:tc>
      </w:tr>
      <w:tr>
        <w:trPr>
          <w:trHeight w:val="202"/>
        </w:trPr>
        <w:tc>
          <w:tcPr>
            <w:tcW w:w="1540" w:type="dxa"/>
            <w:vAlign w:val="bottom"/>
          </w:tcPr>
          <w:p>
            <w:pPr>
              <w:spacing w:after="0"/>
              <w:rPr>
                <w:sz w:val="17"/>
                <w:szCs w:val="17"/>
                <w:color w:val="auto"/>
              </w:rPr>
            </w:pP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securities legislation and policies which may apply to us.</w:t>
            </w:r>
          </w:p>
        </w:tc>
      </w:tr>
      <w:tr>
        <w:trPr>
          <w:trHeight w:val="301"/>
        </w:trPr>
        <w:tc>
          <w:tcPr>
            <w:tcW w:w="1540" w:type="dxa"/>
            <w:vAlign w:val="bottom"/>
          </w:tcPr>
          <w:p>
            <w:pPr>
              <w:spacing w:after="0"/>
              <w:rPr>
                <w:sz w:val="20"/>
                <w:szCs w:val="20"/>
                <w:color w:val="auto"/>
              </w:rPr>
            </w:pPr>
            <w:r>
              <w:rPr>
                <w:rFonts w:ascii="Arial" w:cs="Arial" w:eastAsia="Arial" w:hAnsi="Arial"/>
                <w:sz w:val="17"/>
                <w:szCs w:val="17"/>
                <w:color w:val="auto"/>
              </w:rPr>
              <w:t>Interested Director</w:t>
            </w: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Under the CBCA, a director who holds a disclosable interest in a</w:t>
            </w:r>
          </w:p>
        </w:tc>
      </w:tr>
      <w:tr>
        <w:trPr>
          <w:trHeight w:val="194"/>
        </w:trPr>
        <w:tc>
          <w:tcPr>
            <w:tcW w:w="1540" w:type="dxa"/>
            <w:vAlign w:val="bottom"/>
          </w:tcPr>
          <w:p>
            <w:pPr>
              <w:spacing w:after="0" w:line="194" w:lineRule="exact"/>
              <w:rPr>
                <w:sz w:val="20"/>
                <w:szCs w:val="20"/>
                <w:color w:val="auto"/>
              </w:rPr>
            </w:pPr>
            <w:r>
              <w:rPr>
                <w:rFonts w:ascii="Arial" w:cs="Arial" w:eastAsia="Arial" w:hAnsi="Arial"/>
                <w:sz w:val="17"/>
                <w:szCs w:val="17"/>
                <w:color w:val="auto"/>
              </w:rPr>
              <w:t>Transactions</w:t>
            </w: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material contract or transaction into which we have entered or</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propose to enter may generally not vote on any directors’</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resolution to approve the contract or transaction. A director or</w:t>
            </w:r>
          </w:p>
        </w:tc>
      </w:tr>
      <w:tr>
        <w:trPr>
          <w:trHeight w:val="194"/>
        </w:trPr>
        <w:tc>
          <w:tcPr>
            <w:tcW w:w="1540" w:type="dxa"/>
            <w:vAlign w:val="bottom"/>
          </w:tcPr>
          <w:p>
            <w:pPr>
              <w:spacing w:after="0"/>
              <w:rPr>
                <w:sz w:val="16"/>
                <w:szCs w:val="16"/>
                <w:color w:val="auto"/>
              </w:rPr>
            </w:pPr>
          </w:p>
        </w:tc>
        <w:tc>
          <w:tcPr>
            <w:tcW w:w="50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officer has a disclosable interest in a material contract or</w:t>
            </w:r>
          </w:p>
        </w:tc>
      </w:tr>
      <w:tr>
        <w:trPr>
          <w:trHeight w:val="202"/>
        </w:trPr>
        <w:tc>
          <w:tcPr>
            <w:tcW w:w="1540" w:type="dxa"/>
            <w:vAlign w:val="bottom"/>
          </w:tcPr>
          <w:p>
            <w:pPr>
              <w:spacing w:after="0"/>
              <w:rPr>
                <w:sz w:val="17"/>
                <w:szCs w:val="17"/>
                <w:color w:val="auto"/>
              </w:rPr>
            </w:pPr>
          </w:p>
        </w:tc>
        <w:tc>
          <w:tcPr>
            <w:tcW w:w="5000" w:type="dxa"/>
            <w:vAlign w:val="bottom"/>
            <w:gridSpan w:val="2"/>
          </w:tcPr>
          <w:p>
            <w:pPr>
              <w:ind w:left="80"/>
              <w:spacing w:after="0"/>
              <w:rPr>
                <w:sz w:val="20"/>
                <w:szCs w:val="20"/>
                <w:color w:val="auto"/>
              </w:rPr>
            </w:pPr>
            <w:r>
              <w:rPr>
                <w:rFonts w:ascii="Arial" w:cs="Arial" w:eastAsia="Arial" w:hAnsi="Arial"/>
                <w:sz w:val="17"/>
                <w:szCs w:val="17"/>
                <w:color w:val="auto"/>
              </w:rPr>
              <w:t>transaction if the director or officer is:</w:t>
            </w:r>
          </w:p>
        </w:tc>
      </w:tr>
      <w:tr>
        <w:trPr>
          <w:trHeight w:val="323"/>
        </w:trPr>
        <w:tc>
          <w:tcPr>
            <w:tcW w:w="1540" w:type="dxa"/>
            <w:vAlign w:val="bottom"/>
          </w:tcPr>
          <w:p>
            <w:pPr>
              <w:spacing w:after="0"/>
              <w:rPr>
                <w:sz w:val="24"/>
                <w:szCs w:val="24"/>
                <w:color w:val="auto"/>
              </w:rPr>
            </w:pPr>
          </w:p>
        </w:tc>
        <w:tc>
          <w:tcPr>
            <w:tcW w:w="680" w:type="dxa"/>
            <w:vAlign w:val="bottom"/>
          </w:tcPr>
          <w:p>
            <w:pPr>
              <w:ind w:left="460"/>
              <w:spacing w:after="0"/>
              <w:rPr>
                <w:sz w:val="20"/>
                <w:szCs w:val="20"/>
                <w:color w:val="auto"/>
              </w:rPr>
            </w:pPr>
            <w:r>
              <w:rPr>
                <w:rFonts w:ascii="Arial" w:cs="Arial" w:eastAsia="Arial" w:hAnsi="Arial"/>
                <w:sz w:val="13"/>
                <w:szCs w:val="13"/>
                <w:color w:val="auto"/>
              </w:rPr>
              <w:t>n</w:t>
            </w:r>
          </w:p>
        </w:tc>
        <w:tc>
          <w:tcPr>
            <w:tcW w:w="4320" w:type="dxa"/>
            <w:vAlign w:val="bottom"/>
          </w:tcPr>
          <w:p>
            <w:pPr>
              <w:ind w:left="140"/>
              <w:spacing w:after="0"/>
              <w:rPr>
                <w:sz w:val="20"/>
                <w:szCs w:val="20"/>
                <w:color w:val="auto"/>
              </w:rPr>
            </w:pPr>
            <w:r>
              <w:rPr>
                <w:rFonts w:ascii="Arial" w:cs="Arial" w:eastAsia="Arial" w:hAnsi="Arial"/>
                <w:sz w:val="17"/>
                <w:szCs w:val="17"/>
                <w:color w:val="auto"/>
              </w:rPr>
              <w:t>a party to the contract or transaction;</w:t>
            </w:r>
          </w:p>
        </w:tc>
      </w:tr>
      <w:tr>
        <w:trPr>
          <w:trHeight w:val="211"/>
        </w:trPr>
        <w:tc>
          <w:tcPr>
            <w:tcW w:w="15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Arial" w:cs="Arial" w:eastAsia="Arial" w:hAnsi="Arial"/>
                <w:sz w:val="13"/>
                <w:szCs w:val="13"/>
                <w:color w:val="auto"/>
              </w:rPr>
              <w:t>n</w:t>
            </w:r>
          </w:p>
        </w:tc>
        <w:tc>
          <w:tcPr>
            <w:tcW w:w="4320" w:type="dxa"/>
            <w:vAlign w:val="bottom"/>
          </w:tcPr>
          <w:p>
            <w:pPr>
              <w:ind w:left="140"/>
              <w:spacing w:after="0"/>
              <w:rPr>
                <w:sz w:val="20"/>
                <w:szCs w:val="20"/>
                <w:color w:val="auto"/>
              </w:rPr>
            </w:pPr>
            <w:r>
              <w:rPr>
                <w:rFonts w:ascii="Arial" w:cs="Arial" w:eastAsia="Arial" w:hAnsi="Arial"/>
                <w:sz w:val="17"/>
                <w:szCs w:val="17"/>
                <w:color w:val="auto"/>
                <w:w w:val="99"/>
              </w:rPr>
              <w:t>is a director or officer, or an individual acting in a similar</w:t>
            </w:r>
          </w:p>
        </w:tc>
      </w:tr>
      <w:tr>
        <w:trPr>
          <w:trHeight w:val="202"/>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capacity, of a party to the contract or transaction; or</w:t>
            </w:r>
          </w:p>
        </w:tc>
      </w:tr>
      <w:tr>
        <w:trPr>
          <w:trHeight w:val="211"/>
        </w:trPr>
        <w:tc>
          <w:tcPr>
            <w:tcW w:w="15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Arial" w:cs="Arial" w:eastAsia="Arial" w:hAnsi="Arial"/>
                <w:sz w:val="13"/>
                <w:szCs w:val="13"/>
                <w:color w:val="auto"/>
              </w:rPr>
              <w:t>n</w:t>
            </w:r>
          </w:p>
        </w:tc>
        <w:tc>
          <w:tcPr>
            <w:tcW w:w="4320" w:type="dxa"/>
            <w:vAlign w:val="bottom"/>
          </w:tcPr>
          <w:p>
            <w:pPr>
              <w:ind w:left="140"/>
              <w:spacing w:after="0"/>
              <w:rPr>
                <w:sz w:val="20"/>
                <w:szCs w:val="20"/>
                <w:color w:val="auto"/>
              </w:rPr>
            </w:pPr>
            <w:r>
              <w:rPr>
                <w:rFonts w:ascii="Arial" w:cs="Arial" w:eastAsia="Arial" w:hAnsi="Arial"/>
                <w:sz w:val="17"/>
                <w:szCs w:val="17"/>
                <w:color w:val="auto"/>
              </w:rPr>
              <w:t>has a material interest in a party to the contract or</w:t>
            </w:r>
          </w:p>
        </w:tc>
      </w:tr>
      <w:tr>
        <w:trPr>
          <w:trHeight w:val="202"/>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Pr>
          <w:p>
            <w:pPr>
              <w:ind w:left="180"/>
              <w:spacing w:after="0"/>
              <w:rPr>
                <w:sz w:val="20"/>
                <w:szCs w:val="20"/>
                <w:color w:val="auto"/>
              </w:rPr>
            </w:pPr>
            <w:r>
              <w:rPr>
                <w:rFonts w:ascii="Arial" w:cs="Arial" w:eastAsia="Arial" w:hAnsi="Arial"/>
                <w:sz w:val="17"/>
                <w:szCs w:val="17"/>
                <w:color w:val="auto"/>
              </w:rPr>
              <w:t>transaction.</w:t>
            </w:r>
          </w:p>
        </w:tc>
      </w:tr>
    </w:tbl>
    <w:p>
      <w:pPr>
        <w:spacing w:after="0" w:line="121" w:lineRule="exact"/>
        <w:rPr>
          <w:sz w:val="20"/>
          <w:szCs w:val="20"/>
          <w:color w:val="auto"/>
        </w:rPr>
      </w:pPr>
    </w:p>
    <w:p>
      <w:pPr>
        <w:ind w:left="1620" w:right="140"/>
        <w:spacing w:after="0" w:line="245" w:lineRule="auto"/>
        <w:rPr>
          <w:sz w:val="20"/>
          <w:szCs w:val="20"/>
          <w:color w:val="auto"/>
        </w:rPr>
      </w:pPr>
      <w:r>
        <w:rPr>
          <w:rFonts w:ascii="Arial" w:cs="Arial" w:eastAsia="Arial" w:hAnsi="Arial"/>
          <w:sz w:val="17"/>
          <w:szCs w:val="17"/>
          <w:color w:val="auto"/>
        </w:rPr>
        <w:t>Under the CBCA, directors do not have to abstain from voting on matters related to director compensation.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3" w:right="20"/>
        <w:spacing w:after="0"/>
        <w:rPr>
          <w:sz w:val="20"/>
          <w:szCs w:val="20"/>
          <w:color w:val="auto"/>
        </w:rPr>
      </w:pPr>
      <w:r>
        <w:rPr>
          <w:rFonts w:ascii="Arial" w:cs="Arial" w:eastAsia="Arial" w:hAnsi="Arial"/>
          <w:sz w:val="17"/>
          <w:szCs w:val="17"/>
          <w:color w:val="auto"/>
        </w:rPr>
        <w:t>Under the DGCL, special meetings of stockholders may be called by the board of directors or by such person or persons as may be authorized by the certificate of incorporation or the bylaws.</w:t>
      </w:r>
    </w:p>
    <w:p>
      <w:pPr>
        <w:spacing w:after="0" w:line="200" w:lineRule="exact"/>
        <w:rPr>
          <w:sz w:val="20"/>
          <w:szCs w:val="20"/>
          <w:color w:val="auto"/>
        </w:rPr>
      </w:pPr>
    </w:p>
    <w:p>
      <w:pPr>
        <w:spacing w:after="0" w:line="283" w:lineRule="exact"/>
        <w:rPr>
          <w:sz w:val="20"/>
          <w:szCs w:val="20"/>
          <w:color w:val="auto"/>
        </w:rPr>
      </w:pPr>
    </w:p>
    <w:p>
      <w:pPr>
        <w:ind w:left="3" w:right="40"/>
        <w:spacing w:after="0" w:line="255" w:lineRule="auto"/>
        <w:rPr>
          <w:sz w:val="20"/>
          <w:szCs w:val="20"/>
          <w:color w:val="auto"/>
        </w:rPr>
      </w:pPr>
      <w:r>
        <w:rPr>
          <w:rFonts w:ascii="Arial" w:cs="Arial" w:eastAsia="Arial" w:hAnsi="Arial"/>
          <w:sz w:val="16"/>
          <w:szCs w:val="16"/>
          <w:color w:val="auto"/>
        </w:rPr>
        <w:t>Under the DGCL, a certificate of incorporation may provide the board of directors with the ability to designate the terms of and issue a new class or series of preferred stock, and to issue a stockholder rights plan. Delaware corporations are subject to Delaware’s “business combination” statute. In general, such statute prohibits a corporation from engaging in any business combination transactions with an interested stockholder for a period of three years after the time that the stockholder became an interested stockholder, unless approved by the board of directors beforehand or upon satisfaction of other criteria.</w:t>
      </w:r>
    </w:p>
    <w:p>
      <w:pPr>
        <w:spacing w:after="0" w:line="226" w:lineRule="exact"/>
        <w:rPr>
          <w:sz w:val="20"/>
          <w:szCs w:val="20"/>
          <w:color w:val="auto"/>
        </w:rPr>
      </w:pPr>
    </w:p>
    <w:p>
      <w:pPr>
        <w:ind w:left="3" w:right="40"/>
        <w:spacing w:after="0" w:line="252" w:lineRule="auto"/>
        <w:rPr>
          <w:sz w:val="20"/>
          <w:szCs w:val="20"/>
          <w:color w:val="auto"/>
        </w:rPr>
      </w:pPr>
      <w:r>
        <w:rPr>
          <w:rFonts w:ascii="Arial" w:cs="Arial" w:eastAsia="Arial" w:hAnsi="Arial"/>
          <w:sz w:val="16"/>
          <w:szCs w:val="16"/>
          <w:color w:val="auto"/>
        </w:rPr>
        <w:t>Under the DGCL, a transaction in which a director of the corporation has a conflict of interest is not void or voidable solely because of the director’s conflict, solely because the director is present at or participates in the meeting of the board of directors or committee which authorizes the transaction or solely because any such director’s vote is counted for such purpose, if (a) the material facts of the conflict of interest are known to or disclosed to the board of directors or the committee and the board of directors or committee in good faith authorizes the transaction by a majority of the votes of the disinterested directors, (b) the material facts of the conflict of interest are known or disclosed to the stockholders of the corporation and the transaction is approved in good faith by the stockholders, or</w:t>
      </w:r>
    </w:p>
    <w:p>
      <w:pPr>
        <w:spacing w:after="0" w:line="5" w:lineRule="exact"/>
        <w:rPr>
          <w:sz w:val="20"/>
          <w:szCs w:val="20"/>
          <w:color w:val="auto"/>
        </w:rPr>
      </w:pPr>
    </w:p>
    <w:p>
      <w:pPr>
        <w:ind w:left="3" w:hanging="3"/>
        <w:spacing w:after="0" w:line="241" w:lineRule="auto"/>
        <w:tabs>
          <w:tab w:leader="none" w:pos="2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board of directors can demonstrate that the transaction is fair as to the corporation as of the time it is approved by the board of directors, committee or stockholders.</w:t>
      </w:r>
    </w:p>
    <w:p>
      <w:pPr>
        <w:spacing w:after="0" w:line="93" w:lineRule="exact"/>
        <w:rPr>
          <w:sz w:val="20"/>
          <w:szCs w:val="20"/>
          <w:color w:val="auto"/>
        </w:rPr>
      </w:pPr>
    </w:p>
    <w:p>
      <w:pPr>
        <w:sectPr>
          <w:pgSz w:w="11900" w:h="16838" w:orient="portrait"/>
          <w:cols w:equalWidth="0" w:num="2">
            <w:col w:w="6540" w:space="97"/>
            <w:col w:w="4763"/>
          </w:cols>
          <w:pgMar w:left="240" w:top="444" w:right="259" w:bottom="1440" w:gutter="0" w:footer="0" w:header="0"/>
          <w:type w:val="continuous"/>
        </w:sectPr>
      </w:pPr>
    </w:p>
    <w:p>
      <w:pPr>
        <w:spacing w:after="0"/>
        <w:tabs>
          <w:tab w:leader="none" w:pos="1600" w:val="left"/>
        </w:tabs>
        <w:rPr>
          <w:sz w:val="20"/>
          <w:szCs w:val="20"/>
          <w:color w:val="auto"/>
        </w:rPr>
      </w:pPr>
      <w:r>
        <w:rPr>
          <w:rFonts w:ascii="Arial" w:cs="Arial" w:eastAsia="Arial" w:hAnsi="Arial"/>
          <w:sz w:val="17"/>
          <w:szCs w:val="17"/>
          <w:color w:val="auto"/>
        </w:rPr>
        <w:t>Directors’ and</w:t>
      </w:r>
      <w:r>
        <w:rPr>
          <w:sz w:val="20"/>
          <w:szCs w:val="20"/>
          <w:color w:val="auto"/>
        </w:rPr>
        <w:tab/>
      </w:r>
      <w:r>
        <w:rPr>
          <w:rFonts w:ascii="Arial" w:cs="Arial" w:eastAsia="Arial" w:hAnsi="Arial"/>
          <w:sz w:val="16"/>
          <w:szCs w:val="16"/>
          <w:color w:val="auto"/>
        </w:rPr>
        <w:t>As permitted under the CBCA, our by-laws, subject to certain</w:t>
      </w:r>
    </w:p>
    <w:p>
      <w:pPr>
        <w:spacing w:after="0"/>
        <w:tabs>
          <w:tab w:leader="none" w:pos="1600" w:val="left"/>
        </w:tabs>
        <w:rPr>
          <w:sz w:val="20"/>
          <w:szCs w:val="20"/>
          <w:color w:val="auto"/>
        </w:rPr>
      </w:pPr>
      <w:r>
        <w:rPr>
          <w:rFonts w:ascii="Arial" w:cs="Arial" w:eastAsia="Arial" w:hAnsi="Arial"/>
          <w:sz w:val="17"/>
          <w:szCs w:val="17"/>
          <w:color w:val="auto"/>
        </w:rPr>
        <w:t>Officers’; Liability</w:t>
      </w:r>
      <w:r>
        <w:rPr>
          <w:sz w:val="20"/>
          <w:szCs w:val="20"/>
          <w:color w:val="auto"/>
        </w:rPr>
        <w:tab/>
      </w:r>
      <w:r>
        <w:rPr>
          <w:rFonts w:ascii="Arial" w:cs="Arial" w:eastAsia="Arial" w:hAnsi="Arial"/>
          <w:sz w:val="16"/>
          <w:szCs w:val="16"/>
          <w:color w:val="auto"/>
        </w:rPr>
        <w:t>limitations, require us to indemnify our directors and officers and</w:t>
      </w:r>
    </w:p>
    <w:p>
      <w:pPr>
        <w:spacing w:after="0"/>
        <w:tabs>
          <w:tab w:leader="none" w:pos="1600" w:val="left"/>
        </w:tabs>
        <w:rPr>
          <w:sz w:val="20"/>
          <w:szCs w:val="20"/>
          <w:color w:val="auto"/>
        </w:rPr>
      </w:pPr>
      <w:r>
        <w:rPr>
          <w:rFonts w:ascii="Arial" w:cs="Arial" w:eastAsia="Arial" w:hAnsi="Arial"/>
          <w:sz w:val="17"/>
          <w:szCs w:val="17"/>
          <w:color w:val="auto"/>
        </w:rPr>
        <w:t>and Indemnification</w:t>
      </w:r>
      <w:r>
        <w:rPr>
          <w:sz w:val="20"/>
          <w:szCs w:val="20"/>
          <w:color w:val="auto"/>
        </w:rPr>
        <w:tab/>
      </w:r>
      <w:r>
        <w:rPr>
          <w:rFonts w:ascii="Arial" w:cs="Arial" w:eastAsia="Arial" w:hAnsi="Arial"/>
          <w:sz w:val="16"/>
          <w:szCs w:val="16"/>
          <w:color w:val="auto"/>
        </w:rPr>
        <w:t>our former directors and officers and any persons acting, at our</w:t>
      </w:r>
    </w:p>
    <w:p>
      <w:pPr>
        <w:jc w:val="right"/>
        <w:spacing w:after="0" w:line="238" w:lineRule="auto"/>
        <w:rPr>
          <w:sz w:val="20"/>
          <w:szCs w:val="20"/>
          <w:color w:val="auto"/>
        </w:rPr>
      </w:pPr>
      <w:r>
        <w:rPr>
          <w:rFonts w:ascii="Arial" w:cs="Arial" w:eastAsia="Arial" w:hAnsi="Arial"/>
          <w:sz w:val="17"/>
          <w:szCs w:val="17"/>
          <w:color w:val="auto"/>
        </w:rPr>
        <w:t>request, as a director or officer, or in a similar capacity, of a body</w:t>
      </w:r>
    </w:p>
    <w:p>
      <w:pPr>
        <w:ind w:left="1620"/>
        <w:spacing w:after="0"/>
        <w:rPr>
          <w:sz w:val="20"/>
          <w:szCs w:val="20"/>
          <w:color w:val="auto"/>
        </w:rPr>
      </w:pPr>
      <w:r>
        <w:rPr>
          <w:rFonts w:ascii="Arial" w:cs="Arial" w:eastAsia="Arial" w:hAnsi="Arial"/>
          <w:sz w:val="17"/>
          <w:szCs w:val="17"/>
          <w:color w:val="auto"/>
        </w:rPr>
        <w:t>corporate.</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7"/>
          <w:szCs w:val="17"/>
          <w:color w:val="auto"/>
        </w:rPr>
        <w:t>Under the DGCL, a corporation has the power to indemnify any person who was, is or is threatened to be made a party to any threatened, pending or completed action, suit or proceeding, whether civil, criminal, administrative or investigative, or any person who was, is or is threatened to be made a party to any threatened, pending or completed action or suit by or in the right of the corporation to</w:t>
      </w:r>
    </w:p>
    <w:p>
      <w:pPr>
        <w:sectPr>
          <w:pgSz w:w="11900" w:h="16838" w:orient="portrait"/>
          <w:cols w:equalWidth="0" w:num="2">
            <w:col w:w="6400" w:space="240"/>
            <w:col w:w="4760"/>
          </w:cols>
          <w:pgMar w:left="240" w:top="444" w:right="259" w:bottom="1440" w:gutter="0" w:footer="0" w:header="0"/>
          <w:type w:val="continuous"/>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4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Arial" w:cs="Arial" w:eastAsia="Arial" w:hAnsi="Arial"/>
                <w:sz w:val="17"/>
                <w:szCs w:val="17"/>
                <w:color w:val="auto"/>
              </w:rPr>
              <w:t>Dissent or</w:t>
            </w:r>
          </w:p>
        </w:tc>
        <w:tc>
          <w:tcPr>
            <w:tcW w:w="5100" w:type="dxa"/>
            <w:vAlign w:val="bottom"/>
            <w:gridSpan w:val="2"/>
          </w:tcPr>
          <w:p>
            <w:pPr>
              <w:ind w:left="200"/>
              <w:spacing w:after="0"/>
              <w:rPr>
                <w:sz w:val="20"/>
                <w:szCs w:val="20"/>
                <w:color w:val="auto"/>
              </w:rPr>
            </w:pPr>
            <w:r>
              <w:rPr>
                <w:rFonts w:ascii="Arial" w:cs="Arial" w:eastAsia="Arial" w:hAnsi="Arial"/>
                <w:sz w:val="17"/>
                <w:szCs w:val="17"/>
                <w:color w:val="auto"/>
              </w:rPr>
              <w:t>Under the CBCA dissenters’ rights are generally only available in</w:t>
            </w:r>
          </w:p>
        </w:tc>
        <w:tc>
          <w:tcPr>
            <w:tcW w:w="0" w:type="dxa"/>
            <w:vAlign w:val="bottom"/>
          </w:tcPr>
          <w:p>
            <w:pPr>
              <w:spacing w:after="0"/>
              <w:rPr>
                <w:sz w:val="1"/>
                <w:szCs w:val="1"/>
                <w:color w:val="auto"/>
              </w:rPr>
            </w:pPr>
          </w:p>
        </w:tc>
      </w:tr>
      <w:tr>
        <w:trPr>
          <w:trHeight w:val="194"/>
        </w:trPr>
        <w:tc>
          <w:tcPr>
            <w:tcW w:w="1420" w:type="dxa"/>
            <w:vAlign w:val="bottom"/>
          </w:tcPr>
          <w:p>
            <w:pPr>
              <w:spacing w:after="0" w:line="194" w:lineRule="exact"/>
              <w:rPr>
                <w:sz w:val="20"/>
                <w:szCs w:val="20"/>
                <w:color w:val="auto"/>
              </w:rPr>
            </w:pPr>
            <w:r>
              <w:rPr>
                <w:rFonts w:ascii="Arial" w:cs="Arial" w:eastAsia="Arial" w:hAnsi="Arial"/>
                <w:sz w:val="17"/>
                <w:szCs w:val="17"/>
                <w:color w:val="auto"/>
              </w:rPr>
              <w:t>Dissenters’</w:t>
            </w:r>
          </w:p>
        </w:tc>
        <w:tc>
          <w:tcPr>
            <w:tcW w:w="5100" w:type="dxa"/>
            <w:vAlign w:val="bottom"/>
            <w:gridSpan w:val="2"/>
          </w:tcPr>
          <w:p>
            <w:pPr>
              <w:ind w:left="200"/>
              <w:spacing w:after="0" w:line="194" w:lineRule="exact"/>
              <w:rPr>
                <w:sz w:val="20"/>
                <w:szCs w:val="20"/>
                <w:color w:val="auto"/>
              </w:rPr>
            </w:pPr>
            <w:r>
              <w:rPr>
                <w:rFonts w:ascii="Arial" w:cs="Arial" w:eastAsia="Arial" w:hAnsi="Arial"/>
                <w:sz w:val="17"/>
                <w:szCs w:val="17"/>
                <w:color w:val="auto"/>
              </w:rPr>
              <w:t>connection with:</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20"/>
                <w:szCs w:val="20"/>
                <w:color w:val="auto"/>
              </w:rPr>
            </w:pPr>
            <w:r>
              <w:rPr>
                <w:rFonts w:ascii="Arial" w:cs="Arial" w:eastAsia="Arial" w:hAnsi="Arial"/>
                <w:sz w:val="17"/>
                <w:szCs w:val="17"/>
                <w:color w:val="auto"/>
              </w:rPr>
              <w:t>Appraisal Rights</w:t>
            </w:r>
          </w:p>
        </w:tc>
        <w:tc>
          <w:tcPr>
            <w:tcW w:w="800" w:type="dxa"/>
            <w:vAlign w:val="bottom"/>
            <w:vMerge w:val="restart"/>
          </w:tcPr>
          <w:p>
            <w:pPr>
              <w:ind w:left="580"/>
              <w:spacing w:after="0"/>
              <w:rPr>
                <w:sz w:val="20"/>
                <w:szCs w:val="20"/>
                <w:color w:val="auto"/>
              </w:rPr>
            </w:pPr>
            <w:r>
              <w:rPr>
                <w:rFonts w:ascii="Arial" w:cs="Arial" w:eastAsia="Arial" w:hAnsi="Arial"/>
                <w:sz w:val="13"/>
                <w:szCs w:val="13"/>
                <w:color w:val="auto"/>
              </w:rPr>
              <w:t>n</w:t>
            </w:r>
          </w:p>
        </w:tc>
        <w:tc>
          <w:tcPr>
            <w:tcW w:w="4300" w:type="dxa"/>
            <w:vAlign w:val="bottom"/>
            <w:vMerge w:val="restart"/>
          </w:tcPr>
          <w:p>
            <w:pPr>
              <w:ind w:left="140"/>
              <w:spacing w:after="0"/>
              <w:rPr>
                <w:sz w:val="20"/>
                <w:szCs w:val="20"/>
                <w:color w:val="auto"/>
              </w:rPr>
            </w:pPr>
            <w:r>
              <w:rPr>
                <w:rFonts w:ascii="Arial" w:cs="Arial" w:eastAsia="Arial" w:hAnsi="Arial"/>
                <w:sz w:val="17"/>
                <w:szCs w:val="17"/>
                <w:color w:val="auto"/>
              </w:rPr>
              <w:t>any amalgamation with another corporation (other than</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with certain affiliated corporations);</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w w:val="98"/>
              </w:rPr>
              <w:t>an amendment to our articles to add, change or remove</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rPr>
              <w:t>any provisions restricting or constraining the issue or</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rPr>
              <w:t>transfer of shares of the class in respect of which a</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shareholder is dissenting;</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w w:val="98"/>
              </w:rPr>
              <w:t>an amendment to our articles to add, change or remove</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w w:val="98"/>
              </w:rPr>
              <w:t>any restriction upon the business or businesses that we</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may carry on;</w:t>
            </w: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rPr>
              <w:t>a continuance under the laws of another jurisdiction;</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rPr>
              <w:t>a sale, lease or exchange of all, or substantially all, of</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rPr>
              <w:t>our property other than in the ordinary course of</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business;</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rPr>
              <w:t>the carrying out of a going-private or a squeeze-out</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transaction;</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rPr>
              <w:t>a court order permitting a shareholder to dissent in</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rPr>
              <w:t>connection with an application to the court for an order</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approving an arrangement proposed by us; and</w:t>
            </w: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3"/>
                <w:szCs w:val="13"/>
                <w:color w:val="auto"/>
              </w:rPr>
              <w:t>n</w:t>
            </w:r>
          </w:p>
        </w:tc>
        <w:tc>
          <w:tcPr>
            <w:tcW w:w="4300" w:type="dxa"/>
            <w:vAlign w:val="bottom"/>
          </w:tcPr>
          <w:p>
            <w:pPr>
              <w:ind w:left="140"/>
              <w:spacing w:after="0"/>
              <w:rPr>
                <w:sz w:val="20"/>
                <w:szCs w:val="20"/>
                <w:color w:val="auto"/>
              </w:rPr>
            </w:pPr>
            <w:r>
              <w:rPr>
                <w:rFonts w:ascii="Arial" w:cs="Arial" w:eastAsia="Arial" w:hAnsi="Arial"/>
                <w:sz w:val="17"/>
                <w:szCs w:val="17"/>
                <w:color w:val="auto"/>
              </w:rPr>
              <w:t>certain amendments to our articles which require a</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00" w:type="dxa"/>
            <w:vAlign w:val="bottom"/>
          </w:tcPr>
          <w:p>
            <w:pPr>
              <w:ind w:left="180"/>
              <w:spacing w:after="0" w:line="194" w:lineRule="exact"/>
              <w:rPr>
                <w:sz w:val="20"/>
                <w:szCs w:val="20"/>
                <w:color w:val="auto"/>
              </w:rPr>
            </w:pPr>
            <w:r>
              <w:rPr>
                <w:rFonts w:ascii="Arial" w:cs="Arial" w:eastAsia="Arial" w:hAnsi="Arial"/>
                <w:sz w:val="17"/>
                <w:szCs w:val="17"/>
                <w:color w:val="auto"/>
              </w:rPr>
              <w:t>separate class or series vote by a holder of shares of</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any class or series.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procure a judgment in its favor, in each case by reason of the fact that the person is or was a director, officer, employee or agent of the corporation, against expenses, judgments, fines and amounts paid in settlement actually and reasonably incurred by the person in connection with such action, suit or proceeding if the person acted in good faith and in a manner the person reasonably believed to be in or not opposed to the best interest of the corporation, and subject to certain other limitations.</w:t>
      </w:r>
    </w:p>
    <w:p>
      <w:pPr>
        <w:spacing w:after="0" w:line="10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Under the DGCL, dissenters’ rights are generally only available in connection with cash mergers or mergers where the target stockholders hold stock other than stock of a widely held corporation.</w:t>
      </w:r>
    </w:p>
    <w:p>
      <w:pPr>
        <w:spacing w:after="0" w:line="4096" w:lineRule="exact"/>
        <w:rPr>
          <w:sz w:val="20"/>
          <w:szCs w:val="20"/>
          <w:color w:val="auto"/>
        </w:rPr>
      </w:pPr>
    </w:p>
    <w:p>
      <w:pPr>
        <w:sectPr>
          <w:pgSz w:w="11900" w:h="16838" w:orient="portrait"/>
          <w:cols w:equalWidth="0" w:num="2">
            <w:col w:w="6520" w:space="120"/>
            <w:col w:w="4760"/>
          </w:cols>
          <w:pgMar w:left="240" w:top="444" w:right="259" w:bottom="1440" w:gutter="0" w:footer="0" w:header="0"/>
          <w:type w:val="continuous"/>
        </w:sectPr>
      </w:pPr>
    </w:p>
    <w:p>
      <w:pPr>
        <w:spacing w:after="0"/>
        <w:tabs>
          <w:tab w:leader="none" w:pos="1600" w:val="left"/>
        </w:tabs>
        <w:rPr>
          <w:sz w:val="20"/>
          <w:szCs w:val="20"/>
          <w:color w:val="auto"/>
        </w:rPr>
      </w:pPr>
      <w:r>
        <w:rPr>
          <w:rFonts w:ascii="Arial" w:cs="Arial" w:eastAsia="Arial" w:hAnsi="Arial"/>
          <w:sz w:val="16"/>
          <w:szCs w:val="16"/>
          <w:color w:val="auto"/>
        </w:rPr>
        <w:t>Oppression</w:t>
      </w:r>
      <w:r>
        <w:rPr>
          <w:sz w:val="20"/>
          <w:szCs w:val="20"/>
          <w:color w:val="auto"/>
        </w:rPr>
        <w:tab/>
      </w:r>
      <w:r>
        <w:rPr>
          <w:rFonts w:ascii="Arial" w:cs="Arial" w:eastAsia="Arial" w:hAnsi="Arial"/>
          <w:sz w:val="16"/>
          <w:szCs w:val="16"/>
          <w:color w:val="auto"/>
        </w:rPr>
        <w:t>The CBCA provides an oppression remedy that enables a court to  The DGCL does not expressly provide for a similar remedy.</w:t>
      </w:r>
    </w:p>
    <w:p>
      <w:pPr>
        <w:spacing w:after="0" w:line="8"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Remedy</w:t>
      </w:r>
      <w:r>
        <w:rPr>
          <w:sz w:val="20"/>
          <w:szCs w:val="20"/>
          <w:color w:val="auto"/>
        </w:rPr>
        <w:tab/>
      </w:r>
      <w:r>
        <w:rPr>
          <w:rFonts w:ascii="Arial" w:cs="Arial" w:eastAsia="Arial" w:hAnsi="Arial"/>
          <w:sz w:val="17"/>
          <w:szCs w:val="17"/>
          <w:color w:val="auto"/>
        </w:rPr>
        <w:t>make any order, whether interim or final, to rectify matters that are</w:t>
      </w:r>
    </w:p>
    <w:p>
      <w:pPr>
        <w:ind w:left="1620"/>
        <w:spacing w:after="0" w:line="237" w:lineRule="auto"/>
        <w:rPr>
          <w:sz w:val="20"/>
          <w:szCs w:val="20"/>
          <w:color w:val="auto"/>
        </w:rPr>
      </w:pPr>
      <w:r>
        <w:rPr>
          <w:rFonts w:ascii="Arial" w:cs="Arial" w:eastAsia="Arial" w:hAnsi="Arial"/>
          <w:sz w:val="17"/>
          <w:szCs w:val="17"/>
          <w:color w:val="auto"/>
        </w:rPr>
        <w:t>oppressive or unfairly prejudicial to or that unfairly disregard the</w:t>
      </w:r>
    </w:p>
    <w:p>
      <w:pPr>
        <w:ind w:left="1620"/>
        <w:spacing w:after="0" w:line="238" w:lineRule="auto"/>
        <w:rPr>
          <w:sz w:val="20"/>
          <w:szCs w:val="20"/>
          <w:color w:val="auto"/>
        </w:rPr>
      </w:pPr>
      <w:r>
        <w:rPr>
          <w:rFonts w:ascii="Arial" w:cs="Arial" w:eastAsia="Arial" w:hAnsi="Arial"/>
          <w:sz w:val="17"/>
          <w:szCs w:val="17"/>
          <w:color w:val="auto"/>
        </w:rPr>
        <w:t>interests of any of our securityholders, creditors, directors or</w:t>
      </w:r>
    </w:p>
    <w:p>
      <w:pPr>
        <w:ind w:left="1620"/>
        <w:spacing w:after="0"/>
        <w:rPr>
          <w:sz w:val="20"/>
          <w:szCs w:val="20"/>
          <w:color w:val="auto"/>
        </w:rPr>
      </w:pPr>
      <w:r>
        <w:rPr>
          <w:rFonts w:ascii="Arial" w:cs="Arial" w:eastAsia="Arial" w:hAnsi="Arial"/>
          <w:sz w:val="17"/>
          <w:szCs w:val="17"/>
          <w:color w:val="auto"/>
        </w:rPr>
        <w:t>officers if an application is made to a court by a “complainant”.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400"/>
          </w:cols>
          <w:pgMar w:left="240" w:top="444" w:right="259" w:bottom="1440" w:gutter="0" w:footer="0" w:header="0"/>
          <w:type w:val="continuous"/>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00"/>
          </w:cols>
          <w:pgMar w:left="240" w:top="444" w:right="2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1620" w:right="240"/>
        <w:spacing w:after="0" w:line="245" w:lineRule="auto"/>
        <w:rPr>
          <w:sz w:val="20"/>
          <w:szCs w:val="20"/>
          <w:color w:val="auto"/>
        </w:rPr>
      </w:pPr>
      <w:r>
        <w:rPr>
          <w:rFonts w:ascii="Arial" w:cs="Arial" w:eastAsia="Arial" w:hAnsi="Arial"/>
          <w:sz w:val="17"/>
          <w:szCs w:val="17"/>
          <w:color w:val="auto"/>
        </w:rPr>
        <w:t>A “complainant” with respect to a corporation means any of the following:</w:t>
      </w:r>
    </w:p>
    <w:p>
      <w:pPr>
        <w:spacing w:after="0" w:line="115"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a present or former registered holder or beneficial</w:t>
      </w:r>
    </w:p>
    <w:p>
      <w:pPr>
        <w:ind w:left="2400"/>
        <w:spacing w:after="0" w:line="237" w:lineRule="auto"/>
        <w:rPr>
          <w:sz w:val="20"/>
          <w:szCs w:val="20"/>
          <w:color w:val="auto"/>
        </w:rPr>
      </w:pPr>
      <w:r>
        <w:rPr>
          <w:rFonts w:ascii="Arial" w:cs="Arial" w:eastAsia="Arial" w:hAnsi="Arial"/>
          <w:sz w:val="17"/>
          <w:szCs w:val="17"/>
          <w:color w:val="auto"/>
        </w:rPr>
        <w:t>owner of securities of the corporation or any of its</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affiliates;</w:t>
      </w:r>
    </w:p>
    <w:p>
      <w:pPr>
        <w:spacing w:after="0" w:line="22"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a present or former officer or director of the corporation</w:t>
      </w:r>
    </w:p>
    <w:p>
      <w:pPr>
        <w:ind w:left="2400"/>
        <w:spacing w:after="0"/>
        <w:rPr>
          <w:sz w:val="20"/>
          <w:szCs w:val="20"/>
          <w:color w:val="auto"/>
        </w:rPr>
      </w:pPr>
      <w:r>
        <w:rPr>
          <w:rFonts w:ascii="Arial" w:cs="Arial" w:eastAsia="Arial" w:hAnsi="Arial"/>
          <w:sz w:val="17"/>
          <w:szCs w:val="17"/>
          <w:color w:val="auto"/>
        </w:rPr>
        <w:t>or any of its affiliates;</w:t>
      </w:r>
    </w:p>
    <w:p>
      <w:pPr>
        <w:spacing w:after="0" w:line="24"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2"/>
          <w:szCs w:val="12"/>
          <w:color w:val="auto"/>
        </w:rPr>
        <w:t>n</w:t>
      </w:r>
      <w:r>
        <w:rPr>
          <w:sz w:val="20"/>
          <w:szCs w:val="20"/>
          <w:color w:val="auto"/>
        </w:rPr>
        <w:tab/>
      </w:r>
      <w:r>
        <w:rPr>
          <w:rFonts w:ascii="Arial" w:cs="Arial" w:eastAsia="Arial" w:hAnsi="Arial"/>
          <w:sz w:val="16"/>
          <w:szCs w:val="16"/>
          <w:color w:val="auto"/>
        </w:rPr>
        <w:t>the director responsible for the application of the CBCA;</w:t>
      </w:r>
    </w:p>
    <w:p>
      <w:pPr>
        <w:spacing w:after="0" w:line="10"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and</w:t>
      </w:r>
    </w:p>
    <w:p>
      <w:pPr>
        <w:spacing w:after="0" w:line="22"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any other person who in the discretion of the court is a</w:t>
      </w:r>
    </w:p>
    <w:p>
      <w:pPr>
        <w:ind w:left="2400"/>
        <w:spacing w:after="0"/>
        <w:rPr>
          <w:sz w:val="20"/>
          <w:szCs w:val="20"/>
          <w:color w:val="auto"/>
        </w:rPr>
      </w:pPr>
      <w:r>
        <w:rPr>
          <w:rFonts w:ascii="Arial" w:cs="Arial" w:eastAsia="Arial" w:hAnsi="Arial"/>
          <w:sz w:val="17"/>
          <w:szCs w:val="17"/>
          <w:color w:val="auto"/>
        </w:rPr>
        <w:t>proper person to make the application.</w:t>
      </w:r>
    </w:p>
    <w:p>
      <w:pPr>
        <w:spacing w:after="0" w:line="76" w:lineRule="exact"/>
        <w:rPr>
          <w:sz w:val="20"/>
          <w:szCs w:val="20"/>
          <w:color w:val="auto"/>
        </w:rPr>
      </w:pPr>
    </w:p>
    <w:p>
      <w:pPr>
        <w:ind w:left="1620" w:right="260"/>
        <w:spacing w:after="0" w:line="238" w:lineRule="auto"/>
        <w:rPr>
          <w:sz w:val="20"/>
          <w:szCs w:val="20"/>
          <w:color w:val="auto"/>
        </w:rPr>
      </w:pPr>
      <w:r>
        <w:rPr>
          <w:rFonts w:ascii="Arial" w:cs="Arial" w:eastAsia="Arial" w:hAnsi="Arial"/>
          <w:sz w:val="17"/>
          <w:szCs w:val="17"/>
          <w:color w:val="auto"/>
        </w:rPr>
        <w:t>The oppression remedy provides the court with very broad and flexible powers to intervene in corporate affairs to protect our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w:t>
      </w:r>
    </w:p>
    <w:p>
      <w:pPr>
        <w:spacing w:after="0" w:line="112"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Shareholder</w:t>
      </w:r>
      <w:r>
        <w:rPr>
          <w:sz w:val="20"/>
          <w:szCs w:val="20"/>
          <w:color w:val="auto"/>
        </w:rPr>
        <w:tab/>
      </w:r>
      <w:r>
        <w:rPr>
          <w:rFonts w:ascii="Arial" w:cs="Arial" w:eastAsia="Arial" w:hAnsi="Arial"/>
          <w:sz w:val="17"/>
          <w:szCs w:val="17"/>
          <w:color w:val="auto"/>
        </w:rPr>
        <w:t>Under the CBCA, a complainant may also apply to a Canadian</w:t>
      </w:r>
    </w:p>
    <w:p>
      <w:pPr>
        <w:spacing w:after="0"/>
        <w:tabs>
          <w:tab w:leader="none" w:pos="1600" w:val="left"/>
        </w:tabs>
        <w:rPr>
          <w:sz w:val="20"/>
          <w:szCs w:val="20"/>
          <w:color w:val="auto"/>
        </w:rPr>
      </w:pPr>
      <w:r>
        <w:rPr>
          <w:rFonts w:ascii="Arial" w:cs="Arial" w:eastAsia="Arial" w:hAnsi="Arial"/>
          <w:sz w:val="17"/>
          <w:szCs w:val="17"/>
          <w:color w:val="auto"/>
        </w:rPr>
        <w:t>Derivative Actions</w:t>
      </w:r>
      <w:r>
        <w:rPr>
          <w:sz w:val="20"/>
          <w:szCs w:val="20"/>
          <w:color w:val="auto"/>
        </w:rPr>
        <w:tab/>
      </w:r>
      <w:r>
        <w:rPr>
          <w:rFonts w:ascii="Arial" w:cs="Arial" w:eastAsia="Arial" w:hAnsi="Arial"/>
          <w:sz w:val="16"/>
          <w:szCs w:val="16"/>
          <w:color w:val="auto"/>
        </w:rPr>
        <w:t>court for leave to bring an action in the name of, and on behalf of</w:t>
      </w:r>
    </w:p>
    <w:p>
      <w:pPr>
        <w:jc w:val="right"/>
        <w:spacing w:after="0" w:line="238" w:lineRule="auto"/>
        <w:rPr>
          <w:sz w:val="20"/>
          <w:szCs w:val="20"/>
          <w:color w:val="auto"/>
        </w:rPr>
      </w:pPr>
      <w:r>
        <w:rPr>
          <w:rFonts w:ascii="Arial" w:cs="Arial" w:eastAsia="Arial" w:hAnsi="Arial"/>
          <w:sz w:val="17"/>
          <w:szCs w:val="17"/>
          <w:color w:val="auto"/>
        </w:rPr>
        <w:t>us, or to intervene in an existing action to which we are a party, for</w:t>
      </w:r>
    </w:p>
    <w:p>
      <w:pPr>
        <w:ind w:left="1620"/>
        <w:spacing w:after="0" w:line="238" w:lineRule="auto"/>
        <w:rPr>
          <w:sz w:val="20"/>
          <w:szCs w:val="20"/>
          <w:color w:val="auto"/>
        </w:rPr>
      </w:pPr>
      <w:r>
        <w:rPr>
          <w:rFonts w:ascii="Arial" w:cs="Arial" w:eastAsia="Arial" w:hAnsi="Arial"/>
          <w:sz w:val="17"/>
          <w:szCs w:val="17"/>
          <w:color w:val="auto"/>
        </w:rPr>
        <w:t>the purpose of prosecuting, defending or discontinuing an action</w:t>
      </w:r>
    </w:p>
    <w:p>
      <w:pPr>
        <w:ind w:left="1620"/>
        <w:spacing w:after="0"/>
        <w:rPr>
          <w:sz w:val="20"/>
          <w:szCs w:val="20"/>
          <w:color w:val="auto"/>
        </w:rPr>
      </w:pPr>
      <w:r>
        <w:rPr>
          <w:rFonts w:ascii="Arial" w:cs="Arial" w:eastAsia="Arial" w:hAnsi="Arial"/>
          <w:sz w:val="16"/>
          <w:szCs w:val="16"/>
          <w:color w:val="auto"/>
        </w:rPr>
        <w:t>on our behalf. Under the CBCA, no action may be brought and no</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intervention in an action may be made unless a court is satisfied</w:t>
      </w:r>
    </w:p>
    <w:p>
      <w:pPr>
        <w:ind w:left="1620"/>
        <w:spacing w:after="0"/>
        <w:rPr>
          <w:sz w:val="20"/>
          <w:szCs w:val="20"/>
          <w:color w:val="auto"/>
        </w:rPr>
      </w:pPr>
      <w:r>
        <w:rPr>
          <w:rFonts w:ascii="Arial" w:cs="Arial" w:eastAsia="Arial" w:hAnsi="Arial"/>
          <w:sz w:val="17"/>
          <w:szCs w:val="17"/>
          <w:color w:val="auto"/>
        </w:rPr>
        <w:t>that:</w:t>
      </w:r>
    </w:p>
    <w:p>
      <w:pPr>
        <w:spacing w:after="0" w:line="125"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the complainant has given the required notice to our</w:t>
      </w:r>
    </w:p>
    <w:p>
      <w:pPr>
        <w:ind w:left="2400"/>
        <w:spacing w:after="0" w:line="237" w:lineRule="auto"/>
        <w:rPr>
          <w:sz w:val="20"/>
          <w:szCs w:val="20"/>
          <w:color w:val="auto"/>
        </w:rPr>
      </w:pPr>
      <w:r>
        <w:rPr>
          <w:rFonts w:ascii="Arial" w:cs="Arial" w:eastAsia="Arial" w:hAnsi="Arial"/>
          <w:sz w:val="17"/>
          <w:szCs w:val="17"/>
          <w:color w:val="auto"/>
        </w:rPr>
        <w:t>board of directors of the shareholder’s intention to</w:t>
      </w:r>
    </w:p>
    <w:p>
      <w:pPr>
        <w:ind w:left="2400"/>
        <w:spacing w:after="0" w:line="238" w:lineRule="auto"/>
        <w:rPr>
          <w:sz w:val="20"/>
          <w:szCs w:val="20"/>
          <w:color w:val="auto"/>
        </w:rPr>
      </w:pPr>
      <w:r>
        <w:rPr>
          <w:rFonts w:ascii="Arial" w:cs="Arial" w:eastAsia="Arial" w:hAnsi="Arial"/>
          <w:sz w:val="17"/>
          <w:szCs w:val="17"/>
          <w:color w:val="auto"/>
        </w:rPr>
        <w:t>apply to the court if our board of directors does not</w:t>
      </w:r>
    </w:p>
    <w:p>
      <w:pPr>
        <w:ind w:left="2400"/>
        <w:spacing w:after="0" w:line="238" w:lineRule="auto"/>
        <w:rPr>
          <w:sz w:val="20"/>
          <w:szCs w:val="20"/>
          <w:color w:val="auto"/>
        </w:rPr>
      </w:pPr>
      <w:r>
        <w:rPr>
          <w:rFonts w:ascii="Arial" w:cs="Arial" w:eastAsia="Arial" w:hAnsi="Arial"/>
          <w:sz w:val="17"/>
          <w:szCs w:val="17"/>
          <w:color w:val="auto"/>
        </w:rPr>
        <w:t>bring, diligently prosecute or defend or discontinue the</w:t>
      </w:r>
    </w:p>
    <w:p>
      <w:pPr>
        <w:ind w:left="2400"/>
        <w:spacing w:after="0"/>
        <w:rPr>
          <w:sz w:val="20"/>
          <w:szCs w:val="20"/>
          <w:color w:val="auto"/>
        </w:rPr>
      </w:pPr>
      <w:r>
        <w:rPr>
          <w:rFonts w:ascii="Arial" w:cs="Arial" w:eastAsia="Arial" w:hAnsi="Arial"/>
          <w:sz w:val="17"/>
          <w:szCs w:val="17"/>
          <w:color w:val="auto"/>
        </w:rPr>
        <w:t>action;</w:t>
      </w:r>
    </w:p>
    <w:p>
      <w:pPr>
        <w:spacing w:after="0" w:line="24"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the complainant is acting in good faith; and</w:t>
      </w:r>
    </w:p>
    <w:p>
      <w:pPr>
        <w:spacing w:after="0" w:line="22" w:lineRule="exact"/>
        <w:rPr>
          <w:sz w:val="20"/>
          <w:szCs w:val="20"/>
          <w:color w:val="auto"/>
        </w:rPr>
      </w:pPr>
    </w:p>
    <w:p>
      <w:pPr>
        <w:ind w:left="2000"/>
        <w:spacing w:after="0"/>
        <w:tabs>
          <w:tab w:leader="none" w:pos="2340" w:val="left"/>
        </w:tabs>
        <w:rPr>
          <w:sz w:val="20"/>
          <w:szCs w:val="20"/>
          <w:color w:val="auto"/>
        </w:rPr>
      </w:pPr>
      <w:r>
        <w:rPr>
          <w:rFonts w:ascii="Arial" w:cs="Arial" w:eastAsia="Arial" w:hAnsi="Arial"/>
          <w:sz w:val="13"/>
          <w:szCs w:val="13"/>
          <w:color w:val="auto"/>
        </w:rPr>
        <w:t>n</w:t>
      </w:r>
      <w:r>
        <w:rPr>
          <w:sz w:val="20"/>
          <w:szCs w:val="20"/>
          <w:color w:val="auto"/>
        </w:rPr>
        <w:tab/>
      </w:r>
      <w:r>
        <w:rPr>
          <w:rFonts w:ascii="Arial" w:cs="Arial" w:eastAsia="Arial" w:hAnsi="Arial"/>
          <w:sz w:val="17"/>
          <w:szCs w:val="17"/>
          <w:color w:val="auto"/>
        </w:rPr>
        <w:t>it appears to be in our interests or the interest of the</w:t>
      </w:r>
    </w:p>
    <w:p>
      <w:pPr>
        <w:ind w:left="2400" w:right="720"/>
        <w:spacing w:after="0" w:line="275" w:lineRule="auto"/>
        <w:rPr>
          <w:sz w:val="20"/>
          <w:szCs w:val="20"/>
          <w:color w:val="auto"/>
        </w:rPr>
      </w:pPr>
      <w:r>
        <w:rPr>
          <w:rFonts w:ascii="Arial" w:cs="Arial" w:eastAsia="Arial" w:hAnsi="Arial"/>
          <w:sz w:val="16"/>
          <w:szCs w:val="16"/>
          <w:color w:val="auto"/>
        </w:rPr>
        <w:t>relevant subsidiary that the action be brought, prosecuted, defended or discontinued.</w:t>
      </w:r>
    </w:p>
    <w:p>
      <w:pPr>
        <w:spacing w:after="0" w:line="95" w:lineRule="exact"/>
        <w:rPr>
          <w:sz w:val="20"/>
          <w:szCs w:val="20"/>
          <w:color w:val="auto"/>
        </w:rPr>
      </w:pPr>
    </w:p>
    <w:p>
      <w:pPr>
        <w:ind w:left="1620" w:right="200"/>
        <w:spacing w:after="0" w:line="245" w:lineRule="auto"/>
        <w:rPr>
          <w:sz w:val="20"/>
          <w:szCs w:val="20"/>
          <w:color w:val="auto"/>
        </w:rPr>
      </w:pPr>
      <w:r>
        <w:rPr>
          <w:rFonts w:ascii="Arial" w:cs="Arial" w:eastAsia="Arial" w:hAnsi="Arial"/>
          <w:sz w:val="17"/>
          <w:szCs w:val="17"/>
          <w:color w:val="auto"/>
        </w:rPr>
        <w:t>Under the CBCA, the court in a derivative action may make any order it thinks fit.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DGCL, stockholders may bring derivative 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w:t>
      </w:r>
    </w:p>
    <w:p>
      <w:pPr>
        <w:sectPr>
          <w:pgSz w:w="11900" w:h="16838" w:orient="portrait"/>
          <w:cols w:equalWidth="0" w:num="2">
            <w:col w:w="6520" w:space="120"/>
            <w:col w:w="4760"/>
          </w:cols>
          <w:pgMar w:left="240" w:top="444" w:right="259" w:bottom="1440" w:gutter="0" w:footer="0" w:header="0"/>
          <w:type w:val="continuous"/>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360"/>
          </w:cols>
          <w:pgMar w:left="240" w:top="445" w:right="299" w:bottom="1440" w:gutter="0" w:footer="0" w:header="0"/>
        </w:sectPr>
      </w:pPr>
    </w:p>
    <w:p>
      <w:pPr>
        <w:spacing w:after="0" w:line="337"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Generally, at least 25% of the directors of a CBCA corporation</w:t>
      </w:r>
    </w:p>
    <w:p>
      <w:pPr>
        <w:spacing w:after="0" w:line="237" w:lineRule="auto"/>
        <w:tabs>
          <w:tab w:leader="none" w:pos="1600" w:val="left"/>
        </w:tabs>
        <w:rPr>
          <w:sz w:val="20"/>
          <w:szCs w:val="20"/>
          <w:color w:val="auto"/>
        </w:rPr>
      </w:pPr>
      <w:r>
        <w:rPr>
          <w:rFonts w:ascii="Arial" w:cs="Arial" w:eastAsia="Arial" w:hAnsi="Arial"/>
          <w:sz w:val="17"/>
          <w:szCs w:val="17"/>
          <w:color w:val="auto"/>
        </w:rPr>
        <w:t>Qualification</w:t>
      </w:r>
      <w:r>
        <w:rPr>
          <w:sz w:val="20"/>
          <w:szCs w:val="20"/>
          <w:color w:val="auto"/>
        </w:rPr>
        <w:tab/>
      </w:r>
      <w:r>
        <w:rPr>
          <w:rFonts w:ascii="Arial" w:cs="Arial" w:eastAsia="Arial" w:hAnsi="Arial"/>
          <w:sz w:val="17"/>
          <w:szCs w:val="17"/>
          <w:color w:val="auto"/>
        </w:rPr>
        <w:t>must be resident Canadians. Furthermore, under the CBCA, no</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business may be transacted at a meeting of our board of directors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unless 25% of the directors present, or able to provide approval of</w:t>
      </w:r>
    </w:p>
    <w:p>
      <w:pPr>
        <w:ind w:left="1620"/>
        <w:spacing w:after="0"/>
        <w:rPr>
          <w:sz w:val="20"/>
          <w:szCs w:val="20"/>
          <w:color w:val="auto"/>
        </w:rPr>
      </w:pPr>
      <w:r>
        <w:rPr>
          <w:rFonts w:ascii="Arial" w:cs="Arial" w:eastAsia="Arial" w:hAnsi="Arial"/>
          <w:sz w:val="16"/>
          <w:szCs w:val="16"/>
          <w:color w:val="auto"/>
        </w:rPr>
        <w:t>the business transacted at the meeting in writing, by telephone or</w:t>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other means of communication, are resident Canadians.</w:t>
      </w:r>
    </w:p>
    <w:p>
      <w:pPr>
        <w:spacing w:after="0" w:line="14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DGCL does not have director residency requirements although a corporation may prescribe qualifications for directors under its certificate of incorporation or bylaws.</w:t>
      </w:r>
    </w:p>
    <w:p>
      <w:pPr>
        <w:sectPr>
          <w:pgSz w:w="11900" w:h="16838" w:orient="portrait"/>
          <w:cols w:equalWidth="0" w:num="2">
            <w:col w:w="6520" w:space="120"/>
            <w:col w:w="4720"/>
          </w:cols>
          <w:pgMar w:left="240" w:top="445" w:right="299" w:bottom="1440" w:gutter="0" w:footer="0" w:header="0"/>
          <w:type w:val="continuous"/>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Prior to this offering, there has been no public market for our common shares, and although our common shares have been approved for listing on The NASDAQ Global Market, we cannot assure investors that there will be an active public market for our common shares following this offering. We cannot predict what effect, if any, sales of our shares in the public market or the availability of shares for sale will have on the market price of our common shares. Future sales of substantial amounts of common shares in the public market, including shares issued upon exercise of outstanding options, or the perception that such sales may occur, however, could adversely affect the market price of our common shares and also could adversely affect our future ability to raise capital through the sale of our common shares or other equity-related securities of ours at times and prices we believe appropriate.</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Upon completion of this offering and the concurrent private placement, based on our shares outstanding as of September 30, 2014 and after giving effect to the conversion of all outstanding convertible preferred shares and the conversion of all subscription rights, 13,580,716 of our common shares will be outstanding, or 14,180,716 common shares if the underwriters exercise their option to purchase additional common shares in full. All of the common shares to be sold in this offering, including the common shares sold to Teva or its affiliate, will be freely tradable without restriction or further registration under the Securities Act of 1933, as amended, or the Securities Act, unless held by our “affiliates,” as that term is defined in Rule 144 under the Securities Act. The remaining 9,085,716 outstanding common shares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0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common shares, the common shares that will be deemed “restricted securities” will be available for sale in the public market following the completion of this offering as follows:</w:t>
      </w:r>
    </w:p>
    <w:p>
      <w:pPr>
        <w:spacing w:after="0" w:line="24" w:lineRule="exact"/>
        <w:rPr>
          <w:sz w:val="20"/>
          <w:szCs w:val="20"/>
          <w:color w:val="auto"/>
        </w:rPr>
      </w:pPr>
    </w:p>
    <w:p>
      <w:pPr>
        <w:ind w:left="780" w:hanging="441"/>
        <w:spacing w:after="0"/>
        <w:tabs>
          <w:tab w:leader="none" w:pos="780" w:val="left"/>
        </w:tabs>
        <w:numPr>
          <w:ilvl w:val="0"/>
          <w:numId w:val="104"/>
        </w:numPr>
        <w:rPr>
          <w:rFonts w:ascii="Arial" w:cs="Arial" w:eastAsia="Arial" w:hAnsi="Arial"/>
          <w:sz w:val="26"/>
          <w:szCs w:val="26"/>
          <w:color w:val="auto"/>
          <w:vertAlign w:val="superscript"/>
        </w:rPr>
      </w:pPr>
      <w:r>
        <w:rPr>
          <w:rFonts w:ascii="Arial" w:cs="Arial" w:eastAsia="Arial" w:hAnsi="Arial"/>
          <w:sz w:val="17"/>
          <w:szCs w:val="17"/>
          <w:color w:val="auto"/>
        </w:rPr>
        <w:t>318,170 shares will be eligible for sale on the date of this prospectus; and</w:t>
      </w:r>
    </w:p>
    <w:p>
      <w:pPr>
        <w:spacing w:after="0" w:line="17" w:lineRule="exact"/>
        <w:rPr>
          <w:rFonts w:ascii="Arial" w:cs="Arial" w:eastAsia="Arial" w:hAnsi="Arial"/>
          <w:sz w:val="26"/>
          <w:szCs w:val="26"/>
          <w:color w:val="auto"/>
          <w:vertAlign w:val="superscript"/>
        </w:rPr>
      </w:pPr>
    </w:p>
    <w:p>
      <w:pPr>
        <w:ind w:left="780" w:right="40" w:hanging="441"/>
        <w:spacing w:after="0" w:line="191" w:lineRule="auto"/>
        <w:tabs>
          <w:tab w:leader="none" w:pos="780" w:val="left"/>
        </w:tabs>
        <w:numPr>
          <w:ilvl w:val="0"/>
          <w:numId w:val="104"/>
        </w:numPr>
        <w:rPr>
          <w:rFonts w:ascii="Arial" w:cs="Arial" w:eastAsia="Arial" w:hAnsi="Arial"/>
          <w:sz w:val="26"/>
          <w:szCs w:val="26"/>
          <w:color w:val="auto"/>
          <w:vertAlign w:val="superscript"/>
        </w:rPr>
      </w:pPr>
      <w:r>
        <w:rPr>
          <w:rFonts w:ascii="Arial" w:cs="Arial" w:eastAsia="Arial" w:hAnsi="Arial"/>
          <w:sz w:val="17"/>
          <w:szCs w:val="17"/>
          <w:color w:val="auto"/>
        </w:rPr>
        <w:t>8,767,546 shares will be eligible for sale upon expiration of the lock-up agreements and market stand-off provisions described below, beginning more than 180 days after the date of this prospectus.</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may issue common shares from time to time for a variety of corporate purposes, including in capital-raising activities through future public offerings or private placements, in connection with exercise of stock options, vesting of restricted stock units and other issuances relating to our employee benefit plans and as consideration for future acquisitions, investments or other purposes. The number of common shares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common shares will have the right, under certain circumstances, to cause us to register any resale of such shares to the public.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and Market Standoff Agreements</w:t>
      </w:r>
    </w:p>
    <w:p>
      <w:pPr>
        <w:spacing w:after="0" w:line="70"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We, our directors and officers and substantially all of the holders of our equity securities have agreed, subject to certain exceptions, not to offer, sell or transfer any of our common shares or securities convertible into or exchangeable or exercisable for our common shares, for 180 days after the date of this prospectus without first obtaining the written consent of Jefferies LLC and Wells Fargo Securities, LLC on behalf of the underwriters, after the date of this prospectus. These agreements are described in the section of this prospectus captioned “Underwriting.”</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Jefferies LLC and Wells Fargo Securities, LLC have advised us that they have no present intent or arrangement to release any common shares subject to a lock-up, and will consider the release of any lock-up on a case-by-case basis. There are no existing agreements between the underwriters and any of our shareholders who have or will execute a lock-up agreement, providing consent to the sale of common shares prior to the expiration of the lock-up period.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420"/>
          </w:cols>
          <w:pgMar w:left="240" w:top="444" w:right="2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right="120"/>
        <w:spacing w:after="0" w:line="241"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 under the Securities Act.</w:t>
      </w:r>
    </w:p>
    <w:p>
      <w:pPr>
        <w:spacing w:after="0" w:line="108"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addition to the restrictions contained in the lock-up agreements described above, our amended and restated investor rights agreement, as amended, contains market stand-off provisions imposing restrictions on the ability of certain of our security holders to offer, sell or transfer our equity securities for a period of 180 days following the effective date of this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Securities Exchange Act of 1934, as amended, or the Exchange Act, for at least 90 days, a person (or persons whose common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common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126" w:lineRule="exact"/>
        <w:rPr>
          <w:sz w:val="20"/>
          <w:szCs w:val="20"/>
          <w:color w:val="auto"/>
        </w:rPr>
      </w:pPr>
    </w:p>
    <w:p>
      <w:pPr>
        <w:ind w:left="780" w:right="120" w:hanging="441"/>
        <w:spacing w:after="0" w:line="204" w:lineRule="auto"/>
        <w:tabs>
          <w:tab w:leader="none" w:pos="780" w:val="left"/>
        </w:tabs>
        <w:numPr>
          <w:ilvl w:val="0"/>
          <w:numId w:val="105"/>
        </w:numPr>
        <w:rPr>
          <w:rFonts w:ascii="Arial" w:cs="Arial" w:eastAsia="Arial" w:hAnsi="Arial"/>
          <w:sz w:val="26"/>
          <w:szCs w:val="26"/>
          <w:color w:val="auto"/>
          <w:vertAlign w:val="superscript"/>
        </w:rPr>
      </w:pPr>
      <w:r>
        <w:rPr>
          <w:rFonts w:ascii="Arial" w:cs="Arial" w:eastAsia="Arial" w:hAnsi="Arial"/>
          <w:sz w:val="17"/>
          <w:szCs w:val="17"/>
          <w:color w:val="auto"/>
        </w:rPr>
        <w:t>1% of the number of common shares then outstanding, which will equal approximately 135,807 common shares immediately after this offering (calculated on the basis of the assumptions described above and assuming no exercise of the underwriter’s option to purchase additional shares and no exercise of outstanding options or warrants); or</w:t>
      </w:r>
    </w:p>
    <w:p>
      <w:pPr>
        <w:spacing w:after="0" w:line="20" w:lineRule="exact"/>
        <w:rPr>
          <w:rFonts w:ascii="Arial" w:cs="Arial" w:eastAsia="Arial" w:hAnsi="Arial"/>
          <w:sz w:val="26"/>
          <w:szCs w:val="26"/>
          <w:color w:val="auto"/>
          <w:vertAlign w:val="superscript"/>
        </w:rPr>
      </w:pPr>
    </w:p>
    <w:p>
      <w:pPr>
        <w:ind w:left="780" w:right="120" w:hanging="441"/>
        <w:spacing w:after="0" w:line="191" w:lineRule="auto"/>
        <w:tabs>
          <w:tab w:leader="none" w:pos="780" w:val="left"/>
        </w:tabs>
        <w:numPr>
          <w:ilvl w:val="0"/>
          <w:numId w:val="105"/>
        </w:numPr>
        <w:rPr>
          <w:rFonts w:ascii="Arial" w:cs="Arial" w:eastAsia="Arial" w:hAnsi="Arial"/>
          <w:sz w:val="26"/>
          <w:szCs w:val="26"/>
          <w:color w:val="auto"/>
          <w:vertAlign w:val="superscript"/>
        </w:rPr>
      </w:pPr>
      <w:r>
        <w:rPr>
          <w:rFonts w:ascii="Arial" w:cs="Arial" w:eastAsia="Arial" w:hAnsi="Arial"/>
          <w:sz w:val="17"/>
          <w:szCs w:val="17"/>
          <w:color w:val="auto"/>
        </w:rPr>
        <w:t>the average weekly trading volume of our common shares on The NASDAQ Global Market during the four calendar weeks preceding the filing of a notice on Form 144 with respect to such sale.</w:t>
      </w:r>
    </w:p>
    <w:p>
      <w:pPr>
        <w:spacing w:after="0" w:line="110"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shares from us in connection with a written compensatory stock or option plan or other written agreement in compliance with Rule 701 under the Securities Act before the effective date of the registration statement of which this prospectus is a part (to the extent such common shares are not subject to a lock-up agreement) is entitled to rely on Rule 701 to resell such common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common shares without complying with the minimum holding period or public information requirements 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420"/>
          </w:cols>
          <w:pgMar w:left="240" w:top="444"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Rule 144, and persons who are our “affiliates” may resell those common shares without compliance with Rule 144’s minimum holding period requirements (subject to the terms of the lock-up agreement referred to above, if applicable).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70"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We intend to file with the SEC a registration statement under the Securities Act covering the common shares that we may issue upon exercise of outstanding options held by individuals under our Amended and Restated Stock Plan and 2014 Equity Incentive Plan and the common shares that we may issue pursuant to future awards under our 2014 Equity Incentive Plan. Such registration statement is expected to be filed and become effective as soon as practicable after the completion of this offering. Accordingly, common shares registered under such registration statement will be available for sale in the open market following its effective date, subject to Rule 144 volume limitations and the lock-up agreements described above, if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Upon completion of this offering, the holders of approximately 6,334,582 of our common shares, based on our common shares outstanding as of September 30, 2014, will be eligible to exercise certain rights to cause us to register their common shares for resale under the Securities Act, subject to various conditions and limitations. These registration rights are described under the caption “Description of Share Capital— Registration Rights.” Upon the effectiveness of a registration statement covering these common shares, the common shares would become freely tradable, and a large number of common shares may be sold into the public market. If that occurs, the market price of our common shares could be adversely affected.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44"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UNITED STATES AND CANADIAN INCOME TAX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Income Tax Information for U.S. Holders</w:t>
      </w:r>
    </w:p>
    <w:p>
      <w:pPr>
        <w:spacing w:after="0" w:line="7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following summary describes the material U.S. federal income tax consequences of the ownership and disposition of common shares purchased in this offering. The discussion set forth below is applicable to U.S. Holders (as defined below). This summary deals only with common shares held as capital assets, meaning generally, assets held for investment.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term “U.S. Holder” means a beneficial owner of a common share that is, for U.S. federal income tax purposes:</w:t>
      </w:r>
    </w:p>
    <w:p>
      <w:pPr>
        <w:spacing w:after="0" w:line="30" w:lineRule="exact"/>
        <w:rPr>
          <w:sz w:val="20"/>
          <w:szCs w:val="20"/>
          <w:color w:val="auto"/>
        </w:rPr>
      </w:pPr>
    </w:p>
    <w:p>
      <w:pPr>
        <w:ind w:left="780" w:hanging="441"/>
        <w:spacing w:after="0"/>
        <w:tabs>
          <w:tab w:leader="none" w:pos="780" w:val="left"/>
        </w:tabs>
        <w:numPr>
          <w:ilvl w:val="0"/>
          <w:numId w:val="106"/>
        </w:numPr>
        <w:rPr>
          <w:rFonts w:ascii="Arial" w:cs="Arial" w:eastAsia="Arial" w:hAnsi="Arial"/>
          <w:sz w:val="26"/>
          <w:szCs w:val="26"/>
          <w:color w:val="auto"/>
          <w:vertAlign w:val="superscript"/>
        </w:rPr>
      </w:pPr>
      <w:r>
        <w:rPr>
          <w:rFonts w:ascii="Arial" w:cs="Arial" w:eastAsia="Arial" w:hAnsi="Arial"/>
          <w:sz w:val="17"/>
          <w:szCs w:val="17"/>
          <w:color w:val="auto"/>
        </w:rPr>
        <w:t>an individual citizen or resident of the U.S.;</w:t>
      </w:r>
    </w:p>
    <w:p>
      <w:pPr>
        <w:spacing w:after="0" w:line="17" w:lineRule="exact"/>
        <w:rPr>
          <w:rFonts w:ascii="Arial" w:cs="Arial" w:eastAsia="Arial" w:hAnsi="Arial"/>
          <w:sz w:val="26"/>
          <w:szCs w:val="26"/>
          <w:color w:val="auto"/>
          <w:vertAlign w:val="superscript"/>
        </w:rPr>
      </w:pPr>
    </w:p>
    <w:p>
      <w:pPr>
        <w:ind w:left="780" w:right="180" w:hanging="441"/>
        <w:spacing w:after="0" w:line="191" w:lineRule="auto"/>
        <w:tabs>
          <w:tab w:leader="none" w:pos="780" w:val="left"/>
        </w:tabs>
        <w:numPr>
          <w:ilvl w:val="0"/>
          <w:numId w:val="106"/>
        </w:numPr>
        <w:rPr>
          <w:rFonts w:ascii="Arial" w:cs="Arial" w:eastAsia="Arial" w:hAnsi="Arial"/>
          <w:sz w:val="26"/>
          <w:szCs w:val="26"/>
          <w:color w:val="auto"/>
          <w:vertAlign w:val="superscript"/>
        </w:rPr>
      </w:pPr>
      <w:r>
        <w:rPr>
          <w:rFonts w:ascii="Arial" w:cs="Arial" w:eastAsia="Arial" w:hAnsi="Arial"/>
          <w:sz w:val="17"/>
          <w:szCs w:val="17"/>
          <w:color w:val="auto"/>
        </w:rPr>
        <w:t>a corporation (or other entity treated as a corporation for U.S. federal income tax purposes) created or organized in or under the laws of the U.S., any state thereof or the District of Columbia;</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06"/>
        </w:numPr>
        <w:rPr>
          <w:rFonts w:ascii="Arial" w:cs="Arial" w:eastAsia="Arial" w:hAnsi="Arial"/>
          <w:sz w:val="25"/>
          <w:szCs w:val="25"/>
          <w:color w:val="auto"/>
          <w:vertAlign w:val="superscript"/>
        </w:rPr>
      </w:pPr>
      <w:r>
        <w:rPr>
          <w:rFonts w:ascii="Arial" w:cs="Arial" w:eastAsia="Arial" w:hAnsi="Arial"/>
          <w:sz w:val="16"/>
          <w:szCs w:val="16"/>
          <w:color w:val="auto"/>
        </w:rPr>
        <w:t>an estate, the income of which is subject to U.S. federal income taxation regardless of its source; or</w:t>
      </w:r>
    </w:p>
    <w:p>
      <w:pPr>
        <w:spacing w:after="0" w:line="17" w:lineRule="exact"/>
        <w:rPr>
          <w:rFonts w:ascii="Arial" w:cs="Arial" w:eastAsia="Arial" w:hAnsi="Arial"/>
          <w:sz w:val="25"/>
          <w:szCs w:val="25"/>
          <w:color w:val="auto"/>
          <w:vertAlign w:val="superscript"/>
        </w:rPr>
      </w:pPr>
    </w:p>
    <w:p>
      <w:pPr>
        <w:ind w:left="780" w:right="20" w:hanging="441"/>
        <w:spacing w:after="0" w:line="201" w:lineRule="auto"/>
        <w:tabs>
          <w:tab w:leader="none" w:pos="780" w:val="left"/>
        </w:tabs>
        <w:numPr>
          <w:ilvl w:val="0"/>
          <w:numId w:val="106"/>
        </w:numPr>
        <w:rPr>
          <w:rFonts w:ascii="Arial" w:cs="Arial" w:eastAsia="Arial" w:hAnsi="Arial"/>
          <w:sz w:val="25"/>
          <w:szCs w:val="25"/>
          <w:color w:val="auto"/>
          <w:vertAlign w:val="superscript"/>
        </w:rPr>
      </w:pPr>
      <w:r>
        <w:rPr>
          <w:rFonts w:ascii="Arial" w:cs="Arial" w:eastAsia="Arial" w:hAnsi="Arial"/>
          <w:sz w:val="16"/>
          <w:szCs w:val="16"/>
          <w:color w:val="auto"/>
        </w:rPr>
        <w:t>a trust if it (a) is subject to the primary supervision of a court within the U.S. and one or more U.S. persons have the authority to control all substantial decisions of the trust or (b) has a valid election in effect under applicable U.S. Treasury regulations to be treated as a U.S. person.</w:t>
      </w:r>
    </w:p>
    <w:p>
      <w:pPr>
        <w:spacing w:after="0" w:line="108"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This summary does not describe all of the U.S. federal income tax consequences applicable to a U.S. Holder if such U.S. Holder is subject to special treatment under U.S. federal income tax laws, including if such U.S. Holder is:</w:t>
      </w:r>
    </w:p>
    <w:p>
      <w:pPr>
        <w:spacing w:after="0" w:line="20" w:lineRule="exact"/>
        <w:rPr>
          <w:sz w:val="20"/>
          <w:szCs w:val="20"/>
          <w:color w:val="auto"/>
        </w:rPr>
      </w:pPr>
    </w:p>
    <w:p>
      <w:pPr>
        <w:ind w:left="780" w:hanging="441"/>
        <w:spacing w:after="0"/>
        <w:tabs>
          <w:tab w:leader="none" w:pos="780" w:val="left"/>
        </w:tabs>
        <w:numPr>
          <w:ilvl w:val="0"/>
          <w:numId w:val="107"/>
        </w:numPr>
        <w:rPr>
          <w:rFonts w:ascii="Arial" w:cs="Arial" w:eastAsia="Arial" w:hAnsi="Arial"/>
          <w:sz w:val="26"/>
          <w:szCs w:val="26"/>
          <w:color w:val="auto"/>
          <w:vertAlign w:val="superscript"/>
        </w:rPr>
      </w:pPr>
      <w:r>
        <w:rPr>
          <w:rFonts w:ascii="Arial" w:cs="Arial" w:eastAsia="Arial" w:hAnsi="Arial"/>
          <w:sz w:val="17"/>
          <w:szCs w:val="17"/>
          <w:color w:val="auto"/>
        </w:rPr>
        <w:t>a dealer in securities or currencies;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financial institution;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regulated investment company;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real estate investment trust;</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an insurance company;</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tax-exempt organization;</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person holding our common shares as part of a hedging, integrated or conversion transaction, a constructive sale or a straddle;</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trader in securities that has elected the mark-to-market method of accounting for its securities;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person liable for alternative minimum tax;</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person who owns, directly, indirectly or constructively, or is deemed to own 10% or more of our voting common shares;</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partnership or other pass-through entity for U.S. federal income tax purposes; or</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a person whose “functional currency” is not the U.S. dollar.</w:t>
      </w:r>
    </w:p>
    <w:p>
      <w:pPr>
        <w:spacing w:after="0" w:line="108"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If a partnership holds our common shares, the tax treatment of a partner will generally depend upon the status of the partner and the activities of the partnership. Partners of a partnership holding our common shares should consult their own tax advisors.</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discussion below is based upon the provisions of the U.S. Internal Revenue Code of 1986, as amended, or the Code, and regulations, including proposed regulations, Internal Revenue Service, or the IRS, rulings and judicial decisions thereunder as of the date hereof. These authorities may be replaced, revoked or modified so as to result in U.S. federal income tax consequences different from those discussed below. This discussion does not contain a detailed description of all U.S. federal income tax consequences applicable to a U.S. Holder in light of such U.S. Holder’s particular circumstances and does not address the effects of any state, local or non-U.S. tax laws.</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If you are considering the purchase of our common shares, you should consult your own tax advisors concerning the U.S. federal income tax consequences to you in light of your particular situation as well as any consequences arising under the laws of any other taxing jurisdiction.</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80"/>
          </w:cols>
          <w:pgMar w:left="240" w:top="444" w:right="3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Dividends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Subject to the discussion below under “Passive Foreign Investment Company Consequences,” the gross amount of distributions on our common shares (including amounts withheld to pay Canadian withholding taxes) will be taxable as dividends to a U.S. Holder to the extent paid out of our current or accumulated earnings and profits, as determined under U.S. federal income tax principles. Dividends paid on our common shares (including withheld taxes) will be includable in a U.S. Holder’s gross income as dividend income when actually or constructively received. Such dividends will not be eligible for the dividends-received deduction generally allowed to corporations with respect to dividends received from U.S. corporations. Distributions treated as dividends that are received by non-corporate U.S. Holders are expected to qualify for the 20% reduced maximum tax rate available for dividends received from a “qualified foreign corporation” provided certain holding period and other requirements are met. However, if we are a Passive Foreign Investment Company, or PFIC, for the taxable year in which the dividends are paid or the preceding taxable year (see “Passive Foreign Investment Company Consequences” below), we will not be treated as a qualified foreign corporation, and therefore the reduced maximum tax rate described above will not apply. Non-corporate U.S. Holders that do not meet a minimum holding period requirement during which they are not protected from the risk of loss or that elect to treat the dividend income as “investment income” under applicable Code provisions will not be eligible for the reduced rates of taxation regardless of our status as a qualified foreign corporation. Further, the rate reduction will not apply to dividends if the recipient of a dividend is obligated to make related payments with respect to positions in substantially similar or related property. This disallowance applies even if the minimum holding period has been met.</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Subject to certain conditions and limitations, Canadian tax withheld from dividends paid on our common shares (see “Canadian Federal Income Tax Information—Non-Residents of Canada—Dividends on the Common Shares”) may be deducted by a U.S. Holder from adjusted gross income or claimed as a credit against the U.S. Holder’s U.S. federal income tax. A U.S. Holder may claim a deduction for Canadian taxes withheld from dividends paid in a taxable year only if the U.S. Holder elects to deduct all foreign income taxes paid in that taxable year. A foreign tax credit may only be claimed against U.S. federal income tax on foreign source income subject to the foreign tax credit limitation. The credit is calculated separately with respect to different categories of income. Dividends paid on our common shares will generally constitute foreign source “passive category income” for foreign tax credit purposes. A special rule will apply if we are a “United States-owned foreign corporation.” In that case, dividends paid in a taxable year will be treated as dividends from U.S. sources and foreign sources in proportion to our earnings and profits for the taxable year from U.S. sources and from foreign sources. A U.S. Holder who is eligible to claim benefits under the Treaty however, may treat the entire dividend as one from foreign sources for the purpose of claiming a credit for any Canadian withholding tax deducted from the dividend if the U.S. Holder files the appropriate election on its U.S. federal tax return. We will be treated as a U.S.-owned foreign corporation as long as shares representing 50% or more of the voting power or value of our common shares is owned, directly or indirectly, by U.S. persons. The rules relating to the determination of foreign source income and the foreign tax credit are complex, and availability of a foreign tax credit depends on numerous factors. Each U.S. Holder should consult with its own tax advisor to determine whether its income with respect to our common shares would be foreign source income and whether and to what extent that U.S. Holder would be entitled to the foreign tax credit.</w:t>
      </w:r>
    </w:p>
    <w:p>
      <w:pPr>
        <w:spacing w:after="0" w:line="11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To the extent that the amount of any distribution exceeds our current and accumulated earnings and profits for a taxable year, as determined under U.S. federal income tax principles, the distribution will first be treated as a tax-free return of capital, causing a reduction in the adjusted basis of the common shares (thereby increasing the amount of gain, or decreasing the amount of loss, to be recognized on a subsequent disposition of the common shares), and the balance in excess of adjusted basis will be taxed as capital gain recognized on a sale or exchange. However, we cannot provide any assurance that we will maintain or provide earnings and profits determinations in accordance with U.S. federal income tax principles. Therefore, U.S. Holders should expect that a distribution will generally be treated as a dividend (as discussed above) even if that distribution would otherwise be treated as a non-taxable return of capital or as capital gain under the rules described above.</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a distribution is paid in Canadian dollars, the U.S. dollar value of such distribution on the date of receipt is used to determine the amount of the distribution received by a U.S. Holders. A U.S. Holder who continues to hold such Canadian dollars after the date on which they are received may recognize gain or loss upon their disposition due to exchange rate fluctuations. Generally, such gains and losses will be ordinary income or loss from U.S. sources.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45"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Capital Gains</w:t>
      </w:r>
    </w:p>
    <w:p>
      <w:pPr>
        <w:spacing w:after="0" w:line="44" w:lineRule="exact"/>
        <w:rPr>
          <w:sz w:val="20"/>
          <w:szCs w:val="20"/>
          <w:color w:val="auto"/>
        </w:rPr>
      </w:pPr>
    </w:p>
    <w:p>
      <w:pPr>
        <w:jc w:val="both"/>
        <w:ind w:right="80"/>
        <w:spacing w:after="0" w:line="239" w:lineRule="auto"/>
        <w:rPr>
          <w:sz w:val="20"/>
          <w:szCs w:val="20"/>
          <w:color w:val="auto"/>
        </w:rPr>
      </w:pPr>
      <w:r>
        <w:rPr>
          <w:rFonts w:ascii="Arial" w:cs="Arial" w:eastAsia="Arial" w:hAnsi="Arial"/>
          <w:sz w:val="17"/>
          <w:szCs w:val="17"/>
          <w:color w:val="auto"/>
        </w:rPr>
        <w:t>Subject to the discussion below under “Passive Foreign Investment Company Consequences,” a U.S. Holder will recognize taxable gain or loss on the sale of our common shares equal to the difference between the amount realized for the common shares and the U.S. Holder’s tax basis in the common shares. Such gain or loss will be capital gain or loss. Capital gains of non-corporate U.S. Holders, including individual U.S. Holders, derived with respect to capital assets held for more than one year are eligible for reduced rates of taxation. The deductibility of capital losses is subject to limitations. Any gain or loss recognized by a U.S. Holder will generally be U.S. source gain or loss for foreign tax credit limitation purposes.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Consequences</w:t>
      </w:r>
    </w:p>
    <w:p>
      <w:pPr>
        <w:spacing w:after="0" w:line="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general, a corporation organized outside the U.S.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and currency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In determining whether a foreign corporation is a PFIC, a proportionate share of the income and assets of each corporation in which it owns, directly or indirectly, at least a 25% interest (by value) is taken into account.</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Based on the nature of our business, the projected composition of our income and estimated fair market value of our assets, we do not believe that we were characterized as a PFIC in 2013 and we do not expect to be a PFIC in 2014, although we could be a PFIC in one or more subsequent years. Our status as a PFIC is a fact-intensive determination made on an annual basis and we cannot provide any assurance regarding our PFIC status for the future taxable years. Neither our U.S. counsel nor U.S. tax advisor expresses any opinion with respect to our PFIC status or with respect to our expectations regarding our PFIC status.</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we are a PFIC in any taxable year during which a U.S. Holder owns our common shares, such U.S. Holder would be subject to taxation under the rules related to “excess distributions.” Under such rules, additional taxes and interest charges would apply to certain distributions by us or to gain upon dispositions of our shares if a U.S. Holder has not elected to have his or her investment in our common shares treated as an investment in a “qualified electing fund” or has not made a “mark-to-market election.” If we are a PFIC, all the gains recognized on disposition of our common shares would be treated as an excess distribution. In the case of an actual distribution, such distribution from us would be treated as an excess distribution only to the extent the total of actual distributions during a taxable year received by the U.S. Holder exceeds 125% of the average of actual distributions received in the three preceding taxable years, or, if shorter, the U.S. Holder’s holding period for our common shares. In these circumstances, the tax and interest charges will be determined by allocating such distributions ratably over the U.S. Holder’s holding period for the common shares. The amount allocated to the current taxable year (i.e. the year in which the gain is recognized or the distribution occurs) and any year prior to the first taxable year in which we are a PFIC would be taxed as ordinary income earned in the current taxable year, and the amount allocated to each of the other years in the holding period would be subject to a special tax and interest charge.</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amount allocated to prior taxable years in which we are a PFIC will be taxed at the highest marginal rates in effect for individuals or corporations as applicable to ordinary income for each such taxable year, and an interest charge, generally applicable to underpayments of tax, will be added to the tax. If we are a PFIC at any time when a U.S. Holder holds our common shares, we will generally continue to be treated as a PFIC with respect to the U.S. Holder for all succeeding years during which the U.S. Holder holds our common shares even if we cease to meet the PFIC gross income test or asset test. However, if we cease to meet these tests, a U.S. Holder can avoid the continuing impact of the PFIC rules by making a special election (a “Purging Election”) to recognize gain in the manner described above as if our common shares had been sold on the last day of the last taxable year during which we were a PFIC. In addition, for a U.S. Holder making such an election, a new holding period would be deemed to begin for our common shares for purposes of the PFIC rules. After the Purging Election, the common shares with respect to which the Purging Election was made will not be treated as shares in a PFIC unless we subsequently become a PFIC.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400"/>
          </w:cols>
          <w:pgMar w:left="240" w:top="444" w:right="25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tax consequences that would apply if we were a PFIC would be different from those described above if a U.S. Holder were able to make a valid “qualified electing fund,” or QEF, election. For each year that we meet the PFIC gross income test or asset test, an electing U.S. Holder would be required to include in gross income, its pro rata share of our net ordinary income and net capital gains, if any, as determined under U.S. federal income tax principles. The U.S. Holder’s adjusted tax basis in our shares would be increased by the amount of such inclusions. An actual distribution to the U.S. Holder out of such income generally would not be treated as a dividend and would decrease the U.S. Holder’s adjusted tax basis in our shares. Gain realized from the sale of our shares covered by a QEF election would be taxed as a capital gain. Generally, a QEF election must be made by the U.S. Holder in a timely filed tax return for the first taxable year in which the U.S. Holder held our shares that includes the close of our taxable year for which we met the PFIC gross income test or asset test. A QEF election is made on IRS Form 8621. U.S. Holders will be eligible to make QEF elections only if we agree to provide U.S. Holders with the information they will need to comply with the QEF rules. If we are a PFIC in the current or a future tax year, we will provide U.S. Holders with the information that is necessary in order for them to make a QEF election and to report their common shares of ordinary earnings and net capital gains for each year for which we are a PFIC.</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timely and valid “mark-to-market” election is made by a U.S. Holder of our common shares. An electing U.S. Holder generally would take into account as ordinary income for each year that we meet the PFIC gross income test or asset test, the excess of the fair market value of our common shares held at the end of the taxable year over the adjusted tax basis of such common shares. The U.S. Holder would also take into account, as an ordinary loss for each year that we meet the PFIC gross income test or asset test, the excess of the adjusted tax basis of such common shares over their fair market value at the end of the taxable year, but only to the extent of the aggregate of the amounts previously included in income as a result of the mark-to-market election. The U.S. Holder’s tax basis in our common shares would be adjusted to reflect any income or loss resulting from the mark-to-market election. Any gain from a sale, exchange or other disposition of the common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one or more taxable years, we cease to be classified as a PFIC, the U.S. Holder would not be required to take into account any latent gain or loss in the manner described above and any realized gain or loss would be classified as a capital gain or loss. A mark-to-market election will not apply to our common shares for any taxable year during which we are not a PFIC, but it will remain in effect with respect to any subsequent taxable year in which we become a PFIC. Such election will not apply to any subsidiary that we own.</w:t>
      </w:r>
    </w:p>
    <w:p>
      <w:pPr>
        <w:spacing w:after="0" w:line="10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 mark-to-market election is available to a U.S. Holder only if the common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We expect that our common shares will be marketable stock as long as they remain listed on NASDAQ and are regularly traded.</w:t>
      </w:r>
    </w:p>
    <w:p>
      <w:pPr>
        <w:spacing w:after="0" w:line="9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If we are a PFIC in any taxable year during which a U.S. Holder owns the common shares, such U.S. Holder may also suffer adverse tax consequences under the PFIC rules described above with respect to any lower-tier PFIC in which we have a direct or indirect equity interest.</w:t>
      </w:r>
    </w:p>
    <w:p>
      <w:pPr>
        <w:spacing w:after="0" w:line="104" w:lineRule="exact"/>
        <w:rPr>
          <w:sz w:val="20"/>
          <w:szCs w:val="20"/>
          <w:color w:val="auto"/>
        </w:rPr>
      </w:pPr>
    </w:p>
    <w:p>
      <w:pPr>
        <w:ind w:right="1000"/>
        <w:spacing w:after="0" w:line="285" w:lineRule="auto"/>
        <w:rPr>
          <w:sz w:val="20"/>
          <w:szCs w:val="20"/>
          <w:color w:val="auto"/>
        </w:rPr>
      </w:pPr>
      <w:r>
        <w:rPr>
          <w:rFonts w:ascii="Arial" w:cs="Arial" w:eastAsia="Arial" w:hAnsi="Arial"/>
          <w:sz w:val="17"/>
          <w:szCs w:val="17"/>
          <w:color w:val="auto"/>
        </w:rPr>
        <w:t xml:space="preserve">Each U.S. Holder who is a shareholder of a PFIC must file an annual report containing certain information as the U.S. Treasury may require. </w:t>
      </w:r>
      <w:r>
        <w:rPr>
          <w:rFonts w:ascii="Arial" w:cs="Arial" w:eastAsia="Arial" w:hAnsi="Arial"/>
          <w:sz w:val="17"/>
          <w:szCs w:val="17"/>
          <w:b w:val="1"/>
          <w:bCs w:val="1"/>
          <w:i w:val="1"/>
          <w:iCs w:val="1"/>
          <w:color w:val="auto"/>
        </w:rPr>
        <w:t>Net Investment Income Tax</w:t>
      </w:r>
    </w:p>
    <w:p>
      <w:pPr>
        <w:ind w:right="60"/>
        <w:spacing w:after="0"/>
        <w:rPr>
          <w:sz w:val="20"/>
          <w:szCs w:val="20"/>
          <w:color w:val="auto"/>
        </w:rPr>
      </w:pPr>
      <w:r>
        <w:rPr>
          <w:rFonts w:ascii="Arial" w:cs="Arial" w:eastAsia="Arial" w:hAnsi="Arial"/>
          <w:sz w:val="17"/>
          <w:szCs w:val="17"/>
          <w:color w:val="auto"/>
        </w:rPr>
        <w:t>Certain U.S. Holders who are individuals, estates or trusts will be subject to a 3.8% U.S. federal tax on all or a portion of their “net investment income,” which includes all or a portion of their dividends (or deemed dividends) on our common shares and net gains from the disposition of our common shares. U.S. Holders that are individuals, estates or trusts should consult their tax advisors regarding the applicability of the U.S. federal tax on net investment income to any of their income or gains in respect of our common shares.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380"/>
          </w:cols>
          <w:pgMar w:left="240" w:top="445" w:right="2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4"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general, information reporting will apply to dividends in respect of our common shares and the proceeds from the sale or disposition of our common shares that are paid to a U.S. Holder within the U.S. (and in certain cases, outside the U.S.), unless the U.S. Holder is an exempt recipient. Backup withholding may apply to such payments if the U.S. Holder fails to provide a taxpayer identification number or certification of other exempt status or if the U.S. Holder has previously failed to report in full dividend or interest income. If backup withholding applies to a payment, we or our paying agent will deduct the amount of any required withholding directly from such payment and remit it directly to the U.S. Treasury on behalf of the U.S. Holder. Backup withholding is not an additional tax. Any amounts withheld by us or our paying agent under the backup withholding rules will be allowed as a refund or a credit against the U.S. Holder’s U.S. federal income tax liability provided the required information is timely furnished to the IRS.</w:t>
      </w:r>
    </w:p>
    <w:p>
      <w:pPr>
        <w:spacing w:after="0" w:line="109"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U.S. Holders are urged to consult with their tax advisors regarding the applicable U.S. disclosure and information reporting requirements. In certain circumstances, the failure to comply with disclosure and information reporting requirements will result in an extension of the statute of limitations on the assessment and collection of U.S. federal income taxes applicable to the U.S. Holder.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Requirements for Specified Foreign Financial Assets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Certain U.S. Holders (and to the extent provided in IRS guidance, certain non-U.S. Holders) who hold interests in “specified foreign financial assets” (as</w:t>
      </w:r>
    </w:p>
    <w:p>
      <w:pPr>
        <w:spacing w:after="0" w:line="237" w:lineRule="auto"/>
        <w:rPr>
          <w:sz w:val="20"/>
          <w:szCs w:val="20"/>
          <w:color w:val="auto"/>
        </w:rPr>
      </w:pPr>
      <w:r>
        <w:rPr>
          <w:rFonts w:ascii="Arial" w:cs="Arial" w:eastAsia="Arial" w:hAnsi="Arial"/>
          <w:sz w:val="17"/>
          <w:szCs w:val="17"/>
          <w:color w:val="auto"/>
        </w:rPr>
        <w:t>defined in Section 6038D of the Code) are generally required to file an IRS Form 8938 as part of their U.S. federal income tax returns with information</w:t>
      </w:r>
    </w:p>
    <w:p>
      <w:pPr>
        <w:spacing w:after="0" w:line="238" w:lineRule="auto"/>
        <w:rPr>
          <w:sz w:val="20"/>
          <w:szCs w:val="20"/>
          <w:color w:val="auto"/>
        </w:rPr>
      </w:pPr>
      <w:r>
        <w:rPr>
          <w:rFonts w:ascii="Arial" w:cs="Arial" w:eastAsia="Arial" w:hAnsi="Arial"/>
          <w:sz w:val="17"/>
          <w:szCs w:val="17"/>
          <w:color w:val="auto"/>
        </w:rPr>
        <w:t>relating to such assets for each taxable year in which the aggregate value of all such assets exceeds $75,000 at any time during the taxable year or</w:t>
      </w:r>
    </w:p>
    <w:p>
      <w:pPr>
        <w:spacing w:after="0" w:line="238" w:lineRule="auto"/>
        <w:rPr>
          <w:sz w:val="20"/>
          <w:szCs w:val="20"/>
          <w:color w:val="auto"/>
        </w:rPr>
      </w:pPr>
      <w:r>
        <w:rPr>
          <w:rFonts w:ascii="Arial" w:cs="Arial" w:eastAsia="Arial" w:hAnsi="Arial"/>
          <w:sz w:val="17"/>
          <w:szCs w:val="17"/>
          <w:color w:val="auto"/>
        </w:rPr>
        <w:t>$50,000 on the last day of the taxable year (or such higher dollar amount as prescribed by applicable IRS guidance). “Specified foreign financial assets”</w:t>
      </w:r>
    </w:p>
    <w:p>
      <w:pPr>
        <w:spacing w:after="0"/>
        <w:rPr>
          <w:sz w:val="20"/>
          <w:szCs w:val="20"/>
          <w:color w:val="auto"/>
        </w:rPr>
      </w:pPr>
      <w:r>
        <w:rPr>
          <w:rFonts w:ascii="Arial" w:cs="Arial" w:eastAsia="Arial" w:hAnsi="Arial"/>
          <w:sz w:val="16"/>
          <w:szCs w:val="16"/>
          <w:color w:val="auto"/>
        </w:rPr>
        <w:t>generally include, among other assets, financial accounts maintained by foreign financial institutions, and our common shares, unless the shares are held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through an account maintained with a financial institution. Substantial penalties may apply to any failure to timely file IRS Form 8938. Additionally, in the</w:t>
      </w:r>
    </w:p>
    <w:p>
      <w:pPr>
        <w:spacing w:after="0"/>
        <w:rPr>
          <w:sz w:val="20"/>
          <w:szCs w:val="20"/>
          <w:color w:val="auto"/>
        </w:rPr>
      </w:pPr>
      <w:r>
        <w:rPr>
          <w:rFonts w:ascii="Arial" w:cs="Arial" w:eastAsia="Arial" w:hAnsi="Arial"/>
          <w:sz w:val="16"/>
          <w:szCs w:val="16"/>
          <w:color w:val="auto"/>
        </w:rPr>
        <w:t>event an applicable U.S. Holder (and to the extent provided in IRS guidance, a non-U.S. Holder) that is required to file IRS Form 8938 does not file such</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form, the statute of limitations on the assessment and collection of U.S. federal income taxes of such holder for the related tax year may not close until</w:t>
      </w:r>
    </w:p>
    <w:p>
      <w:pPr>
        <w:spacing w:after="0"/>
        <w:rPr>
          <w:sz w:val="20"/>
          <w:szCs w:val="20"/>
          <w:color w:val="auto"/>
        </w:rPr>
      </w:pPr>
      <w:r>
        <w:rPr>
          <w:rFonts w:ascii="Arial" w:cs="Arial" w:eastAsia="Arial" w:hAnsi="Arial"/>
          <w:sz w:val="16"/>
          <w:szCs w:val="16"/>
          <w:color w:val="auto"/>
        </w:rPr>
        <w:t>three years after the date that the required information is filed. Prospective investors are encouraged to consult with their own tax advisors regarding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possible reporting obligations under these disclosure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Canadian Federal Income Tax Information</w:t>
      </w:r>
    </w:p>
    <w:p>
      <w:pPr>
        <w:spacing w:after="0" w:line="7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following summary describes, as of the date hereof, the principal Canadian federal income tax consequences under the Income Tax Act (Canada), or the Canadian Tax Act, generally applicable to a holder, or a Holder, who acquires the common shares pursuant to this offering and who, for the purposes of the Canadian Tax Act, and at all relevant times, beneficially owns the common shares as capital property, and deals at arm’s length with, and is not affiliated with, us or the underwriters. The common shares will generally be considered to be capital property for this purpose unless either the Holder holds (or will hold) such common shares in the course of carrying on a business of trading or dealing in securities, or the Holder has acquired (or will acquire) such common shares in a transaction or transactions considered to be an adventure or concern in the nature of trade.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not applicable to: (a) a Holder that is a “financial institution,” as defined in the Canadian Tax Act for purposes of the mark-to-market rules;</w:t>
      </w:r>
    </w:p>
    <w:p>
      <w:pPr>
        <w:spacing w:after="0" w:line="10" w:lineRule="exact"/>
        <w:rPr>
          <w:sz w:val="20"/>
          <w:szCs w:val="20"/>
          <w:color w:val="auto"/>
        </w:rPr>
      </w:pPr>
    </w:p>
    <w:p>
      <w:pPr>
        <w:ind w:right="60" w:firstLine="3"/>
        <w:spacing w:after="0" w:line="238" w:lineRule="auto"/>
        <w:tabs>
          <w:tab w:leader="none" w:pos="25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Holder, an interest in which is or would be a “tax shelter investment” as defined in the Canadian Tax Act; (c) a Holder that is a “specified financial institution” as defined in the Canadian Tax Act; (d) a Holder that is a corporation that has elected in the prescribed form and manner and has otherwise met the requirements to use functional currency tax reporting as set out in the Canadian Tax Act; (e) a Holder that is a corporation resident in Canada, and is, or becomes, controlled by a non-resident corporation for the purposes of the “foreign affiliate dumping” rules in section 212.3 of the Canadian Tax Act; or (f) a Holder that, with respect to the common shares, has or that has entered into a “synthetic disposition arrangement ” or a “derivative forward agreement” as those terms are defined in the Canadian Tax Act. In addition, this summary does not address the deductibility of interest by a holder of common shares that has borrowed money or otherwise incurred debt in connection with the acquisition of common shares. Any such Holder to which this summary does not apply should consult its own tax advisor.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00"/>
          </w:cols>
          <w:pgMar w:left="240" w:top="444" w:right="2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This summary is based upon the current provisions of the Canadian Tax Act, the regulations adopted thereunder, or the Canadian Tax Regulations, and counsel’s understanding of the current published administrative and assessing policies and practices of the Canada Revenue Agency. The summary also takes into account all specific proposals to amend the Canadian Tax Act and the Canadian Tax Regulations that have been publicly announced by or on behalf of the Minister of Finance (Canada) prior to the date hereof, or the Canadian Tax Proposals, and assumes that all such Canadian Tax Proposals will be enacted in the form proposed. No assurance can be given that the Canadian Tax Proposals will be enacted in the form proposed or at all. This summary does not otherwise take into account or anticipate any changes in law, administrative policy or assessing practice, whether by way of legislative, regulatory, judicial or administrative action or interpretation, nor does it address any provincial, territorial or foreign tax considerations.</w:t>
      </w:r>
    </w:p>
    <w:p>
      <w:pPr>
        <w:spacing w:after="0" w:line="1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b w:val="1"/>
          <w:bCs w:val="1"/>
          <w:color w:val="auto"/>
        </w:rPr>
        <w:t>This summary is not exhaustive of all possible Canadian federal income tax considerations of purchasing common shares. The summary is of a general nature only and is not intended to be, and should not be construed to be, legal, business, or tax advice to any prospective Holder. Prospective Holders should consult their own tax advisors as to the Canadian federal tax consequences, and the tax consequences of any other jurisdiction, applicable to them having regard to their own particular circumstances.</w:t>
      </w:r>
    </w:p>
    <w:p>
      <w:pPr>
        <w:spacing w:after="0" w:line="103" w:lineRule="exact"/>
        <w:rPr>
          <w:sz w:val="20"/>
          <w:szCs w:val="20"/>
          <w:color w:val="auto"/>
        </w:rPr>
      </w:pPr>
    </w:p>
    <w:p>
      <w:pPr>
        <w:jc w:val="both"/>
        <w:ind w:right="40"/>
        <w:spacing w:after="0" w:line="241" w:lineRule="auto"/>
        <w:rPr>
          <w:sz w:val="20"/>
          <w:szCs w:val="20"/>
          <w:color w:val="auto"/>
        </w:rPr>
      </w:pPr>
      <w:r>
        <w:rPr>
          <w:rFonts w:ascii="Arial" w:cs="Arial" w:eastAsia="Arial" w:hAnsi="Arial"/>
          <w:sz w:val="17"/>
          <w:szCs w:val="17"/>
          <w:color w:val="auto"/>
        </w:rPr>
        <w:t>All amounts in a currency other than the Canadian dollar relating to the acquisition, holding and disposition of the common shares must be converted into Canadian dollars based on the exchange rates determined in accordance with the Canadian Tax Act. The amount of dividends to be included in income, and capital gains and losses realized by a Holder, may be affected by fluctuations in the relevant exchange rates.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Residents of Canada</w:t>
      </w:r>
    </w:p>
    <w:p>
      <w:pPr>
        <w:spacing w:after="0" w:line="44" w:lineRule="exact"/>
        <w:rPr>
          <w:sz w:val="20"/>
          <w:szCs w:val="20"/>
          <w:color w:val="auto"/>
        </w:rPr>
      </w:pPr>
    </w:p>
    <w:p>
      <w:pPr>
        <w:ind w:right="680"/>
        <w:spacing w:after="0" w:line="245" w:lineRule="auto"/>
        <w:rPr>
          <w:sz w:val="20"/>
          <w:szCs w:val="20"/>
          <w:color w:val="auto"/>
        </w:rPr>
      </w:pPr>
      <w:r>
        <w:rPr>
          <w:rFonts w:ascii="Arial" w:cs="Arial" w:eastAsia="Arial" w:hAnsi="Arial"/>
          <w:sz w:val="17"/>
          <w:szCs w:val="17"/>
          <w:color w:val="auto"/>
        </w:rPr>
        <w:t>The following discussion applies to Holders who, for the purposes of the Canadian Tax Act, and at all relevant times, are residents of Canada, or Canadian Resident Holders.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Certain Canadian Resident Holders whose common shares might not otherwise qualify as capital property may, in certain circumstances, treat such common shares and every Canadian security, as defined in the Canadian Tax Act, owned or subsequently acquired by such holder as capital property by making an irrevocable election pursuant to subsection 39(4) of the Canadian Tax Act. Canadian Resident Holders contemplating making a subsection 39(4) election should consult their advisor for advice as to whether the election is available or advisable in their particular circumstances.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 on the Common Shares</w:t>
      </w:r>
    </w:p>
    <w:p>
      <w:pPr>
        <w:spacing w:after="0" w:line="4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Dividends received or deemed to be received on the common shares by a Canadian Resident Holder who is an individual (other than certain trusts) will be included in income and will be subject to the gross-up and dividend tax credit rules normally applicable under the Canadian Tax Act to taxable dividends received from taxable Canadian corporations (as defined in the Canadian Tax Act). We may designate all or a portion of such dividends as “eligible dividends” that are entitled to an enhanced gross-up and dividend tax credit regime. We will notify our shareholders of any such designations at the appropriate times.</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Dividends received or deemed to be received on the common shares by a Canadian Resident Holder that is a corporation will be included in its income and will generally be deductible in computing its taxable income. A Canadian Resident Holder that is a “private corporation” or a “subject corporation,” each as defined in the Canadian Tax Act, may be liable under Part IV of the Canadian Tax Act to pay a refundable tax at a rate of 33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on dividends received or deemed to be received on the common shares to the extent such dividends are deductible in computing the Canadian Resident Holder’s taxable income. Such refundable tax will generally be refunded to a corporate Canadian Resident Holder at the rate of CAD$1.00 for every CAD$3.00 of taxable dividends paid while it is a private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Dispositions of the Common Shares</w:t>
      </w:r>
    </w:p>
    <w:p>
      <w:pPr>
        <w:spacing w:after="0" w:line="42"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A disposition, or a deemed disposition, of a common share (other than to us unless purchased by us in the open market in the manner in which shares are normally purchased by any member of the public in the open market) by a Canadian Resident Holder will generally give rise to a capital gain (or a capital loss) equal to the amount by which the proceeds of disposition of the common share, net of any reasonable costs of disposition, exceed (or are less than) the adjusted cost base of the common share to the Canadian Resident Holder. For this purpose, the adjusted cost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380"/>
          </w:cols>
          <w:pgMar w:left="240" w:top="444" w:right="27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base to a Canadian Resident Holder of the common shares will be determined at any time by averaging the cost of such common shares with the adjusted cost base of any other common shares owned by the holder as capital property at that time. Such capital gain (or capital loss) will be subject to the treatment described below under “Taxation of Capital Gains and Capital Losses.”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Refundable Tax</w:t>
      </w:r>
    </w:p>
    <w:p>
      <w:pPr>
        <w:spacing w:after="0" w:line="4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A Canadian Resident Holder that is throughout the year a “Canadian-controlled private corporation,” as defined in the Canadian Tax Act, may be liable to pay a refundable tax at a rate of 6 </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 on certain investment income, including taxable capital gains (as defined below), but excluding dividends or deemed dividends deductible in computing taxable income. Such refundable tax will generally be refunded to a corporate Canadian Resident Holder at the rate of CAD$1.00 for every CAD$3.00 of taxable dividends paid while it is a private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Taxation of Capital Gains and Capital Losses</w:t>
      </w: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Generally, one-half of any capital gain (a taxable capital gain) realized by a Canadian Resident Holder for a taxation year must be included in the Canadian Resident Holder’s income in the year. Subject to and in accordance with the provisions of the Canadian Tax Act, a Canadian Resident Holder is required to deduct one-half of any capital loss (an allowable capital loss) realized in the year from taxable capital gains realized in that year, and allowable capital losses in excess of taxable capital gains may be carried back and deducted in any of the three preceding taxation years, or carried forward and deducted in any subsequent year, from net taxable capital gains realized in such years (but not against other income) to the extent and under the circumstances described in the Canadian Tax Act. If the Canadian Resident Holder is a corporation, any such capital loss realized on the sale of a common share may in certain circumstances be reduced by the amount of any dividends which have been received or which are deemed to have been received on the common share. Similar rules may apply where a corporation is a member of a partnership or a beneficiary of a trust that owns shares, directly or indirectly through a partnership or a trust.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Minimum Tax</w:t>
      </w:r>
    </w:p>
    <w:p>
      <w:pPr>
        <w:spacing w:after="0" w:line="42" w:lineRule="exact"/>
        <w:rPr>
          <w:sz w:val="20"/>
          <w:szCs w:val="20"/>
          <w:color w:val="auto"/>
        </w:rPr>
      </w:pPr>
    </w:p>
    <w:p>
      <w:pPr>
        <w:jc w:val="both"/>
        <w:ind w:right="240"/>
        <w:spacing w:after="0" w:line="241" w:lineRule="auto"/>
        <w:rPr>
          <w:sz w:val="20"/>
          <w:szCs w:val="20"/>
          <w:color w:val="auto"/>
        </w:rPr>
      </w:pPr>
      <w:r>
        <w:rPr>
          <w:rFonts w:ascii="Arial" w:cs="Arial" w:eastAsia="Arial" w:hAnsi="Arial"/>
          <w:sz w:val="17"/>
          <w:szCs w:val="17"/>
          <w:color w:val="auto"/>
        </w:rPr>
        <w:t>Individuals, including certain trusts, are subject to a minimum tax. Generally, dividends received or deemed to be received on the common shares and capital gains realized on the disposition of common shares may result in a Canadian Resident Holder being liable for minimum tax. Canadian Resident Holders should consult with their own tax advisors with respect to the potential application of the minimum tax.</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Non-Residents of Canada</w:t>
      </w:r>
    </w:p>
    <w:p>
      <w:pPr>
        <w:spacing w:after="0" w:line="70"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following discussion applies to a Holder who, for the purposes of the Canadian Tax Act, and at all relevant times, is not (and is not deemed to be) resident in Canada and will not use or hold (and will not be deemed to use or hold) the common shares in, or in the course of, carrying on a business or part of a business in Canada, or a Non-Resident of Canada Holder. In addition, this discussion does not apply to a Non-Resident of Canada Holder that carries on or is deemed to carry on, an insurance business in Canada and elsewhere or to an “authorized foreign bank,” as defined in the Canadian Tax Act, or to a Non-Resident of Canada Holder that would be subject to the proposed “treaty shopping” provisions included for discussion purposes in the 2014 Canadian Federal Budget tabled on February 11, 2014, if those provisions were law. Such Holders should consult their own tax advisors.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on the Common Shares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Canadian withholding tax at a rate of 25% (subject to reduction under the provisions of any applicable income tax treaty or convention) will be payable on the gross amount of dividends on the common shares paid or credited, or deemed to be paid or credited, to a Non-Resident of Canada Holder. The Canadian withholding taxes will be deducted directly by us or our paying agent from the amount of the dividend otherwise payable and remitted to the Receiver General of Canada. The rate of withholding tax applicable to a dividend paid on the common shares to a Non-Resident of Canada Holder who is a resident of the U.S. for purposes of the Canada-U.S. Tax Convention, or the Convention, beneficially owns the dividend and qualifies for the full benefits of the Convention will generally be reduced to 15% or, if such a Non-Resident of Canada Holder is a corporation that owns at least 10% of our voting shares, to 5%. Not all persons who are residents of the U.S. for purposes of the Convention will qualify for the benefits of the Convention. A Non-Resident Holder of Canada who is a resident of the U.S. is advised to consult its tax advisor in this regard. The rate of withholding tax on dividends is also reduced under other bilateral income tax treaties or conventions to which Canada is a signatory.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400"/>
          </w:cols>
          <w:pgMar w:left="240" w:top="445" w:right="25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 of the Common Shares</w:t>
      </w:r>
    </w:p>
    <w:p>
      <w:pPr>
        <w:spacing w:after="0" w:line="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 Non-Resident of Canada Holder will not be subject to tax under the Canadian Tax Act in respect of any capital gain realized by such Non-Resident of Canada Holder on a disposition, or deemed disposition, of the common shares unless the common shares constitute “taxable Canadian property,” as defined in the Canadian Tax Act, of the Non-Resident of Canada Holder at the time of disposition and the holder is not entitled to an exemption under the applicable income tax treaty or convention. As long as the common shares are then listed on a “designated stock exchange” (which currently includes the NASDAQ), the common shares generally will not constitute taxable Canadian property of a Non-Resident of Canada Holder, unless (a) at any time during the 60-month period preceding the disposition: (i) one or any combination of (A) the Non-Resident of Canada Holder, (B) persons not dealing at arm’s length with such Non-Resident of Canada Holder, and (C) pursuant to certain Canadian Tax Proposals released on July 12, 2013, partnerships in which the Non-Resident of Canada Holder or a person described in (B) holds a membership interest directly or indirectly through one or more partnerships, owned 25% or more of our issued shares of any class or series; and (ii) more than 50% of the fair market value of the common shares was derived, directly or indirectly, from a combination of real or immoveable property situated in Canada, “Canadian resource properties,” as such term is defined in the Canadian Tax Act, “timber resource properties,” as such term is defined in the Canadian Tax Act, or options in respect of interests in, or for civil law rights in, any such properties whether or not the property exists, or (b) the common shares are otherwise deemed to be taxable Canadian property. If the common shares are considered taxable Canadian property to a Non-Resident of Canada Holder, an applicable income tax treaty or convention may in certain circumstances exempt that Non-Resident of Canada Holder from tax under the Canadian Tax Act in respect of the disposition or deemed disposition of the common shares. Non-Resident of Canada Holders whose common shares are, or may be, taxable Canadian property should consult their own tax advisors for advice having regard to their particular circumstances.</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As long as the common shares are listed at the time of their disposition or deemed disposition on a “recognized stock exchange” (which currently includes the NASDAQ), as defined in the Canadian Tax Act, a Non-Resident of Canada Holder who disposes of common shares that are taxable Canadian property will not be required to satisfy the obligations imposed under section 116 of the Canadian Tax Act and, as such, the purchaser of such shares will not be required to withhold any amount on the purchase price paid. An exemption from such requirements may also be available in respect of such disposition if the common shares are “treaty-exempt property,” as defined in the Canadian Tax Act.</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the event that a common share constitutes taxable Canadian property of a Non-Resident of Canada Holder and any capital gain that would be realized on the disposition or deemed disposition thereof is not exempt from tax under the Canadian Tax Act pursuant to an applicable income tax convention or treaty, the income tax consequences discussed under “Residents of Canada—Dispositions of the Common Shares” and “Residents of Canada—Taxation of Capital Gains and Capital Losses” will generally apply to the Non-Resident of Canada Holder but any such Holder should consult its own tax advisor in this regard.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400"/>
          </w:cols>
          <w:pgMar w:left="240" w:top="444" w:right="25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250"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Subject to the terms and conditions set forth in the underwriting agreement, dated November 4, 2014, among us and Jefferies LLC and Wells Fargo Securities, LLC, as the representatives of the underwriters named below and the joint book-running managers of this offering, we have agreed to sell to the underwriters, and each of the underwriters has agreed, severally and not jointly, to purchase from us on or before November 10, 2014, the respective number of common shares shown opposite its name below at a price per share of $8.37, payable to us against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60" w:type="dxa"/>
            <w:vAlign w:val="bottom"/>
            <w:gridSpan w:val="2"/>
          </w:tcPr>
          <w:p>
            <w:pPr>
              <w:spacing w:after="0"/>
              <w:rPr>
                <w:sz w:val="20"/>
                <w:szCs w:val="20"/>
                <w:color w:val="auto"/>
              </w:rPr>
            </w:pPr>
            <w:r>
              <w:rPr>
                <w:rFonts w:ascii="Arial" w:cs="Arial" w:eastAsia="Arial" w:hAnsi="Arial"/>
                <w:sz w:val="13"/>
                <w:szCs w:val="13"/>
                <w:b w:val="1"/>
                <w:bCs w:val="1"/>
                <w:color w:val="auto"/>
              </w:rPr>
              <w:t>UNDERWRITERS</w:t>
            </w:r>
          </w:p>
        </w:tc>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NUMBER OF SHARES</w:t>
            </w:r>
          </w:p>
        </w:tc>
      </w:tr>
      <w:tr>
        <w:trPr>
          <w:trHeight w:val="179"/>
        </w:trPr>
        <w:tc>
          <w:tcPr>
            <w:tcW w:w="10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Jefferies LLC</w:t>
            </w:r>
          </w:p>
        </w:tc>
        <w:tc>
          <w:tcPr>
            <w:tcW w:w="89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2,200,000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9960" w:type="dxa"/>
            <w:vAlign w:val="bottom"/>
            <w:gridSpan w:val="2"/>
          </w:tcPr>
          <w:p>
            <w:pPr>
              <w:spacing w:after="0" w:line="194" w:lineRule="exact"/>
              <w:rPr>
                <w:sz w:val="20"/>
                <w:szCs w:val="20"/>
                <w:color w:val="auto"/>
              </w:rPr>
            </w:pPr>
            <w:r>
              <w:rPr>
                <w:rFonts w:ascii="Arial" w:cs="Arial" w:eastAsia="Arial" w:hAnsi="Arial"/>
                <w:sz w:val="17"/>
                <w:szCs w:val="17"/>
                <w:color w:val="auto"/>
              </w:rPr>
              <w:t>Wells Fargo Securities, LLC</w:t>
            </w:r>
          </w:p>
        </w:tc>
        <w:tc>
          <w:tcPr>
            <w:tcW w:w="1360" w:type="dxa"/>
            <w:vAlign w:val="bottom"/>
          </w:tcPr>
          <w:p>
            <w:pPr>
              <w:jc w:val="right"/>
              <w:spacing w:after="0" w:line="194" w:lineRule="exact"/>
              <w:rPr>
                <w:sz w:val="20"/>
                <w:szCs w:val="20"/>
                <w:color w:val="auto"/>
              </w:rPr>
            </w:pPr>
            <w:r>
              <w:rPr>
                <w:rFonts w:ascii="Arial" w:cs="Arial" w:eastAsia="Arial" w:hAnsi="Arial"/>
                <w:sz w:val="17"/>
                <w:szCs w:val="17"/>
                <w:color w:val="auto"/>
              </w:rPr>
              <w:t>1,200,000</w:t>
            </w:r>
          </w:p>
        </w:tc>
        <w:tc>
          <w:tcPr>
            <w:tcW w:w="100" w:type="dxa"/>
            <w:vAlign w:val="bottom"/>
          </w:tcPr>
          <w:p>
            <w:pPr>
              <w:spacing w:after="0"/>
              <w:rPr>
                <w:sz w:val="16"/>
                <w:szCs w:val="16"/>
                <w:color w:val="auto"/>
              </w:rPr>
            </w:pPr>
          </w:p>
        </w:tc>
      </w:tr>
      <w:tr>
        <w:trPr>
          <w:trHeight w:val="194"/>
        </w:trPr>
        <w:tc>
          <w:tcPr>
            <w:tcW w:w="9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Canaccord Genuity Inc.</w:t>
            </w:r>
          </w:p>
        </w:tc>
        <w:tc>
          <w:tcPr>
            <w:tcW w:w="13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600,000</w:t>
            </w:r>
          </w:p>
        </w:tc>
        <w:tc>
          <w:tcPr>
            <w:tcW w:w="100" w:type="dxa"/>
            <w:vAlign w:val="bottom"/>
            <w:shd w:val="clear" w:color="auto" w:fill="CCEEFF"/>
          </w:tcPr>
          <w:p>
            <w:pPr>
              <w:spacing w:after="0"/>
              <w:rPr>
                <w:sz w:val="16"/>
                <w:szCs w:val="16"/>
                <w:color w:val="auto"/>
              </w:rPr>
            </w:pPr>
          </w:p>
        </w:tc>
      </w:tr>
      <w:tr>
        <w:trPr>
          <w:trHeight w:val="199"/>
        </w:trPr>
        <w:tc>
          <w:tcPr>
            <w:tcW w:w="9960" w:type="dxa"/>
            <w:vAlign w:val="bottom"/>
            <w:gridSpan w:val="2"/>
          </w:tcPr>
          <w:p>
            <w:pPr>
              <w:ind w:left="300"/>
              <w:spacing w:after="0"/>
              <w:rPr>
                <w:sz w:val="20"/>
                <w:szCs w:val="20"/>
                <w:color w:val="auto"/>
              </w:rPr>
            </w:pPr>
            <w:r>
              <w:rPr>
                <w:rFonts w:ascii="Arial" w:cs="Arial" w:eastAsia="Arial" w:hAnsi="Arial"/>
                <w:sz w:val="17"/>
                <w:szCs w:val="17"/>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4,000,000</w:t>
            </w:r>
          </w:p>
        </w:tc>
        <w:tc>
          <w:tcPr>
            <w:tcW w:w="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104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and may be terminated at their discretion upon the occurrence of certain stated events. The underwriting agreement provides that the underwriters will purchase all of the common shares if any of them are purchased, other than those shares covered by the option to purchase additional common shares described below.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of 1933, as amended, or the Securities Act, and to contribute to payments that the underwriters may be required to make in respect of those liabilities.</w:t>
      </w:r>
    </w:p>
    <w:p>
      <w:pPr>
        <w:spacing w:after="0" w:line="114"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color w:val="auto"/>
        </w:rPr>
        <w:t>Under the terms of our collaboration agreement, Teva Pharmaceutical Industries Ltd., or Teva, one of our pharmaceutical partners, or an affiliate of Teva will purchase $10.0 million of our common shares in this offering at the initial public offering price. The underwriters will receive the same discount from any common shares purchased by Teva or its affiliate as they will from any other common shares sold to the public in this offering.</w:t>
      </w:r>
    </w:p>
    <w:p>
      <w:pPr>
        <w:spacing w:after="0" w:line="108"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our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our common shares, that you will be able to sell any of the common shares held by you at a particular time or that the prices that you receive when you sell will be favorable.</w:t>
      </w:r>
    </w:p>
    <w:p>
      <w:pPr>
        <w:spacing w:after="0" w:line="111" w:lineRule="exact"/>
        <w:rPr>
          <w:sz w:val="20"/>
          <w:szCs w:val="20"/>
          <w:color w:val="auto"/>
        </w:rPr>
      </w:pPr>
    </w:p>
    <w:p>
      <w:pPr>
        <w:jc w:val="both"/>
        <w:ind w:right="220"/>
        <w:spacing w:after="0" w:line="241" w:lineRule="auto"/>
        <w:rPr>
          <w:sz w:val="20"/>
          <w:szCs w:val="20"/>
          <w:color w:val="auto"/>
        </w:rPr>
      </w:pPr>
      <w:r>
        <w:rPr>
          <w:rFonts w:ascii="Arial" w:cs="Arial" w:eastAsia="Arial" w:hAnsi="Arial"/>
          <w:sz w:val="17"/>
          <w:szCs w:val="17"/>
          <w:color w:val="auto"/>
        </w:rPr>
        <w:t>The underwriters are offering the common shares subject to their acceptance of the common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 and Expenses</w:t>
      </w:r>
    </w:p>
    <w:p>
      <w:pPr>
        <w:spacing w:after="0" w:line="7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underwriters have advised us that they propose to offer the common shares to the public at the initial public offering price set forth on the cover page of this prospectus and to certain dealers, which may include the underwriters, at that price less a concession not in excess of $0.378 per common share. After the offering, the initial public offering price and the concession to dealers may be reduced by the representatives of the underwriters. No such reduction will change the amount of proceeds to be received by us as set forth on the cover page of this prospectus.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44"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PER SHARE</w:t>
            </w:r>
          </w:p>
        </w:tc>
        <w:tc>
          <w:tcPr>
            <w:tcW w:w="68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3"/>
                <w:szCs w:val="13"/>
                <w:b w:val="1"/>
                <w:bCs w:val="1"/>
                <w:color w:val="auto"/>
              </w:rPr>
              <w:t>TOTAL</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8"/>
        </w:trPr>
        <w:tc>
          <w:tcPr>
            <w:tcW w:w="4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680"/>
              <w:spacing w:after="0" w:line="118" w:lineRule="exact"/>
              <w:rPr>
                <w:sz w:val="20"/>
                <w:szCs w:val="20"/>
                <w:color w:val="auto"/>
              </w:rPr>
            </w:pPr>
            <w:r>
              <w:rPr>
                <w:rFonts w:ascii="Arial" w:cs="Arial" w:eastAsia="Arial" w:hAnsi="Arial"/>
                <w:sz w:val="13"/>
                <w:szCs w:val="13"/>
                <w:b w:val="1"/>
                <w:bCs w:val="1"/>
                <w:color w:val="auto"/>
                <w:w w:val="98"/>
              </w:rPr>
              <w:t>WITHOUT</w:t>
            </w:r>
          </w:p>
        </w:tc>
        <w:tc>
          <w:tcPr>
            <w:tcW w:w="120" w:type="dxa"/>
            <w:vAlign w:val="bottom"/>
          </w:tcPr>
          <w:p>
            <w:pPr>
              <w:spacing w:after="0"/>
              <w:rPr>
                <w:sz w:val="10"/>
                <w:szCs w:val="10"/>
                <w:color w:val="auto"/>
              </w:rPr>
            </w:pPr>
          </w:p>
        </w:tc>
        <w:tc>
          <w:tcPr>
            <w:tcW w:w="680" w:type="dxa"/>
            <w:vAlign w:val="bottom"/>
          </w:tcPr>
          <w:p>
            <w:pPr>
              <w:jc w:val="center"/>
              <w:ind w:right="44"/>
              <w:spacing w:after="0" w:line="118" w:lineRule="exact"/>
              <w:rPr>
                <w:sz w:val="20"/>
                <w:szCs w:val="20"/>
                <w:color w:val="auto"/>
              </w:rPr>
            </w:pPr>
            <w:r>
              <w:rPr>
                <w:rFonts w:ascii="Arial" w:cs="Arial" w:eastAsia="Arial" w:hAnsi="Arial"/>
                <w:sz w:val="13"/>
                <w:szCs w:val="13"/>
                <w:b w:val="1"/>
                <w:bCs w:val="1"/>
                <w:color w:val="auto"/>
                <w:w w:val="96"/>
              </w:rPr>
              <w:t>WITH</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7"/>
              <w:spacing w:after="0" w:line="118" w:lineRule="exact"/>
              <w:rPr>
                <w:sz w:val="20"/>
                <w:szCs w:val="20"/>
                <w:color w:val="auto"/>
              </w:rPr>
            </w:pPr>
            <w:r>
              <w:rPr>
                <w:rFonts w:ascii="Arial" w:cs="Arial" w:eastAsia="Arial" w:hAnsi="Arial"/>
                <w:sz w:val="13"/>
                <w:szCs w:val="13"/>
                <w:b w:val="1"/>
                <w:bCs w:val="1"/>
                <w:color w:val="auto"/>
                <w:w w:val="98"/>
              </w:rPr>
              <w:t>WITHOUT</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47"/>
              <w:spacing w:after="0" w:line="118" w:lineRule="exact"/>
              <w:rPr>
                <w:sz w:val="20"/>
                <w:szCs w:val="20"/>
                <w:color w:val="auto"/>
              </w:rPr>
            </w:pPr>
            <w:r>
              <w:rPr>
                <w:rFonts w:ascii="Arial" w:cs="Arial" w:eastAsia="Arial" w:hAnsi="Arial"/>
                <w:sz w:val="13"/>
                <w:szCs w:val="13"/>
                <w:b w:val="1"/>
                <w:bCs w:val="1"/>
                <w:color w:val="auto"/>
                <w:w w:val="96"/>
              </w:rPr>
              <w:t>WITH</w:t>
            </w:r>
          </w:p>
        </w:tc>
        <w:tc>
          <w:tcPr>
            <w:tcW w:w="100" w:type="dxa"/>
            <w:vAlign w:val="bottom"/>
          </w:tcPr>
          <w:p>
            <w:pPr>
              <w:spacing w:after="0"/>
              <w:rPr>
                <w:sz w:val="10"/>
                <w:szCs w:val="10"/>
                <w:color w:val="auto"/>
              </w:rPr>
            </w:pPr>
          </w:p>
        </w:tc>
      </w:tr>
      <w:tr>
        <w:trPr>
          <w:trHeight w:val="142"/>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center"/>
              <w:ind w:right="620"/>
              <w:spacing w:after="0" w:line="142" w:lineRule="exact"/>
              <w:rPr>
                <w:sz w:val="20"/>
                <w:szCs w:val="20"/>
                <w:color w:val="auto"/>
              </w:rPr>
            </w:pPr>
            <w:r>
              <w:rPr>
                <w:rFonts w:ascii="Arial" w:cs="Arial" w:eastAsia="Arial" w:hAnsi="Arial"/>
                <w:sz w:val="13"/>
                <w:szCs w:val="13"/>
                <w:b w:val="1"/>
                <w:bCs w:val="1"/>
                <w:color w:val="auto"/>
              </w:rPr>
              <w:t>OPTION TO</w:t>
            </w:r>
          </w:p>
        </w:tc>
        <w:tc>
          <w:tcPr>
            <w:tcW w:w="1400" w:type="dxa"/>
            <w:vAlign w:val="bottom"/>
            <w:gridSpan w:val="3"/>
          </w:tcPr>
          <w:p>
            <w:pPr>
              <w:jc w:val="center"/>
              <w:ind w:right="600"/>
              <w:spacing w:after="0" w:line="142" w:lineRule="exact"/>
              <w:rPr>
                <w:sz w:val="20"/>
                <w:szCs w:val="20"/>
                <w:color w:val="auto"/>
              </w:rPr>
            </w:pPr>
            <w:r>
              <w:rPr>
                <w:rFonts w:ascii="Arial" w:cs="Arial" w:eastAsia="Arial" w:hAnsi="Arial"/>
                <w:sz w:val="13"/>
                <w:szCs w:val="13"/>
                <w:b w:val="1"/>
                <w:bCs w:val="1"/>
                <w:color w:val="auto"/>
              </w:rPr>
              <w:t>OPTION TO</w:t>
            </w:r>
          </w:p>
        </w:tc>
        <w:tc>
          <w:tcPr>
            <w:tcW w:w="100" w:type="dxa"/>
            <w:vAlign w:val="bottom"/>
          </w:tcPr>
          <w:p>
            <w:pPr>
              <w:spacing w:after="0"/>
              <w:rPr>
                <w:sz w:val="12"/>
                <w:szCs w:val="12"/>
                <w:color w:val="auto"/>
              </w:rPr>
            </w:pPr>
          </w:p>
        </w:tc>
        <w:tc>
          <w:tcPr>
            <w:tcW w:w="860" w:type="dxa"/>
            <w:vAlign w:val="bottom"/>
          </w:tcPr>
          <w:p>
            <w:pPr>
              <w:jc w:val="center"/>
              <w:ind w:right="27"/>
              <w:spacing w:after="0" w:line="142" w:lineRule="exact"/>
              <w:rPr>
                <w:sz w:val="20"/>
                <w:szCs w:val="20"/>
                <w:color w:val="auto"/>
              </w:rPr>
            </w:pPr>
            <w:r>
              <w:rPr>
                <w:rFonts w:ascii="Arial" w:cs="Arial" w:eastAsia="Arial" w:hAnsi="Arial"/>
                <w:sz w:val="13"/>
                <w:szCs w:val="13"/>
                <w:b w:val="1"/>
                <w:bCs w:val="1"/>
                <w:color w:val="auto"/>
              </w:rPr>
              <w:t>OPTION TO</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7"/>
              </w:rPr>
              <w:t>OPTION TO</w:t>
            </w:r>
          </w:p>
        </w:tc>
      </w:tr>
      <w:tr>
        <w:trPr>
          <w:trHeight w:val="142"/>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center"/>
              <w:ind w:right="620"/>
              <w:spacing w:after="0" w:line="142" w:lineRule="exact"/>
              <w:rPr>
                <w:sz w:val="20"/>
                <w:szCs w:val="20"/>
                <w:color w:val="auto"/>
              </w:rPr>
            </w:pPr>
            <w:r>
              <w:rPr>
                <w:rFonts w:ascii="Arial" w:cs="Arial" w:eastAsia="Arial" w:hAnsi="Arial"/>
                <w:sz w:val="13"/>
                <w:szCs w:val="13"/>
                <w:b w:val="1"/>
                <w:bCs w:val="1"/>
                <w:color w:val="auto"/>
              </w:rPr>
              <w:t>PURCHASE</w:t>
            </w:r>
          </w:p>
        </w:tc>
        <w:tc>
          <w:tcPr>
            <w:tcW w:w="1400" w:type="dxa"/>
            <w:vAlign w:val="bottom"/>
            <w:gridSpan w:val="3"/>
          </w:tcPr>
          <w:p>
            <w:pPr>
              <w:jc w:val="center"/>
              <w:ind w:right="600"/>
              <w:spacing w:after="0" w:line="142" w:lineRule="exact"/>
              <w:rPr>
                <w:sz w:val="20"/>
                <w:szCs w:val="20"/>
                <w:color w:val="auto"/>
              </w:rPr>
            </w:pPr>
            <w:r>
              <w:rPr>
                <w:rFonts w:ascii="Arial" w:cs="Arial" w:eastAsia="Arial" w:hAnsi="Arial"/>
                <w:sz w:val="13"/>
                <w:szCs w:val="13"/>
                <w:b w:val="1"/>
                <w:bCs w:val="1"/>
                <w:color w:val="auto"/>
                <w:w w:val="98"/>
              </w:rPr>
              <w:t>PURCHASE</w:t>
            </w:r>
          </w:p>
        </w:tc>
        <w:tc>
          <w:tcPr>
            <w:tcW w:w="100" w:type="dxa"/>
            <w:vAlign w:val="bottom"/>
          </w:tcPr>
          <w:p>
            <w:pPr>
              <w:spacing w:after="0"/>
              <w:rPr>
                <w:sz w:val="12"/>
                <w:szCs w:val="12"/>
                <w:color w:val="auto"/>
              </w:rPr>
            </w:pPr>
          </w:p>
        </w:tc>
        <w:tc>
          <w:tcPr>
            <w:tcW w:w="860" w:type="dxa"/>
            <w:vAlign w:val="bottom"/>
          </w:tcPr>
          <w:p>
            <w:pPr>
              <w:jc w:val="center"/>
              <w:ind w:right="27"/>
              <w:spacing w:after="0" w:line="142" w:lineRule="exact"/>
              <w:rPr>
                <w:sz w:val="20"/>
                <w:szCs w:val="20"/>
                <w:color w:val="auto"/>
              </w:rPr>
            </w:pPr>
            <w:r>
              <w:rPr>
                <w:rFonts w:ascii="Arial" w:cs="Arial" w:eastAsia="Arial" w:hAnsi="Arial"/>
                <w:sz w:val="13"/>
                <w:szCs w:val="13"/>
                <w:b w:val="1"/>
                <w:bCs w:val="1"/>
                <w:color w:val="auto"/>
                <w:w w:val="98"/>
              </w:rPr>
              <w:t>PURCHASE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8"/>
              </w:rPr>
              <w:t>PURCHASE</w:t>
            </w:r>
          </w:p>
        </w:tc>
      </w:tr>
      <w:tr>
        <w:trPr>
          <w:trHeight w:val="142"/>
        </w:trPr>
        <w:tc>
          <w:tcPr>
            <w:tcW w:w="4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gridSpan w:val="3"/>
          </w:tcPr>
          <w:p>
            <w:pPr>
              <w:jc w:val="center"/>
              <w:ind w:right="620"/>
              <w:spacing w:after="0" w:line="142" w:lineRule="exact"/>
              <w:rPr>
                <w:sz w:val="20"/>
                <w:szCs w:val="20"/>
                <w:color w:val="auto"/>
              </w:rPr>
            </w:pPr>
            <w:r>
              <w:rPr>
                <w:rFonts w:ascii="Arial" w:cs="Arial" w:eastAsia="Arial" w:hAnsi="Arial"/>
                <w:sz w:val="13"/>
                <w:szCs w:val="13"/>
                <w:b w:val="1"/>
                <w:bCs w:val="1"/>
                <w:color w:val="auto"/>
                <w:w w:val="97"/>
              </w:rPr>
              <w:t>ADDITIONAL</w:t>
            </w:r>
          </w:p>
        </w:tc>
        <w:tc>
          <w:tcPr>
            <w:tcW w:w="1400" w:type="dxa"/>
            <w:vAlign w:val="bottom"/>
            <w:gridSpan w:val="3"/>
          </w:tcPr>
          <w:p>
            <w:pPr>
              <w:jc w:val="center"/>
              <w:ind w:right="600"/>
              <w:spacing w:after="0" w:line="142" w:lineRule="exact"/>
              <w:rPr>
                <w:sz w:val="20"/>
                <w:szCs w:val="20"/>
                <w:color w:val="auto"/>
              </w:rPr>
            </w:pPr>
            <w:r>
              <w:rPr>
                <w:rFonts w:ascii="Arial" w:cs="Arial" w:eastAsia="Arial" w:hAnsi="Arial"/>
                <w:sz w:val="13"/>
                <w:szCs w:val="13"/>
                <w:b w:val="1"/>
                <w:bCs w:val="1"/>
                <w:color w:val="auto"/>
                <w:w w:val="99"/>
              </w:rPr>
              <w:t>ADDITIONAL</w:t>
            </w:r>
          </w:p>
        </w:tc>
        <w:tc>
          <w:tcPr>
            <w:tcW w:w="9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9"/>
              </w:rPr>
              <w:t>ADDITIONAL</w:t>
            </w:r>
          </w:p>
        </w:tc>
        <w:tc>
          <w:tcPr>
            <w:tcW w:w="600" w:type="dxa"/>
            <w:vAlign w:val="bottom"/>
          </w:tcPr>
          <w:p>
            <w:pPr>
              <w:spacing w:after="0"/>
              <w:rPr>
                <w:sz w:val="12"/>
                <w:szCs w:val="12"/>
                <w:color w:val="auto"/>
              </w:rPr>
            </w:pPr>
          </w:p>
        </w:tc>
        <w:tc>
          <w:tcPr>
            <w:tcW w:w="106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9"/>
              </w:rPr>
              <w:t>ADDITIONAL</w:t>
            </w:r>
          </w:p>
        </w:tc>
      </w:tr>
      <w:tr>
        <w:trPr>
          <w:trHeight w:val="159"/>
        </w:trPr>
        <w:tc>
          <w:tcPr>
            <w:tcW w:w="49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9"/>
              </w:rPr>
              <w:t>SHARES</w:t>
            </w:r>
          </w:p>
        </w:tc>
        <w:tc>
          <w:tcPr>
            <w:tcW w:w="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9"/>
              </w:rPr>
              <w:t>SHARES</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9"/>
              </w:rPr>
              <w:t>SHARES</w:t>
            </w:r>
          </w:p>
        </w:tc>
        <w:tc>
          <w:tcPr>
            <w:tcW w:w="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9"/>
              </w:rPr>
              <w:t>SHARES</w:t>
            </w:r>
          </w:p>
        </w:tc>
        <w:tc>
          <w:tcPr>
            <w:tcW w:w="100" w:type="dxa"/>
            <w:vAlign w:val="bottom"/>
            <w:tcBorders>
              <w:bottom w:val="single" w:sz="8" w:color="CCEEFF"/>
            </w:tcBorders>
          </w:tcPr>
          <w:p>
            <w:pPr>
              <w:spacing w:after="0"/>
              <w:rPr>
                <w:sz w:val="13"/>
                <w:szCs w:val="13"/>
                <w:color w:val="auto"/>
              </w:rPr>
            </w:pPr>
          </w:p>
        </w:tc>
      </w:tr>
      <w:tr>
        <w:trPr>
          <w:trHeight w:val="186"/>
        </w:trPr>
        <w:tc>
          <w:tcPr>
            <w:tcW w:w="4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Public offering price</w:t>
            </w:r>
          </w:p>
        </w:tc>
        <w:tc>
          <w:tcPr>
            <w:tcW w:w="116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9.00</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600"/>
              <w:spacing w:after="0" w:line="186" w:lineRule="exact"/>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8"/>
              </w:rPr>
              <w:t>36,000,000</w:t>
            </w:r>
          </w:p>
        </w:tc>
        <w:tc>
          <w:tcPr>
            <w:tcW w:w="7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6"/>
              </w:rPr>
              <w:t>41,400,000</w:t>
            </w:r>
          </w:p>
        </w:tc>
        <w:tc>
          <w:tcPr>
            <w:tcW w:w="100" w:type="dxa"/>
            <w:vAlign w:val="bottom"/>
            <w:shd w:val="clear" w:color="auto" w:fill="CCEEFF"/>
          </w:tcPr>
          <w:p>
            <w:pPr>
              <w:spacing w:after="0"/>
              <w:rPr>
                <w:sz w:val="16"/>
                <w:szCs w:val="16"/>
                <w:color w:val="auto"/>
              </w:rPr>
            </w:pPr>
          </w:p>
        </w:tc>
      </w:tr>
      <w:tr>
        <w:trPr>
          <w:trHeight w:val="194"/>
        </w:trPr>
        <w:tc>
          <w:tcPr>
            <w:tcW w:w="4920" w:type="dxa"/>
            <w:vAlign w:val="bottom"/>
          </w:tcPr>
          <w:p>
            <w:pPr>
              <w:spacing w:after="0" w:line="194" w:lineRule="exact"/>
              <w:rPr>
                <w:sz w:val="20"/>
                <w:szCs w:val="20"/>
                <w:color w:val="auto"/>
              </w:rPr>
            </w:pPr>
            <w:r>
              <w:rPr>
                <w:rFonts w:ascii="Arial" w:cs="Arial" w:eastAsia="Arial" w:hAnsi="Arial"/>
                <w:sz w:val="17"/>
                <w:szCs w:val="17"/>
                <w:color w:val="auto"/>
              </w:rPr>
              <w:t>Underwriting discounts and commissions paid by us</w:t>
            </w:r>
          </w:p>
        </w:tc>
        <w:tc>
          <w:tcPr>
            <w:tcW w:w="11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0.63</w:t>
            </w:r>
          </w:p>
        </w:tc>
        <w:tc>
          <w:tcPr>
            <w:tcW w:w="600" w:type="dxa"/>
            <w:vAlign w:val="bottom"/>
          </w:tcPr>
          <w:p>
            <w:pPr>
              <w:spacing w:after="0"/>
              <w:rPr>
                <w:sz w:val="16"/>
                <w:szCs w:val="16"/>
                <w:color w:val="auto"/>
              </w:rPr>
            </w:pPr>
          </w:p>
        </w:tc>
        <w:tc>
          <w:tcPr>
            <w:tcW w:w="12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0.63</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94" w:lineRule="exact"/>
              <w:rPr>
                <w:sz w:val="20"/>
                <w:szCs w:val="20"/>
                <w:color w:val="auto"/>
              </w:rPr>
            </w:pPr>
            <w:r>
              <w:rPr>
                <w:rFonts w:ascii="Arial" w:cs="Arial" w:eastAsia="Arial" w:hAnsi="Arial"/>
                <w:sz w:val="17"/>
                <w:szCs w:val="17"/>
                <w:color w:val="auto"/>
              </w:rPr>
              <w:t>2,520,000</w:t>
            </w: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auto"/>
              </w:rPr>
              <w:t>2,898,000</w:t>
            </w:r>
          </w:p>
        </w:tc>
        <w:tc>
          <w:tcPr>
            <w:tcW w:w="100" w:type="dxa"/>
            <w:vAlign w:val="bottom"/>
          </w:tcPr>
          <w:p>
            <w:pPr>
              <w:spacing w:after="0"/>
              <w:rPr>
                <w:sz w:val="16"/>
                <w:szCs w:val="16"/>
                <w:color w:val="auto"/>
              </w:rPr>
            </w:pPr>
          </w:p>
        </w:tc>
      </w:tr>
      <w:tr>
        <w:trPr>
          <w:trHeight w:val="194"/>
        </w:trPr>
        <w:tc>
          <w:tcPr>
            <w:tcW w:w="4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Proceeds to us, before expenses</w:t>
            </w:r>
          </w:p>
        </w:tc>
        <w:tc>
          <w:tcPr>
            <w:tcW w:w="1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8.37</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33,480,000</w:t>
            </w: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38,502,000</w:t>
            </w:r>
          </w:p>
        </w:tc>
        <w:tc>
          <w:tcPr>
            <w:tcW w:w="100" w:type="dxa"/>
            <w:vAlign w:val="bottom"/>
            <w:shd w:val="clear" w:color="auto" w:fill="CCEEFF"/>
          </w:tcPr>
          <w:p>
            <w:pPr>
              <w:spacing w:after="0"/>
              <w:rPr>
                <w:sz w:val="16"/>
                <w:szCs w:val="16"/>
                <w:color w:val="auto"/>
              </w:rPr>
            </w:pPr>
          </w:p>
        </w:tc>
      </w:tr>
      <w:tr>
        <w:trPr>
          <w:trHeight w:val="129"/>
        </w:trPr>
        <w:tc>
          <w:tcPr>
            <w:tcW w:w="4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11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$4.3 million. We have also agreed to reimburse the underwriters for up to $30,000 of expenses related to the review of this offering by the Financial Industry Regulatory Authority, Inc.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Concurrent Private Placement</w:t>
      </w:r>
    </w:p>
    <w:p>
      <w:pPr>
        <w:spacing w:after="0" w:line="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Pursuant to the terms of our common share put agreement, an affiliate of Genentech, Inc., one of our pharmaceutical partners, will purchase approximately $4.5 million of our common shares in a separate private placement concurrent with the completion of this offering at a price per share equal to the initial public offering price. The sale of such shares will not be registered under the Securities Act of 1933, as amended. The closing of this offering is not conditioned upon the closing of the concurrent private placement. In connection with the concurrent private placement, the underwriters will receive an aggregate cash fee equal to 7% of the gross sales price of the common shares sold in the concurrent private placement.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Offering Price</w:t>
      </w:r>
    </w:p>
    <w:p>
      <w:pPr>
        <w:spacing w:after="0" w:line="7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this offering, there has not been a public market for our common shares. Consequently, the initial public offering price for our common shares has been determined by negotiations between us and the representatives of the underwriters. Among the factors considered in these negotiations were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09" w:lineRule="exact"/>
        <w:rPr>
          <w:sz w:val="20"/>
          <w:szCs w:val="20"/>
          <w:color w:val="auto"/>
        </w:rPr>
      </w:pPr>
    </w:p>
    <w:p>
      <w:pPr>
        <w:ind w:right="680"/>
        <w:spacing w:after="0" w:line="24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our common shares will trade in the public market subsequent to the offering or that an active trading market for our common shares will develop and continue after the offering.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common shares have been approved for listing on The NASDAQ Global Market under the trading symbol “XENE”.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7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600,000 common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common shares than the total number set forth on the cover page of this prospectus.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420"/>
          </w:cols>
          <w:pgMar w:left="240" w:top="444"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7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We, all our officers and directors and holders of substantially all of our outstanding common shares and other securities have agreed, subject to specified exceptions, not to directly or indirectly:</w:t>
      </w:r>
    </w:p>
    <w:p>
      <w:pPr>
        <w:spacing w:after="0" w:line="117" w:lineRule="exact"/>
        <w:rPr>
          <w:sz w:val="20"/>
          <w:szCs w:val="20"/>
          <w:color w:val="auto"/>
        </w:rPr>
      </w:pPr>
    </w:p>
    <w:p>
      <w:pPr>
        <w:ind w:left="780" w:right="320" w:hanging="441"/>
        <w:spacing w:after="0" w:line="204" w:lineRule="auto"/>
        <w:tabs>
          <w:tab w:leader="none" w:pos="780" w:val="left"/>
        </w:tabs>
        <w:numPr>
          <w:ilvl w:val="0"/>
          <w:numId w:val="109"/>
        </w:numPr>
        <w:rPr>
          <w:rFonts w:ascii="Arial" w:cs="Arial" w:eastAsia="Arial" w:hAnsi="Arial"/>
          <w:sz w:val="26"/>
          <w:szCs w:val="26"/>
          <w:color w:val="auto"/>
          <w:vertAlign w:val="superscript"/>
        </w:rPr>
      </w:pPr>
      <w:r>
        <w:rPr>
          <w:rFonts w:ascii="Arial" w:cs="Arial" w:eastAsia="Arial" w:hAnsi="Arial"/>
          <w:sz w:val="17"/>
          <w:szCs w:val="17"/>
          <w:color w:val="auto"/>
        </w:rPr>
        <w:t>sell, offer, contract or grant any option to sell (including any short sale), lend, pledge, transfer, establish or increase an open “put equivalent position” or liquidate or decrease a “call equivalent position” within the meaning of Rule 16a-1(h) and Rule 16a-1(b) under the Securities Exchange Act of 1934, as amended, or the Exchange Act, or</w:t>
      </w:r>
    </w:p>
    <w:p>
      <w:pPr>
        <w:spacing w:after="0" w:line="20" w:lineRule="exact"/>
        <w:rPr>
          <w:rFonts w:ascii="Arial" w:cs="Arial" w:eastAsia="Arial" w:hAnsi="Arial"/>
          <w:sz w:val="26"/>
          <w:szCs w:val="26"/>
          <w:color w:val="auto"/>
          <w:vertAlign w:val="superscript"/>
        </w:rPr>
      </w:pPr>
    </w:p>
    <w:p>
      <w:pPr>
        <w:ind w:left="780" w:right="380" w:hanging="441"/>
        <w:spacing w:after="0" w:line="191" w:lineRule="auto"/>
        <w:tabs>
          <w:tab w:leader="none" w:pos="780" w:val="left"/>
        </w:tabs>
        <w:numPr>
          <w:ilvl w:val="0"/>
          <w:numId w:val="109"/>
        </w:numPr>
        <w:rPr>
          <w:rFonts w:ascii="Arial" w:cs="Arial" w:eastAsia="Arial" w:hAnsi="Arial"/>
          <w:sz w:val="26"/>
          <w:szCs w:val="26"/>
          <w:color w:val="auto"/>
          <w:vertAlign w:val="superscript"/>
        </w:rPr>
      </w:pPr>
      <w:r>
        <w:rPr>
          <w:rFonts w:ascii="Arial" w:cs="Arial" w:eastAsia="Arial" w:hAnsi="Arial"/>
          <w:sz w:val="17"/>
          <w:szCs w:val="17"/>
          <w:color w:val="auto"/>
        </w:rPr>
        <w:t>otherwise dispose of any common shares, options or warrants to acquire common shares, or securities exchangeable or exercisable for or convertible into common shares currently or hereafter owned either of record or beneficially, or</w:t>
      </w:r>
    </w:p>
    <w:p>
      <w:pPr>
        <w:spacing w:after="0" w:line="19" w:lineRule="exact"/>
        <w:rPr>
          <w:rFonts w:ascii="Arial" w:cs="Arial" w:eastAsia="Arial" w:hAnsi="Arial"/>
          <w:sz w:val="26"/>
          <w:szCs w:val="26"/>
          <w:color w:val="auto"/>
          <w:vertAlign w:val="superscript"/>
        </w:rPr>
      </w:pPr>
    </w:p>
    <w:p>
      <w:pPr>
        <w:ind w:left="780" w:right="60" w:hanging="441"/>
        <w:spacing w:after="0" w:line="204" w:lineRule="auto"/>
        <w:tabs>
          <w:tab w:leader="none" w:pos="780" w:val="left"/>
        </w:tabs>
        <w:numPr>
          <w:ilvl w:val="0"/>
          <w:numId w:val="109"/>
        </w:numPr>
        <w:rPr>
          <w:rFonts w:ascii="Arial" w:cs="Arial" w:eastAsia="Arial" w:hAnsi="Arial"/>
          <w:sz w:val="26"/>
          <w:szCs w:val="26"/>
          <w:color w:val="auto"/>
          <w:vertAlign w:val="superscript"/>
        </w:rPr>
      </w:pPr>
      <w:r>
        <w:rPr>
          <w:rFonts w:ascii="Arial" w:cs="Arial" w:eastAsia="Arial" w:hAnsi="Arial"/>
          <w:sz w:val="17"/>
          <w:szCs w:val="17"/>
          <w:color w:val="auto"/>
        </w:rPr>
        <w:t>enter into any swap, hedge or similar arrangement or agreement that transfers, in whole or in part, the economic risk of ownership of common shares, or of options or warrants to acquire common shares, or securities or rights exchangeable or exercisable for or convertible into common shares, or</w:t>
      </w:r>
    </w:p>
    <w:p>
      <w:pPr>
        <w:spacing w:after="0" w:line="20" w:lineRule="exact"/>
        <w:rPr>
          <w:rFonts w:ascii="Arial" w:cs="Arial" w:eastAsia="Arial" w:hAnsi="Arial"/>
          <w:sz w:val="26"/>
          <w:szCs w:val="26"/>
          <w:color w:val="auto"/>
          <w:vertAlign w:val="superscript"/>
        </w:rPr>
      </w:pPr>
    </w:p>
    <w:p>
      <w:pPr>
        <w:ind w:left="780" w:right="60" w:hanging="441"/>
        <w:spacing w:after="0" w:line="212" w:lineRule="auto"/>
        <w:tabs>
          <w:tab w:leader="none" w:pos="780" w:val="left"/>
        </w:tabs>
        <w:numPr>
          <w:ilvl w:val="0"/>
          <w:numId w:val="109"/>
        </w:numPr>
        <w:rPr>
          <w:rFonts w:ascii="Arial" w:cs="Arial" w:eastAsia="Arial" w:hAnsi="Arial"/>
          <w:sz w:val="26"/>
          <w:szCs w:val="26"/>
          <w:color w:val="auto"/>
          <w:vertAlign w:val="superscript"/>
        </w:rPr>
      </w:pPr>
      <w:r>
        <w:rPr>
          <w:rFonts w:ascii="Arial" w:cs="Arial" w:eastAsia="Arial" w:hAnsi="Arial"/>
          <w:sz w:val="17"/>
          <w:szCs w:val="17"/>
          <w:color w:val="auto"/>
        </w:rPr>
        <w:t>make any demand for, or exercise any right with respect to, the registration under the Securities Act of the offer and sale of any common shares, or of options or warrants to acquire common shares, or securities or rights exchangeable or exercisable for or convertible into common shares, or cause to be filed a registration statement, prospectus or prospectus supplement (or an amendment or supplement thereto) with respect to any such registration, or</w:t>
      </w:r>
    </w:p>
    <w:p>
      <w:pPr>
        <w:spacing w:after="0" w:line="18" w:lineRule="exact"/>
        <w:rPr>
          <w:rFonts w:ascii="Arial" w:cs="Arial" w:eastAsia="Arial" w:hAnsi="Arial"/>
          <w:sz w:val="26"/>
          <w:szCs w:val="26"/>
          <w:color w:val="auto"/>
          <w:vertAlign w:val="superscript"/>
        </w:rPr>
      </w:pPr>
    </w:p>
    <w:p>
      <w:pPr>
        <w:ind w:left="780" w:right="420" w:hanging="441"/>
        <w:spacing w:after="0" w:line="191" w:lineRule="auto"/>
        <w:tabs>
          <w:tab w:leader="none" w:pos="780" w:val="left"/>
        </w:tabs>
        <w:numPr>
          <w:ilvl w:val="0"/>
          <w:numId w:val="109"/>
        </w:numPr>
        <w:rPr>
          <w:rFonts w:ascii="Arial" w:cs="Arial" w:eastAsia="Arial" w:hAnsi="Arial"/>
          <w:sz w:val="26"/>
          <w:szCs w:val="26"/>
          <w:color w:val="auto"/>
          <w:vertAlign w:val="superscript"/>
        </w:rPr>
      </w:pPr>
      <w:r>
        <w:rPr>
          <w:rFonts w:ascii="Arial" w:cs="Arial" w:eastAsia="Arial" w:hAnsi="Arial"/>
          <w:sz w:val="17"/>
          <w:szCs w:val="17"/>
          <w:color w:val="auto"/>
        </w:rPr>
        <w:t>publicly announce an intention to do any of the foregoing for a period of 180 days after the date of this prospectus without the prior written consent of the representatives of the underwriters.</w:t>
      </w:r>
    </w:p>
    <w:p>
      <w:pPr>
        <w:spacing w:after="0" w:line="110" w:lineRule="exact"/>
        <w:rPr>
          <w:sz w:val="20"/>
          <w:szCs w:val="20"/>
          <w:color w:val="auto"/>
        </w:rPr>
      </w:pPr>
    </w:p>
    <w:p>
      <w:pPr>
        <w:jc w:val="both"/>
        <w:ind w:right="200"/>
        <w:spacing w:after="0" w:line="241" w:lineRule="auto"/>
        <w:rPr>
          <w:sz w:val="20"/>
          <w:szCs w:val="20"/>
          <w:color w:val="auto"/>
        </w:rPr>
      </w:pPr>
      <w:r>
        <w:rPr>
          <w:rFonts w:ascii="Arial" w:cs="Arial" w:eastAsia="Arial" w:hAnsi="Arial"/>
          <w:sz w:val="17"/>
          <w:szCs w:val="17"/>
          <w:color w:val="auto"/>
        </w:rPr>
        <w:t>The foregoing restriction terminates after the close of trading of our common shares on and including the 180</w:t>
      </w:r>
      <w:r>
        <w:rPr>
          <w:rFonts w:ascii="Arial" w:cs="Arial" w:eastAsia="Arial" w:hAnsi="Arial"/>
          <w:sz w:val="10"/>
          <w:szCs w:val="10"/>
          <w:color w:val="auto"/>
        </w:rPr>
        <w:t>th</w:t>
      </w:r>
      <w:r>
        <w:rPr>
          <w:rFonts w:ascii="Arial" w:cs="Arial" w:eastAsia="Arial" w:hAnsi="Arial"/>
          <w:sz w:val="17"/>
          <w:szCs w:val="17"/>
          <w:color w:val="auto"/>
        </w:rPr>
        <w:t xml:space="preserve"> day after the date of this prospectus and shall not apply to our issuance during the 180-day restricted period of a number of common shares not greater than 5% of the total number of common shares outstanding to one or more counterparties in connection with the consummation of any strategic transaction.</w:t>
      </w:r>
    </w:p>
    <w:p>
      <w:pPr>
        <w:spacing w:after="0" w:line="108" w:lineRule="exact"/>
        <w:rPr>
          <w:sz w:val="20"/>
          <w:szCs w:val="20"/>
          <w:color w:val="auto"/>
        </w:rPr>
      </w:pPr>
    </w:p>
    <w:p>
      <w:pPr>
        <w:jc w:val="both"/>
        <w:ind w:right="400"/>
        <w:spacing w:after="0" w:line="241" w:lineRule="auto"/>
        <w:rPr>
          <w:sz w:val="20"/>
          <w:szCs w:val="20"/>
          <w:color w:val="auto"/>
        </w:rPr>
      </w:pPr>
      <w:r>
        <w:rPr>
          <w:rFonts w:ascii="Arial" w:cs="Arial" w:eastAsia="Arial" w:hAnsi="Arial"/>
          <w:sz w:val="17"/>
          <w:szCs w:val="17"/>
          <w:color w:val="auto"/>
        </w:rPr>
        <w:t>The representatives of the underwriters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7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our common shares at a level above that which might otherwise prevail in the open market. Establishing short sales positions may involve either “covered” short sales or “naked” short sales.</w:t>
      </w:r>
    </w:p>
    <w:p>
      <w:pPr>
        <w:spacing w:after="0" w:line="10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common shares in this offering. The underwriters may close out any covered short position by either exercising their option to purchase additional common shares or purchasing common shares in the open market. In determining the source of common shares to close out the covered short position, the underwriters will consider, among other things, the price of common shares available for purchase in the open market as compared to the price at which they may purchase common shares through the option to purchase additional common shares.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“Naked” short sales are sales in excess of the option to purchase additional common shares. The underwriters must close out any naked short position by purchasing common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w:t>
      </w:r>
    </w:p>
    <w:p>
      <w:pPr>
        <w:spacing w:after="0" w:line="9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A stabilizing bid is a bid for the purchase of common shares on behalf of the underwriters for the purpose of fixing or maintaining the price of the common shares. A syndicate covering transaction is the bid for or the purchase of common shares on behalf of the underwriters to reduce a short position incurred by the underwriters in connection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400"/>
          </w:cols>
          <w:pgMar w:left="240" w:top="445"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with the offering. Similar to other purchase transactions, an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11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shares. The underwriters are not obligated to engage in these activities and, if commenced, any of the activities may be discontinued at any time.</w:t>
      </w:r>
    </w:p>
    <w:p>
      <w:pPr>
        <w:spacing w:after="0" w:line="10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underwriters may also engage in passive market making transactions in our common shares on The NASDAQ Global Market in accordance with Rule 103 of Regulation M during a period before the commencement of offers or sales of common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70"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 and Relationships</w:t>
      </w:r>
    </w:p>
    <w:p>
      <w:pPr>
        <w:spacing w:after="0" w:line="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Disclaimers About Non-U.S. and Canadian Jurisdictions</w:t>
      </w:r>
    </w:p>
    <w:p>
      <w:pPr>
        <w:spacing w:after="0" w:line="70"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offering is being made concurrently in the United States and the Provinces of British Columbia, Alberta, and Ontario in Canada. Our common shares will be offered in the United States and Canada through the underwriters,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400"/>
          </w:cols>
          <w:pgMar w:left="240" w:top="444" w:right="2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either directly or through their respective United States or Canadian broker-dealer affiliates or agents, as applicable. No securities will be offered or sold in any jurisdiction except by or through brokers or dealers duly registered under the applicable securities laws of that jurisdiction or in circumstances where an exemption from such registered dealer requirements is available.</w:t>
      </w:r>
    </w:p>
    <w:p>
      <w:pPr>
        <w:spacing w:after="0" w:line="8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 implemented the Prospectus Directive (each,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Member State”) an offer to the public of any shares which are the subject of the offering contemplated by this prospectus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15" w:lineRule="exact"/>
        <w:rPr>
          <w:sz w:val="20"/>
          <w:szCs w:val="20"/>
          <w:color w:val="auto"/>
        </w:rPr>
      </w:pPr>
    </w:p>
    <w:p>
      <w:pPr>
        <w:ind w:left="340" w:right="40" w:hanging="337"/>
        <w:spacing w:after="0" w:line="24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legal entities which are authorized or regulated to operate in the financial markets or, if not so authorized or regulated, whose corporate purpose is solely to invest in securities;</w:t>
      </w:r>
    </w:p>
    <w:p>
      <w:pPr>
        <w:spacing w:after="0" w:line="13" w:lineRule="exact"/>
        <w:rPr>
          <w:rFonts w:ascii="Arial" w:cs="Arial" w:eastAsia="Arial" w:hAnsi="Arial"/>
          <w:sz w:val="17"/>
          <w:szCs w:val="17"/>
          <w:color w:val="auto"/>
        </w:rPr>
      </w:pPr>
    </w:p>
    <w:p>
      <w:pPr>
        <w:ind w:left="340" w:right="100" w:hanging="337"/>
        <w:spacing w:after="0" w:line="24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26" w:lineRule="exact"/>
        <w:rPr>
          <w:rFonts w:ascii="Arial" w:cs="Arial" w:eastAsia="Arial" w:hAnsi="Arial"/>
          <w:sz w:val="17"/>
          <w:szCs w:val="17"/>
          <w:color w:val="auto"/>
        </w:rPr>
      </w:pPr>
    </w:p>
    <w:p>
      <w:pPr>
        <w:ind w:left="340" w:right="20" w:hanging="337"/>
        <w:spacing w:after="0" w:line="24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fewer than 100 natural or legal persons (other than qualified investors as defined in the Prospectus Directive) subject to obtaining the prior consent of the representatives of the underwriters for any such offer; or</w:t>
      </w:r>
    </w:p>
    <w:p>
      <w:pPr>
        <w:spacing w:after="0" w:line="13" w:lineRule="exact"/>
        <w:rPr>
          <w:rFonts w:ascii="Arial" w:cs="Arial" w:eastAsia="Arial" w:hAnsi="Arial"/>
          <w:sz w:val="17"/>
          <w:szCs w:val="17"/>
          <w:color w:val="auto"/>
        </w:rPr>
      </w:pPr>
    </w:p>
    <w:p>
      <w:pPr>
        <w:ind w:left="340" w:hanging="337"/>
        <w:spacing w:after="0" w:line="245"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the shares shall result in a requirement for the publication by us or any underwriter of a prospectus pursuant to Article 3 of the Prospectus Directive.</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Each person in a Relevant Member State who receives any communication in respect of, or who acquires any shares under, the offers contemplated in this prospectus will be deemed to have represented, warranted and agreed to and with each underwriter and us that:</w:t>
      </w:r>
    </w:p>
    <w:p>
      <w:pPr>
        <w:spacing w:after="0" w:line="117" w:lineRule="exact"/>
        <w:rPr>
          <w:sz w:val="20"/>
          <w:szCs w:val="20"/>
          <w:color w:val="auto"/>
        </w:rPr>
      </w:pPr>
    </w:p>
    <w:p>
      <w:pPr>
        <w:ind w:left="340" w:hanging="337"/>
        <w:spacing w:after="0"/>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law in that Relevant Member State implementing Article 2(1)(e) of the Prospectus Directive; and</w:t>
      </w:r>
    </w:p>
    <w:p>
      <w:pPr>
        <w:spacing w:after="0" w:line="23" w:lineRule="exact"/>
        <w:rPr>
          <w:rFonts w:ascii="Arial" w:cs="Arial" w:eastAsia="Arial" w:hAnsi="Arial"/>
          <w:sz w:val="17"/>
          <w:szCs w:val="17"/>
          <w:color w:val="auto"/>
        </w:rPr>
      </w:pPr>
    </w:p>
    <w:p>
      <w:pPr>
        <w:ind w:left="340" w:right="180" w:hanging="337"/>
        <w:spacing w:after="0" w:line="239"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3(2) of the Prospectus Directive, (i) the shares acquired by it in the offer have not been acquired on behalf of, nor have they been acquired with a view to their offer or resale to, persons in any Relevant Member State, other than qualified investors, as that term is defined in the Prospectus Directive, or in circumstances in which the prior consent of the representatives of the underwriters has been given to the offer or resale; or (ii) where shares have been acquired by it on behalf of persons in any Relevant Member State other than qualified investors, the offer of those shares to it is not treated under the Prospectus Directive as having been made to such persons.</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United Kingdom. </w:t>
      </w:r>
      <w:r>
        <w:rPr>
          <w:rFonts w:ascii="Arial" w:cs="Arial" w:eastAsia="Arial" w:hAnsi="Arial"/>
          <w:sz w:val="17"/>
          <w:szCs w:val="17"/>
          <w:color w:val="auto"/>
        </w:rPr>
        <w:t>Each underwriter has represented, warranted and agreed that:</w:t>
      </w:r>
    </w:p>
    <w:p>
      <w:pPr>
        <w:spacing w:after="0" w:line="147" w:lineRule="exact"/>
        <w:rPr>
          <w:sz w:val="20"/>
          <w:szCs w:val="20"/>
          <w:color w:val="auto"/>
        </w:rPr>
      </w:pPr>
    </w:p>
    <w:p>
      <w:pPr>
        <w:ind w:left="340" w:right="140" w:hanging="337"/>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or the FSMA) to persons who are investment professionals falling within Article 19(5) of the FSMA (Financial Promotion) Order 2005 or in circumstances in which Section 21(1) of the FSMA does not apply to us; and</w:t>
      </w:r>
    </w:p>
    <w:p>
      <w:pPr>
        <w:spacing w:after="0" w:line="18" w:lineRule="exact"/>
        <w:rPr>
          <w:rFonts w:ascii="Arial" w:cs="Arial" w:eastAsia="Arial" w:hAnsi="Arial"/>
          <w:sz w:val="17"/>
          <w:szCs w:val="17"/>
          <w:color w:val="auto"/>
        </w:rPr>
      </w:pPr>
    </w:p>
    <w:p>
      <w:pPr>
        <w:ind w:left="340" w:right="100" w:hanging="337"/>
        <w:spacing w:after="0" w:line="245"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the FSMA with respect to anything done by it in relation to the shares in, from or otherwise involving the United Kingdom.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00"/>
          </w:cols>
          <w:pgMar w:left="240" w:top="444" w:right="2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are being represented by Wilson Sonsini Goodrich &amp; Rosati, Professional Corporation, Palo Alto, California. The validity of the common shares being offered by this prospectus and legal matters relating to Canadian laws has been passed upon for us by McCarthy Tétrault LLP, Vancouver, British Columbia. The underwriters are being represented by Cooley LLP, San Diego and San Francisco, California. Blake, Cassels &amp; Graydon LLP, Vancouver, British Columbia, is acting as Canadian counsel to the underwriters. As of the date of this prospectus, the members and associates of Wilson Sonsini Goodrich &amp; Rosati, Professional Corporation, as a group, own less than 1% of our outstanding securities, the partners and associates of McCarthy Tétrault LLP, as a group, own less than 1% of our outstanding securities, the partners and associates of Cooley LLP, as a group, own less than 1% of our outstanding securities and the partners and associates of Blake, Cassels &amp; Graydon LLP, as a group, own less than 1% of our outstanding securities.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5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financial statements of Xenon Pharmaceuticals Inc. as of December 31, 2012 and 2013, and for each of the years in the three-year period ended December 31, 2013 have been included herein in reliance on the report of KPMG LLP, independent registered public accounting firm, appearing elsewhere herein, and upon the authority of said firm as experts in auditing and accounting. KPMG LLP is independent with respect to us within the meaning of the Rules of Professional Conduct of the Institute of Chartered Accountants of British Columbia and under all relevant U.S. professional and regulatory standards, including PCAOB Rule 3520.</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2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filed with the U.S. Securities and Exchange Commission, or the SEC, a registration statement on Form S-1 under the Securities Act of 1933, as amended, or the Securities Act, with respect to the common shares offered by this prospectus.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the common shares offered hereby,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w:t>
      </w:r>
    </w:p>
    <w:p>
      <w:pPr>
        <w:spacing w:after="0" w:line="1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You may read and copy the registration statement, including the exhibits and schedules thereto, at the Public Reference Room of the SEC, 100 F Street, N.E., Washington, D.C. 20549.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www.sec.gov.</w:t>
      </w:r>
    </w:p>
    <w:p>
      <w:pPr>
        <w:spacing w:after="0" w:line="10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Upon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www.xenon-pharma.com.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shares.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44"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529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gridSpan w:val="5"/>
            <w:vMerge w:val="restart"/>
          </w:tcPr>
          <w:p>
            <w:pPr>
              <w:spacing w:after="0"/>
              <w:rPr>
                <w:rFonts w:ascii="Arial" w:cs="Arial" w:eastAsia="Arial" w:hAnsi="Arial"/>
                <w:sz w:val="17"/>
                <w:szCs w:val="17"/>
                <w:color w:val="0000EE"/>
                <w:w w:val="98"/>
              </w:rPr>
            </w:pPr>
            <w:hyperlink w:anchor="page184">
              <w:r>
                <w:rPr>
                  <w:rFonts w:ascii="Arial" w:cs="Arial" w:eastAsia="Arial" w:hAnsi="Arial"/>
                  <w:sz w:val="17"/>
                  <w:szCs w:val="17"/>
                  <w:color w:val="0000EE"/>
                  <w:w w:val="98"/>
                </w:rPr>
                <w:t>Report of Independent Registered Public Accounting Firm</w:t>
              </w:r>
            </w:hyperlink>
          </w:p>
        </w:tc>
        <w:tc>
          <w:tcPr>
            <w:tcW w:w="6660" w:type="dxa"/>
            <w:vAlign w:val="bottom"/>
            <w:gridSpan w:val="7"/>
            <w:vMerge w:val="restart"/>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Borders>
              <w:bottom w:val="single" w:sz="8" w:color="0000EE"/>
            </w:tcBorders>
            <w:gridSpan w:val="5"/>
            <w:vMerge w:val="continue"/>
          </w:tcPr>
          <w:p>
            <w:pPr>
              <w:spacing w:after="0"/>
              <w:rPr>
                <w:sz w:val="12"/>
                <w:szCs w:val="12"/>
                <w:color w:val="auto"/>
              </w:rPr>
            </w:pPr>
          </w:p>
        </w:tc>
        <w:tc>
          <w:tcPr>
            <w:tcW w:w="6660" w:type="dxa"/>
            <w:vAlign w:val="bottom"/>
            <w:gridSpan w:val="7"/>
            <w:vMerge w:val="continue"/>
          </w:tcPr>
          <w:p>
            <w:pPr>
              <w:spacing w:after="0"/>
              <w:rPr>
                <w:sz w:val="12"/>
                <w:szCs w:val="12"/>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5"/>
                <w:szCs w:val="15"/>
                <w:color w:val="auto"/>
              </w:rPr>
              <w:t>F-2</w:t>
            </w:r>
          </w:p>
        </w:tc>
        <w:tc>
          <w:tcPr>
            <w:tcW w:w="0" w:type="dxa"/>
            <w:vAlign w:val="bottom"/>
          </w:tcPr>
          <w:p>
            <w:pPr>
              <w:spacing w:after="0"/>
              <w:rPr>
                <w:sz w:val="1"/>
                <w:szCs w:val="1"/>
                <w:color w:val="auto"/>
              </w:rPr>
            </w:pPr>
          </w:p>
        </w:tc>
      </w:tr>
      <w:tr>
        <w:trPr>
          <w:trHeight w:val="186"/>
        </w:trPr>
        <w:tc>
          <w:tcPr>
            <w:tcW w:w="6600" w:type="dxa"/>
            <w:vAlign w:val="bottom"/>
            <w:tcBorders>
              <w:bottom w:val="single" w:sz="8" w:color="0000EE"/>
            </w:tcBorders>
            <w:gridSpan w:val="7"/>
          </w:tcPr>
          <w:p>
            <w:pPr>
              <w:spacing w:after="0" w:line="186" w:lineRule="exact"/>
              <w:rPr>
                <w:rFonts w:ascii="Arial" w:cs="Arial" w:eastAsia="Arial" w:hAnsi="Arial"/>
                <w:sz w:val="17"/>
                <w:szCs w:val="17"/>
                <w:color w:val="0000EE"/>
                <w:w w:val="98"/>
              </w:rPr>
            </w:pPr>
            <w:hyperlink w:anchor="page185">
              <w:r>
                <w:rPr>
                  <w:rFonts w:ascii="Arial" w:cs="Arial" w:eastAsia="Arial" w:hAnsi="Arial"/>
                  <w:sz w:val="17"/>
                  <w:szCs w:val="17"/>
                  <w:color w:val="0000EE"/>
                  <w:w w:val="98"/>
                </w:rPr>
                <w:t>Balance Sheets as of December 31, 2012 and 2013 and as of June 30, 2014 (unaudited)</w:t>
              </w:r>
            </w:hyperlink>
          </w:p>
        </w:tc>
        <w:tc>
          <w:tcPr>
            <w:tcW w:w="4360" w:type="dxa"/>
            <w:vAlign w:val="bottom"/>
            <w:gridSpan w:val="5"/>
          </w:tcPr>
          <w:p>
            <w:pPr>
              <w:spacing w:after="0"/>
              <w:rPr>
                <w:sz w:val="16"/>
                <w:szCs w:val="16"/>
                <w:color w:val="auto"/>
              </w:rPr>
            </w:pPr>
          </w:p>
        </w:tc>
        <w:tc>
          <w:tcPr>
            <w:tcW w:w="46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74"/>
        </w:trPr>
        <w:tc>
          <w:tcPr>
            <w:tcW w:w="10960" w:type="dxa"/>
            <w:vAlign w:val="bottom"/>
            <w:gridSpan w:val="12"/>
          </w:tcPr>
          <w:p>
            <w:pPr>
              <w:spacing w:after="0" w:line="174" w:lineRule="exact"/>
              <w:rPr>
                <w:rFonts w:ascii="Arial" w:cs="Arial" w:eastAsia="Arial" w:hAnsi="Arial"/>
                <w:sz w:val="17"/>
                <w:szCs w:val="17"/>
                <w:color w:val="0000EE"/>
              </w:rPr>
            </w:pPr>
            <w:hyperlink w:anchor="page186">
              <w:r>
                <w:rPr>
                  <w:rFonts w:ascii="Arial" w:cs="Arial" w:eastAsia="Arial" w:hAnsi="Arial"/>
                  <w:sz w:val="17"/>
                  <w:szCs w:val="17"/>
                  <w:color w:val="0000EE"/>
                </w:rPr>
                <w:t>Statements of Operations for the years ended December 31, 2011, 2012 and 2013 and the six months ended June 30, 2013 and 2014</w:t>
              </w:r>
            </w:hyperlink>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line="174" w:lineRule="exact"/>
              <w:rPr>
                <w:rFonts w:ascii="Arial" w:cs="Arial" w:eastAsia="Arial" w:hAnsi="Arial"/>
                <w:sz w:val="17"/>
                <w:szCs w:val="17"/>
                <w:color w:val="0000EE"/>
                <w:w w:val="97"/>
              </w:rPr>
            </w:pPr>
            <w:hyperlink w:anchor="page186">
              <w:r>
                <w:rPr>
                  <w:rFonts w:ascii="Arial" w:cs="Arial" w:eastAsia="Arial" w:hAnsi="Arial"/>
                  <w:sz w:val="17"/>
                  <w:szCs w:val="17"/>
                  <w:color w:val="0000EE"/>
                  <w:w w:val="97"/>
                </w:rPr>
                <w:t>(unaudited)</w:t>
              </w:r>
            </w:hyperlink>
          </w:p>
        </w:tc>
        <w:tc>
          <w:tcPr>
            <w:tcW w:w="8840" w:type="dxa"/>
            <w:vAlign w:val="bottom"/>
            <w:tcBorders>
              <w:top w:val="single" w:sz="8" w:color="0000EE"/>
            </w:tcBorders>
            <w:gridSpan w:val="6"/>
          </w:tcPr>
          <w:p>
            <w:pPr>
              <w:spacing w:after="0"/>
              <w:rPr>
                <w:sz w:val="15"/>
                <w:szCs w:val="15"/>
                <w:color w:val="auto"/>
              </w:rPr>
            </w:pPr>
          </w:p>
        </w:tc>
        <w:tc>
          <w:tcPr>
            <w:tcW w:w="960" w:type="dxa"/>
            <w:vAlign w:val="bottom"/>
            <w:gridSpan w:val="4"/>
          </w:tcPr>
          <w:p>
            <w:pPr>
              <w:spacing w:after="0"/>
              <w:rPr>
                <w:sz w:val="15"/>
                <w:szCs w:val="15"/>
                <w:color w:val="auto"/>
              </w:rPr>
            </w:pPr>
          </w:p>
        </w:tc>
        <w:tc>
          <w:tcPr>
            <w:tcW w:w="460" w:type="dxa"/>
            <w:vAlign w:val="bottom"/>
            <w:gridSpan w:val="2"/>
          </w:tcPr>
          <w:p>
            <w:pPr>
              <w:jc w:val="right"/>
              <w:ind w:right="100"/>
              <w:spacing w:after="0" w:line="174"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74"/>
        </w:trPr>
        <w:tc>
          <w:tcPr>
            <w:tcW w:w="10300" w:type="dxa"/>
            <w:vAlign w:val="bottom"/>
            <w:tcBorders>
              <w:bottom w:val="single" w:sz="8" w:color="0000EE"/>
            </w:tcBorders>
            <w:gridSpan w:val="11"/>
          </w:tcPr>
          <w:p>
            <w:pPr>
              <w:spacing w:after="0" w:line="174" w:lineRule="exact"/>
              <w:rPr>
                <w:rFonts w:ascii="Arial" w:cs="Arial" w:eastAsia="Arial" w:hAnsi="Arial"/>
                <w:sz w:val="17"/>
                <w:szCs w:val="17"/>
                <w:color w:val="0000EE"/>
                <w:w w:val="98"/>
              </w:rPr>
            </w:pPr>
            <w:hyperlink w:anchor="page187">
              <w:r>
                <w:rPr>
                  <w:rFonts w:ascii="Arial" w:cs="Arial" w:eastAsia="Arial" w:hAnsi="Arial"/>
                  <w:sz w:val="17"/>
                  <w:szCs w:val="17"/>
                  <w:color w:val="0000EE"/>
                  <w:w w:val="98"/>
                </w:rPr>
                <w:t>Statements of Comprehensive Income (Loss) for the years ended December 31, 2011, 2012 and 2013 and the six months ended June 30,</w:t>
              </w:r>
            </w:hyperlink>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10660" w:type="dxa"/>
            <w:vAlign w:val="bottom"/>
            <w:gridSpan w:val="11"/>
          </w:tcPr>
          <w:p>
            <w:pPr>
              <w:spacing w:after="0" w:line="174" w:lineRule="exact"/>
              <w:rPr>
                <w:rFonts w:ascii="Arial" w:cs="Arial" w:eastAsia="Arial" w:hAnsi="Arial"/>
                <w:sz w:val="17"/>
                <w:szCs w:val="17"/>
                <w:color w:val="0000EE"/>
              </w:rPr>
            </w:pPr>
            <w:hyperlink w:anchor="page187">
              <w:r>
                <w:rPr>
                  <w:rFonts w:ascii="Arial" w:cs="Arial" w:eastAsia="Arial" w:hAnsi="Arial"/>
                  <w:sz w:val="17"/>
                  <w:szCs w:val="17"/>
                  <w:color w:val="0000EE"/>
                </w:rPr>
                <w:t>2013 and 2014 (unaudited)</w:t>
              </w:r>
            </w:hyperlink>
          </w:p>
        </w:tc>
        <w:tc>
          <w:tcPr>
            <w:tcW w:w="460" w:type="dxa"/>
            <w:vAlign w:val="bottom"/>
            <w:gridSpan w:val="2"/>
          </w:tcPr>
          <w:p>
            <w:pPr>
              <w:jc w:val="right"/>
              <w:ind w:right="100"/>
              <w:spacing w:after="0" w:line="174"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140" w:type="dxa"/>
            <w:vAlign w:val="bottom"/>
            <w:tcBorders>
              <w:bottom w:val="single" w:sz="8" w:color="0000EE"/>
            </w:tcBorders>
            <w:gridSpan w:val="10"/>
          </w:tcPr>
          <w:p>
            <w:pPr>
              <w:spacing w:after="0" w:line="174" w:lineRule="exact"/>
              <w:rPr>
                <w:rFonts w:ascii="Arial" w:cs="Arial" w:eastAsia="Arial" w:hAnsi="Arial"/>
                <w:sz w:val="17"/>
                <w:szCs w:val="17"/>
                <w:color w:val="0000EE"/>
                <w:w w:val="98"/>
              </w:rPr>
            </w:pPr>
            <w:hyperlink w:anchor="page188">
              <w:r>
                <w:rPr>
                  <w:rFonts w:ascii="Arial" w:cs="Arial" w:eastAsia="Arial" w:hAnsi="Arial"/>
                  <w:sz w:val="17"/>
                  <w:szCs w:val="17"/>
                  <w:color w:val="0000EE"/>
                  <w:w w:val="98"/>
                </w:rPr>
                <w:t>Statements of Changes in Redeemable Convertible Preferred Shares and Shareholders’ Deficit for the years ended December 31, 2011,</w:t>
              </w:r>
            </w:hyperlink>
          </w:p>
        </w:tc>
        <w:tc>
          <w:tcPr>
            <w:tcW w:w="8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5100" w:type="dxa"/>
            <w:vAlign w:val="bottom"/>
            <w:tcBorders>
              <w:bottom w:val="single" w:sz="8" w:color="0000EE"/>
            </w:tcBorders>
            <w:gridSpan w:val="5"/>
          </w:tcPr>
          <w:p>
            <w:pPr>
              <w:spacing w:after="0" w:line="174" w:lineRule="exact"/>
              <w:rPr>
                <w:rFonts w:ascii="Arial" w:cs="Arial" w:eastAsia="Arial" w:hAnsi="Arial"/>
                <w:sz w:val="17"/>
                <w:szCs w:val="17"/>
                <w:color w:val="0000EE"/>
                <w:w w:val="98"/>
              </w:rPr>
            </w:pPr>
            <w:hyperlink w:anchor="page188">
              <w:r>
                <w:rPr>
                  <w:rFonts w:ascii="Arial" w:cs="Arial" w:eastAsia="Arial" w:hAnsi="Arial"/>
                  <w:sz w:val="17"/>
                  <w:szCs w:val="17"/>
                  <w:color w:val="0000EE"/>
                  <w:w w:val="98"/>
                </w:rPr>
                <w:t>2012 and 2013 and the six months ended June 30, 2014 (unaudited)</w:t>
              </w:r>
            </w:hyperlink>
          </w:p>
        </w:tc>
        <w:tc>
          <w:tcPr>
            <w:tcW w:w="5560" w:type="dxa"/>
            <w:vAlign w:val="bottom"/>
            <w:gridSpan w:val="6"/>
          </w:tcPr>
          <w:p>
            <w:pPr>
              <w:spacing w:after="0"/>
              <w:rPr>
                <w:sz w:val="15"/>
                <w:szCs w:val="15"/>
                <w:color w:val="auto"/>
              </w:rPr>
            </w:pPr>
          </w:p>
        </w:tc>
        <w:tc>
          <w:tcPr>
            <w:tcW w:w="460" w:type="dxa"/>
            <w:vAlign w:val="bottom"/>
            <w:gridSpan w:val="2"/>
          </w:tcPr>
          <w:p>
            <w:pPr>
              <w:jc w:val="right"/>
              <w:ind w:right="100"/>
              <w:spacing w:after="0" w:line="174"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74"/>
        </w:trPr>
        <w:tc>
          <w:tcPr>
            <w:tcW w:w="10060" w:type="dxa"/>
            <w:vAlign w:val="bottom"/>
            <w:tcBorders>
              <w:bottom w:val="single" w:sz="8" w:color="0000EE"/>
            </w:tcBorders>
            <w:gridSpan w:val="9"/>
          </w:tcPr>
          <w:p>
            <w:pPr>
              <w:spacing w:after="0" w:line="174" w:lineRule="exact"/>
              <w:rPr>
                <w:rFonts w:ascii="Arial" w:cs="Arial" w:eastAsia="Arial" w:hAnsi="Arial"/>
                <w:sz w:val="17"/>
                <w:szCs w:val="17"/>
                <w:color w:val="0000EE"/>
                <w:w w:val="99"/>
              </w:rPr>
            </w:pPr>
            <w:hyperlink w:anchor="page189">
              <w:r>
                <w:rPr>
                  <w:rFonts w:ascii="Arial" w:cs="Arial" w:eastAsia="Arial" w:hAnsi="Arial"/>
                  <w:sz w:val="17"/>
                  <w:szCs w:val="17"/>
                  <w:color w:val="0000EE"/>
                  <w:w w:val="99"/>
                </w:rPr>
                <w:t>Statements of Cash Flows for the years ended December 31, 2011, 2012 and 2013 and the six months ended June 30, 2013 and 2014</w:t>
              </w:r>
            </w:hyperlink>
          </w:p>
        </w:tc>
        <w:tc>
          <w:tcPr>
            <w:tcW w:w="90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860" w:type="dxa"/>
            <w:vAlign w:val="bottom"/>
            <w:tcBorders>
              <w:bottom w:val="single" w:sz="8" w:color="0000EE"/>
            </w:tcBorders>
          </w:tcPr>
          <w:p>
            <w:pPr>
              <w:spacing w:after="0" w:line="174" w:lineRule="exact"/>
              <w:rPr>
                <w:rFonts w:ascii="Arial" w:cs="Arial" w:eastAsia="Arial" w:hAnsi="Arial"/>
                <w:sz w:val="17"/>
                <w:szCs w:val="17"/>
                <w:color w:val="0000EE"/>
                <w:w w:val="97"/>
              </w:rPr>
            </w:pPr>
            <w:hyperlink w:anchor="page189">
              <w:r>
                <w:rPr>
                  <w:rFonts w:ascii="Arial" w:cs="Arial" w:eastAsia="Arial" w:hAnsi="Arial"/>
                  <w:sz w:val="17"/>
                  <w:szCs w:val="17"/>
                  <w:color w:val="0000EE"/>
                  <w:w w:val="97"/>
                </w:rPr>
                <w:t>(unaudited)</w:t>
              </w:r>
            </w:hyperlink>
          </w:p>
        </w:tc>
        <w:tc>
          <w:tcPr>
            <w:tcW w:w="9800" w:type="dxa"/>
            <w:vAlign w:val="bottom"/>
            <w:gridSpan w:val="10"/>
          </w:tcPr>
          <w:p>
            <w:pPr>
              <w:spacing w:after="0"/>
              <w:rPr>
                <w:sz w:val="15"/>
                <w:szCs w:val="15"/>
                <w:color w:val="auto"/>
              </w:rPr>
            </w:pPr>
          </w:p>
        </w:tc>
        <w:tc>
          <w:tcPr>
            <w:tcW w:w="460" w:type="dxa"/>
            <w:vAlign w:val="bottom"/>
            <w:gridSpan w:val="2"/>
          </w:tcPr>
          <w:p>
            <w:pPr>
              <w:jc w:val="right"/>
              <w:ind w:right="100"/>
              <w:spacing w:after="0" w:line="174"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74"/>
        </w:trPr>
        <w:tc>
          <w:tcPr>
            <w:tcW w:w="10960" w:type="dxa"/>
            <w:vAlign w:val="bottom"/>
            <w:gridSpan w:val="12"/>
          </w:tcPr>
          <w:p>
            <w:pPr>
              <w:spacing w:after="0" w:line="174" w:lineRule="exact"/>
              <w:rPr>
                <w:rFonts w:ascii="Arial" w:cs="Arial" w:eastAsia="Arial" w:hAnsi="Arial"/>
                <w:sz w:val="17"/>
                <w:szCs w:val="17"/>
                <w:color w:val="0000EE"/>
              </w:rPr>
            </w:pPr>
            <w:hyperlink w:anchor="page190">
              <w:r>
                <w:rPr>
                  <w:rFonts w:ascii="Arial" w:cs="Arial" w:eastAsia="Arial" w:hAnsi="Arial"/>
                  <w:sz w:val="17"/>
                  <w:szCs w:val="17"/>
                  <w:color w:val="0000EE"/>
                </w:rPr>
                <w:t>Notes to Financial Statements</w:t>
              </w:r>
            </w:hyperlink>
          </w:p>
        </w:tc>
        <w:tc>
          <w:tcPr>
            <w:tcW w:w="460" w:type="dxa"/>
            <w:vAlign w:val="bottom"/>
            <w:gridSpan w:val="2"/>
          </w:tcPr>
          <w:p>
            <w:pPr>
              <w:jc w:val="right"/>
              <w:ind w:right="100"/>
              <w:spacing w:after="0" w:line="174"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135"/>
        </w:trPr>
        <w:tc>
          <w:tcPr>
            <w:tcW w:w="300" w:type="dxa"/>
            <w:vAlign w:val="bottom"/>
            <w:tcBorders>
              <w:top w:val="single" w:sz="8" w:color="0000EE"/>
              <w:bottom w:val="single" w:sz="8" w:color="auto"/>
            </w:tcBorders>
          </w:tcPr>
          <w:p>
            <w:pPr>
              <w:spacing w:after="0"/>
              <w:rPr>
                <w:sz w:val="11"/>
                <w:szCs w:val="11"/>
                <w:color w:val="auto"/>
              </w:rPr>
            </w:pPr>
          </w:p>
        </w:tc>
        <w:tc>
          <w:tcPr>
            <w:tcW w:w="860" w:type="dxa"/>
            <w:vAlign w:val="bottom"/>
            <w:tcBorders>
              <w:top w:val="single" w:sz="8" w:color="0000EE"/>
              <w:bottom w:val="single" w:sz="8" w:color="auto"/>
            </w:tcBorders>
          </w:tcPr>
          <w:p>
            <w:pPr>
              <w:spacing w:after="0"/>
              <w:rPr>
                <w:sz w:val="11"/>
                <w:szCs w:val="11"/>
                <w:color w:val="auto"/>
              </w:rPr>
            </w:pPr>
          </w:p>
        </w:tc>
        <w:tc>
          <w:tcPr>
            <w:tcW w:w="1080" w:type="dxa"/>
            <w:vAlign w:val="bottom"/>
            <w:tcBorders>
              <w:top w:val="single" w:sz="8" w:color="0000EE"/>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0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60" w:type="dxa"/>
            <w:vAlign w:val="bottom"/>
            <w:gridSpan w:val="6"/>
          </w:tcPr>
          <w:p>
            <w:pPr>
              <w:ind w:left="180"/>
              <w:spacing w:after="0"/>
              <w:rPr>
                <w:sz w:val="20"/>
                <w:szCs w:val="20"/>
                <w:color w:val="auto"/>
              </w:rPr>
            </w:pPr>
            <w:r>
              <w:rPr>
                <w:rFonts w:ascii="Arial" w:cs="Arial" w:eastAsia="Arial" w:hAnsi="Arial"/>
                <w:sz w:val="17"/>
                <w:szCs w:val="17"/>
                <w:color w:val="auto"/>
              </w:rPr>
              <w:t>F-1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w:t>
      </w:r>
    </w:p>
    <w:p>
      <w:pPr>
        <w:spacing w:after="0"/>
        <w:rPr>
          <w:sz w:val="20"/>
          <w:szCs w:val="20"/>
          <w:color w:val="auto"/>
        </w:rPr>
      </w:pPr>
      <w:r>
        <w:rPr>
          <w:rFonts w:ascii="Arial" w:cs="Arial" w:eastAsia="Arial" w:hAnsi="Arial"/>
          <w:sz w:val="17"/>
          <w:szCs w:val="17"/>
          <w:color w:val="auto"/>
        </w:rPr>
        <w:t>Shareholders of Xenon Pharmaceuticals Inc.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balance sheets of Xenon Pharmaceuticals Inc. (the “Company”) as of December 31, 2012 and 2013, and the related statements of operations, comprehensive income (loss), changes in redeemable convertible preferred shares and shareholders’ deficit, and cash flows for each of the years in the three-year period ended December 31, 2013.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Xenon Pharmaceuticals Inc. as of December 31, 2012 and 2013 and the results of its operations and its cash flows for each of the years in the three-year period ended December 31, 2013, in conformity with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rPr>
          <w:sz w:val="20"/>
          <w:szCs w:val="20"/>
          <w:color w:val="auto"/>
        </w:rPr>
      </w:pPr>
      <w:r>
        <w:rPr>
          <w:rFonts w:ascii="Arial" w:cs="Arial" w:eastAsia="Arial" w:hAnsi="Arial"/>
          <w:sz w:val="17"/>
          <w:szCs w:val="17"/>
          <w:color w:val="auto"/>
        </w:rPr>
        <w:t>Chartered Accountants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February 19, 2014, except as to note 18(b) which is as of October 1, 2014</w:t>
      </w:r>
    </w:p>
    <w:p>
      <w:pPr>
        <w:spacing w:after="0"/>
        <w:rPr>
          <w:sz w:val="20"/>
          <w:szCs w:val="20"/>
          <w:color w:val="auto"/>
        </w:rPr>
      </w:pPr>
      <w:r>
        <w:rPr>
          <w:rFonts w:ascii="Arial" w:cs="Arial" w:eastAsia="Arial" w:hAnsi="Arial"/>
          <w:sz w:val="17"/>
          <w:szCs w:val="17"/>
          <w:color w:val="auto"/>
        </w:rPr>
        <w:t>Vancouver, Canada</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5" w:right="25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2529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92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w w:val="99"/>
              </w:rPr>
              <w:t>JUNE 30,</w:t>
            </w:r>
          </w:p>
        </w:tc>
        <w:tc>
          <w:tcPr>
            <w:tcW w:w="280" w:type="dxa"/>
            <w:vAlign w:val="bottom"/>
          </w:tcPr>
          <w:p>
            <w:pPr>
              <w:spacing w:after="0"/>
              <w:rPr>
                <w:sz w:val="13"/>
                <w:szCs w:val="1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8"/>
              <w:spacing w:after="0" w:line="135"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auto"/>
              </w:rPr>
              <w:t>2013</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58"/>
              <w:spacing w:after="0" w:line="135" w:lineRule="exact"/>
              <w:rPr>
                <w:sz w:val="20"/>
                <w:szCs w:val="20"/>
                <w:color w:val="auto"/>
              </w:rPr>
            </w:pPr>
            <w:r>
              <w:rPr>
                <w:rFonts w:ascii="Arial" w:cs="Arial" w:eastAsia="Arial" w:hAnsi="Arial"/>
                <w:sz w:val="13"/>
                <w:szCs w:val="13"/>
                <w:b w:val="1"/>
                <w:bCs w:val="1"/>
                <w:color w:val="auto"/>
              </w:rPr>
              <w:t>2014</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JUNE 30, 2014</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rPr>
              <w:t>(unaudited)</w:t>
            </w: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60,162</w:t>
            </w:r>
          </w:p>
        </w:tc>
        <w:tc>
          <w:tcPr>
            <w:tcW w:w="3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37,950</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35,087</w:t>
            </w:r>
          </w:p>
        </w:tc>
        <w:tc>
          <w:tcPr>
            <w:tcW w:w="4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35,087</w:t>
            </w:r>
          </w:p>
        </w:tc>
        <w:tc>
          <w:tcPr>
            <w:tcW w:w="0" w:type="dxa"/>
            <w:vAlign w:val="bottom"/>
          </w:tcPr>
          <w:p>
            <w:pPr>
              <w:spacing w:after="0"/>
              <w:rPr>
                <w:sz w:val="1"/>
                <w:szCs w:val="1"/>
                <w:color w:val="auto"/>
              </w:rPr>
            </w:pPr>
          </w:p>
        </w:tc>
      </w:tr>
      <w:tr>
        <w:trPr>
          <w:trHeight w:val="194"/>
        </w:trPr>
        <w:tc>
          <w:tcPr>
            <w:tcW w:w="6320" w:type="dxa"/>
            <w:vAlign w:val="bottom"/>
          </w:tcPr>
          <w:p>
            <w:pPr>
              <w:ind w:left="320"/>
              <w:spacing w:after="0" w:line="194" w:lineRule="exact"/>
              <w:rPr>
                <w:sz w:val="20"/>
                <w:szCs w:val="20"/>
                <w:color w:val="auto"/>
              </w:rPr>
            </w:pPr>
            <w:r>
              <w:rPr>
                <w:rFonts w:ascii="Arial" w:cs="Arial" w:eastAsia="Arial" w:hAnsi="Arial"/>
                <w:sz w:val="17"/>
                <w:szCs w:val="17"/>
                <w:color w:val="auto"/>
              </w:rPr>
              <w:t>Marketable securities</w:t>
            </w:r>
          </w:p>
        </w:tc>
        <w:tc>
          <w:tcPr>
            <w:tcW w:w="100" w:type="dxa"/>
            <w:vAlign w:val="bottom"/>
          </w:tcPr>
          <w:p>
            <w:pPr>
              <w:spacing w:after="0"/>
              <w:rPr>
                <w:sz w:val="16"/>
                <w:szCs w:val="16"/>
                <w:color w:val="auto"/>
              </w:rPr>
            </w:pPr>
          </w:p>
        </w:tc>
        <w:tc>
          <w:tcPr>
            <w:tcW w:w="100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11,326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9,623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9,623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440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364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32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149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153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55"/>
              <w:spacing w:after="0" w:line="194" w:lineRule="exact"/>
              <w:rPr>
                <w:sz w:val="20"/>
                <w:szCs w:val="20"/>
                <w:color w:val="auto"/>
              </w:rPr>
            </w:pPr>
            <w:r>
              <w:rPr>
                <w:rFonts w:ascii="Arial" w:cs="Arial" w:eastAsia="Arial" w:hAnsi="Arial"/>
                <w:sz w:val="17"/>
                <w:szCs w:val="17"/>
                <w:color w:val="auto"/>
              </w:rPr>
              <w:t>134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134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60,703</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49,869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45,208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45,208</w:t>
            </w: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Deferred financing fees</w:t>
            </w:r>
          </w:p>
        </w:tc>
        <w:tc>
          <w:tcPr>
            <w:tcW w:w="100" w:type="dxa"/>
            <w:vAlign w:val="bottom"/>
          </w:tcPr>
          <w:p>
            <w:pPr>
              <w:spacing w:after="0"/>
              <w:rPr>
                <w:sz w:val="16"/>
                <w:szCs w:val="16"/>
                <w:color w:val="auto"/>
              </w:rPr>
            </w:pPr>
          </w:p>
        </w:tc>
        <w:tc>
          <w:tcPr>
            <w:tcW w:w="100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auto"/>
              </w:rPr>
              <w:t>2,739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3,480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3,480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Property, plant and equipment, net</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2,602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1,879</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2,024</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63,305</w:t>
            </w:r>
          </w:p>
        </w:tc>
        <w:tc>
          <w:tcPr>
            <w:tcW w:w="320" w:type="dxa"/>
            <w:vAlign w:val="bottom"/>
          </w:tcPr>
          <w:p>
            <w:pPr>
              <w:spacing w:after="0"/>
              <w:rPr>
                <w:sz w:val="17"/>
                <w:szCs w:val="17"/>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54,487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55"/>
              <w:spacing w:after="0"/>
              <w:rPr>
                <w:sz w:val="20"/>
                <w:szCs w:val="20"/>
                <w:color w:val="auto"/>
              </w:rPr>
            </w:pPr>
            <w:r>
              <w:rPr>
                <w:rFonts w:ascii="Arial" w:cs="Arial" w:eastAsia="Arial" w:hAnsi="Arial"/>
                <w:sz w:val="17"/>
                <w:szCs w:val="17"/>
                <w:color w:val="auto"/>
              </w:rPr>
              <w:t>50,712</w:t>
            </w:r>
          </w:p>
        </w:tc>
        <w:tc>
          <w:tcPr>
            <w:tcW w:w="4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50,712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Liabilities and Shareholders’ Deficit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Accounts payable and accrued expenses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2,181</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2,283</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2,149</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320"/>
              <w:spacing w:after="0" w:line="194"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17,015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15,920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55"/>
              <w:spacing w:after="0" w:line="194" w:lineRule="exact"/>
              <w:rPr>
                <w:sz w:val="20"/>
                <w:szCs w:val="20"/>
                <w:color w:val="auto"/>
              </w:rPr>
            </w:pPr>
            <w:r>
              <w:rPr>
                <w:rFonts w:ascii="Arial" w:cs="Arial" w:eastAsia="Arial" w:hAnsi="Arial"/>
                <w:sz w:val="17"/>
                <w:szCs w:val="17"/>
                <w:color w:val="auto"/>
              </w:rPr>
              <w:t>15,082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15,082</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19,196</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18,203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17,231</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17,231</w:t>
            </w: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Deferred revenue, less current portion</w:t>
            </w: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29,637</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11,886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6,127</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color w:val="auto"/>
              </w:rPr>
              <w:t>6,127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Deferred tenant inducements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184</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282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248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Note payable</w:t>
            </w: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1,665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55"/>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50,682</w:t>
            </w:r>
          </w:p>
        </w:tc>
        <w:tc>
          <w:tcPr>
            <w:tcW w:w="3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30,371</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23,606</w:t>
            </w:r>
          </w:p>
        </w:tc>
        <w:tc>
          <w:tcPr>
            <w:tcW w:w="4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23,606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color w:val="auto"/>
              </w:rPr>
              <w:t>Collaboration agreements (See Note 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Commitments and contingencies (See Note 15)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Subsequent events (See Note 18)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Redeemable convertible preferred shares: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20" w:type="dxa"/>
            <w:vAlign w:val="bottom"/>
          </w:tcPr>
          <w:p>
            <w:pPr>
              <w:ind w:left="320"/>
              <w:spacing w:after="0"/>
              <w:rPr>
                <w:sz w:val="20"/>
                <w:szCs w:val="20"/>
                <w:color w:val="auto"/>
              </w:rPr>
            </w:pPr>
            <w:r>
              <w:rPr>
                <w:rFonts w:ascii="Arial" w:cs="Arial" w:eastAsia="Arial" w:hAnsi="Arial"/>
                <w:sz w:val="17"/>
                <w:szCs w:val="17"/>
                <w:color w:val="auto"/>
              </w:rPr>
              <w:t>Series A Convertible Preferred shares, without par value; 1,205,761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640"/>
              <w:spacing w:after="0" w:line="194" w:lineRule="exact"/>
              <w:rPr>
                <w:sz w:val="20"/>
                <w:szCs w:val="20"/>
                <w:color w:val="auto"/>
              </w:rPr>
            </w:pPr>
            <w:r>
              <w:rPr>
                <w:rFonts w:ascii="Arial" w:cs="Arial" w:eastAsia="Arial" w:hAnsi="Arial"/>
                <w:sz w:val="17"/>
                <w:szCs w:val="17"/>
                <w:color w:val="auto"/>
              </w:rPr>
              <w:t>authorized and 1,151,468 issued and outstanding at each of</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640"/>
              <w:spacing w:after="0" w:line="194" w:lineRule="exact"/>
              <w:rPr>
                <w:sz w:val="20"/>
                <w:szCs w:val="20"/>
                <w:color w:val="auto"/>
              </w:rPr>
            </w:pPr>
            <w:r>
              <w:rPr>
                <w:rFonts w:ascii="Arial" w:cs="Arial" w:eastAsia="Arial" w:hAnsi="Arial"/>
                <w:sz w:val="17"/>
                <w:szCs w:val="17"/>
                <w:color w:val="auto"/>
              </w:rPr>
              <w:t>December 31, 2012 and 2013 and June 30, 2014 (unaudited),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640"/>
              <w:spacing w:after="0" w:line="190" w:lineRule="exact"/>
              <w:rPr>
                <w:sz w:val="20"/>
                <w:szCs w:val="20"/>
                <w:color w:val="auto"/>
              </w:rPr>
            </w:pPr>
            <w:r>
              <w:rPr>
                <w:rFonts w:ascii="Arial" w:cs="Arial" w:eastAsia="Arial" w:hAnsi="Arial"/>
                <w:sz w:val="17"/>
                <w:szCs w:val="17"/>
                <w:color w:val="auto"/>
              </w:rPr>
              <w:t>respectively, and no shares issued and outstanding pro forma</w:t>
            </w:r>
          </w:p>
        </w:tc>
        <w:tc>
          <w:tcPr>
            <w:tcW w:w="100" w:type="dxa"/>
            <w:vAlign w:val="bottom"/>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7"/>
                <w:szCs w:val="17"/>
                <w:color w:val="auto"/>
              </w:rPr>
              <w:t>2,939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7"/>
                <w:szCs w:val="17"/>
                <w:color w:val="auto"/>
              </w:rPr>
              <w:t>2,939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7"/>
                <w:szCs w:val="17"/>
                <w:color w:val="auto"/>
              </w:rPr>
              <w:t>2,939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Series B Convertible Preferred shares, without par value; 1,028,806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authorized and 994,885 issued and outstanding at each of</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December 31, 2012 and 2013 and June 30, 2014 (unaudited),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640"/>
              <w:spacing w:after="0" w:line="190" w:lineRule="exact"/>
              <w:rPr>
                <w:sz w:val="20"/>
                <w:szCs w:val="20"/>
                <w:color w:val="auto"/>
              </w:rPr>
            </w:pPr>
            <w:r>
              <w:rPr>
                <w:rFonts w:ascii="Arial" w:cs="Arial" w:eastAsia="Arial" w:hAnsi="Arial"/>
                <w:sz w:val="17"/>
                <w:szCs w:val="17"/>
                <w:color w:val="auto"/>
              </w:rPr>
              <w:t>respectively, and no shares issued and outstanding pro forma</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8,683</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8,683</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8,683</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320" w:type="dxa"/>
            <w:vAlign w:val="bottom"/>
          </w:tcPr>
          <w:p>
            <w:pPr>
              <w:ind w:left="320"/>
              <w:spacing w:after="0"/>
              <w:rPr>
                <w:sz w:val="20"/>
                <w:szCs w:val="20"/>
                <w:color w:val="auto"/>
              </w:rPr>
            </w:pPr>
            <w:r>
              <w:rPr>
                <w:rFonts w:ascii="Arial" w:cs="Arial" w:eastAsia="Arial" w:hAnsi="Arial"/>
                <w:sz w:val="17"/>
                <w:szCs w:val="17"/>
                <w:color w:val="auto"/>
              </w:rPr>
              <w:t>Series E Convertible Preferred shares, without par value; 4,370,920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640"/>
              <w:spacing w:after="0" w:line="194" w:lineRule="exact"/>
              <w:rPr>
                <w:sz w:val="20"/>
                <w:szCs w:val="20"/>
                <w:color w:val="auto"/>
              </w:rPr>
            </w:pPr>
            <w:r>
              <w:rPr>
                <w:rFonts w:ascii="Arial" w:cs="Arial" w:eastAsia="Arial" w:hAnsi="Arial"/>
                <w:sz w:val="17"/>
                <w:szCs w:val="17"/>
                <w:color w:val="auto"/>
              </w:rPr>
              <w:t>authorized and 4,322,126 issued and outstanding at each of</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ind w:left="640"/>
              <w:spacing w:after="0" w:line="194" w:lineRule="exact"/>
              <w:rPr>
                <w:sz w:val="20"/>
                <w:szCs w:val="20"/>
                <w:color w:val="auto"/>
              </w:rPr>
            </w:pPr>
            <w:r>
              <w:rPr>
                <w:rFonts w:ascii="Arial" w:cs="Arial" w:eastAsia="Arial" w:hAnsi="Arial"/>
                <w:sz w:val="17"/>
                <w:szCs w:val="17"/>
                <w:color w:val="auto"/>
              </w:rPr>
              <w:t>December 31, 2012 and 2013 and June 30, 2014 (unaudited),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640"/>
              <w:spacing w:after="0" w:line="190" w:lineRule="exact"/>
              <w:rPr>
                <w:sz w:val="20"/>
                <w:szCs w:val="20"/>
                <w:color w:val="auto"/>
              </w:rPr>
            </w:pPr>
            <w:r>
              <w:rPr>
                <w:rFonts w:ascii="Arial" w:cs="Arial" w:eastAsia="Arial" w:hAnsi="Arial"/>
                <w:sz w:val="17"/>
                <w:szCs w:val="17"/>
                <w:color w:val="auto"/>
              </w:rPr>
              <w:t>respectively, and no shares issued and outstanding pro forma</w:t>
            </w:r>
          </w:p>
        </w:tc>
        <w:tc>
          <w:tcPr>
            <w:tcW w:w="100" w:type="dxa"/>
            <w:vAlign w:val="bottom"/>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7"/>
                <w:szCs w:val="17"/>
                <w:color w:val="auto"/>
              </w:rPr>
              <w:t>90,866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0" w:lineRule="exact"/>
              <w:rPr>
                <w:sz w:val="20"/>
                <w:szCs w:val="20"/>
                <w:color w:val="auto"/>
              </w:rPr>
            </w:pPr>
            <w:r>
              <w:rPr>
                <w:rFonts w:ascii="Arial" w:cs="Arial" w:eastAsia="Arial" w:hAnsi="Arial"/>
                <w:sz w:val="17"/>
                <w:szCs w:val="17"/>
                <w:color w:val="auto"/>
              </w:rPr>
              <w:t>90,866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55"/>
              <w:spacing w:after="0" w:line="190" w:lineRule="exact"/>
              <w:rPr>
                <w:sz w:val="20"/>
                <w:szCs w:val="20"/>
                <w:color w:val="auto"/>
              </w:rPr>
            </w:pPr>
            <w:r>
              <w:rPr>
                <w:rFonts w:ascii="Arial" w:cs="Arial" w:eastAsia="Arial" w:hAnsi="Arial"/>
                <w:sz w:val="17"/>
                <w:szCs w:val="17"/>
                <w:color w:val="auto"/>
              </w:rPr>
              <w:t>90,866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102,488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102,488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55"/>
              <w:spacing w:after="0" w:line="194" w:lineRule="exact"/>
              <w:rPr>
                <w:sz w:val="20"/>
                <w:szCs w:val="20"/>
                <w:color w:val="auto"/>
              </w:rPr>
            </w:pPr>
            <w:r>
              <w:rPr>
                <w:rFonts w:ascii="Arial" w:cs="Arial" w:eastAsia="Arial" w:hAnsi="Arial"/>
                <w:sz w:val="17"/>
                <w:szCs w:val="17"/>
                <w:color w:val="auto"/>
              </w:rPr>
              <w:t>102,488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color w:val="auto"/>
              </w:rPr>
              <w:t>Shareholders’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Common shares, without par value; unlimited shares authorized; 1,330,696,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1,344,627 and 1,348,103 issued and outstanding at December 31, 2012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and 2013 and June 30, 2014 (unaudited), respectively, and 9,084,687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shares issued and outstanding pro forma</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6,008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6,147</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6,182</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108,782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29,164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40"/>
              <w:spacing w:after="0" w:line="194" w:lineRule="exact"/>
              <w:rPr>
                <w:sz w:val="20"/>
                <w:szCs w:val="20"/>
                <w:color w:val="auto"/>
              </w:rPr>
            </w:pPr>
            <w:r>
              <w:rPr>
                <w:rFonts w:ascii="Arial" w:cs="Arial" w:eastAsia="Arial" w:hAnsi="Arial"/>
                <w:sz w:val="17"/>
                <w:szCs w:val="17"/>
                <w:color w:val="auto"/>
              </w:rPr>
              <w:t>29,722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55"/>
              <w:spacing w:after="0" w:line="194" w:lineRule="exact"/>
              <w:rPr>
                <w:sz w:val="20"/>
                <w:szCs w:val="20"/>
                <w:color w:val="auto"/>
              </w:rPr>
            </w:pPr>
            <w:r>
              <w:rPr>
                <w:rFonts w:ascii="Arial" w:cs="Arial" w:eastAsia="Arial" w:hAnsi="Arial"/>
                <w:sz w:val="17"/>
                <w:szCs w:val="17"/>
                <w:color w:val="auto"/>
              </w:rPr>
              <w:t>30,064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29,952</w:t>
            </w: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w w:val="98"/>
              </w:rPr>
              <w:t>(128,784)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w w:val="96"/>
              </w:rPr>
              <w:t>(116,752)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95"/>
              <w:spacing w:after="0" w:line="194" w:lineRule="exact"/>
              <w:rPr>
                <w:sz w:val="20"/>
                <w:szCs w:val="20"/>
                <w:color w:val="auto"/>
              </w:rPr>
            </w:pPr>
            <w:r>
              <w:rPr>
                <w:rFonts w:ascii="Arial" w:cs="Arial" w:eastAsia="Arial" w:hAnsi="Arial"/>
                <w:sz w:val="17"/>
                <w:szCs w:val="17"/>
                <w:color w:val="auto"/>
                <w:w w:val="98"/>
              </w:rPr>
              <w:t>(114,149)</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(114,149)</w:t>
            </w:r>
          </w:p>
        </w:tc>
        <w:tc>
          <w:tcPr>
            <w:tcW w:w="0" w:type="dxa"/>
            <w:vAlign w:val="bottom"/>
          </w:tcPr>
          <w:p>
            <w:pPr>
              <w:spacing w:after="0"/>
              <w:rPr>
                <w:sz w:val="1"/>
                <w:szCs w:val="1"/>
                <w:color w:val="auto"/>
              </w:rPr>
            </w:pPr>
          </w:p>
        </w:tc>
      </w:tr>
      <w:tr>
        <w:trPr>
          <w:trHeight w:val="199"/>
        </w:trPr>
        <w:tc>
          <w:tcPr>
            <w:tcW w:w="6320" w:type="dxa"/>
            <w:vAlign w:val="bottom"/>
          </w:tcPr>
          <w:p>
            <w:pPr>
              <w:spacing w:after="0" w:line="194" w:lineRule="exact"/>
              <w:rPr>
                <w:sz w:val="20"/>
                <w:szCs w:val="20"/>
                <w:color w:val="auto"/>
              </w:rPr>
            </w:pPr>
            <w:r>
              <w:rPr>
                <w:rFonts w:ascii="Arial" w:cs="Arial" w:eastAsia="Arial" w:hAnsi="Arial"/>
                <w:sz w:val="17"/>
                <w:szCs w:val="17"/>
                <w:color w:val="auto"/>
              </w:rPr>
              <w:t>Accumulated comprehensive income</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3,747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2,511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2,521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Total shareholders’ (deficit) equity</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(89,865)</w:t>
            </w:r>
          </w:p>
        </w:tc>
        <w:tc>
          <w:tcPr>
            <w:tcW w:w="3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(78,372)</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95"/>
              <w:spacing w:after="0" w:line="194" w:lineRule="exact"/>
              <w:rPr>
                <w:sz w:val="20"/>
                <w:szCs w:val="20"/>
                <w:color w:val="auto"/>
              </w:rPr>
            </w:pPr>
            <w:r>
              <w:rPr>
                <w:rFonts w:ascii="Arial" w:cs="Arial" w:eastAsia="Arial" w:hAnsi="Arial"/>
                <w:sz w:val="17"/>
                <w:szCs w:val="17"/>
                <w:color w:val="auto"/>
              </w:rPr>
              <w:t>(75,382)</w:t>
            </w:r>
          </w:p>
        </w:tc>
        <w:tc>
          <w:tcPr>
            <w:tcW w:w="4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27,106</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640"/>
              <w:spacing w:after="0"/>
              <w:rPr>
                <w:sz w:val="20"/>
                <w:szCs w:val="20"/>
                <w:color w:val="auto"/>
              </w:rPr>
            </w:pPr>
            <w:r>
              <w:rPr>
                <w:rFonts w:ascii="Arial" w:cs="Arial" w:eastAsia="Arial" w:hAnsi="Arial"/>
                <w:sz w:val="17"/>
                <w:szCs w:val="17"/>
                <w:color w:val="auto"/>
              </w:rPr>
              <w:t>Total liabilities, shareholders’ (deficit) equity and redeemable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ind w:left="960"/>
              <w:spacing w:after="0" w:line="190" w:lineRule="exact"/>
              <w:rPr>
                <w:sz w:val="20"/>
                <w:szCs w:val="20"/>
                <w:color w:val="auto"/>
              </w:rPr>
            </w:pPr>
            <w:r>
              <w:rPr>
                <w:rFonts w:ascii="Arial" w:cs="Arial" w:eastAsia="Arial" w:hAnsi="Arial"/>
                <w:sz w:val="17"/>
                <w:szCs w:val="17"/>
                <w:color w:val="auto"/>
              </w:rPr>
              <w:t>convertible preferred shares</w:t>
            </w:r>
          </w:p>
        </w:tc>
        <w:tc>
          <w:tcPr>
            <w:tcW w:w="10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line="190" w:lineRule="exact"/>
              <w:rPr>
                <w:sz w:val="20"/>
                <w:szCs w:val="20"/>
                <w:color w:val="auto"/>
              </w:rPr>
            </w:pPr>
            <w:r>
              <w:rPr>
                <w:rFonts w:ascii="Arial" w:cs="Arial" w:eastAsia="Arial" w:hAnsi="Arial"/>
                <w:sz w:val="17"/>
                <w:szCs w:val="17"/>
                <w:color w:val="auto"/>
              </w:rPr>
              <w:t>63,305</w:t>
            </w:r>
          </w:p>
        </w:tc>
        <w:tc>
          <w:tcPr>
            <w:tcW w:w="320" w:type="dxa"/>
            <w:vAlign w:val="bottom"/>
          </w:tcPr>
          <w:p>
            <w:pPr>
              <w:spacing w:after="0"/>
              <w:rPr>
                <w:sz w:val="16"/>
                <w:szCs w:val="16"/>
                <w:color w:val="auto"/>
              </w:rPr>
            </w:pP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line="190" w:lineRule="exact"/>
              <w:rPr>
                <w:sz w:val="20"/>
                <w:szCs w:val="20"/>
                <w:color w:val="auto"/>
              </w:rPr>
            </w:pPr>
            <w:r>
              <w:rPr>
                <w:rFonts w:ascii="Arial" w:cs="Arial" w:eastAsia="Arial" w:hAnsi="Arial"/>
                <w:sz w:val="17"/>
                <w:szCs w:val="17"/>
                <w:color w:val="auto"/>
              </w:rPr>
              <w:t>54,487</w:t>
            </w:r>
          </w:p>
        </w:tc>
        <w:tc>
          <w:tcPr>
            <w:tcW w:w="36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55"/>
              <w:spacing w:after="0" w:line="190" w:lineRule="exact"/>
              <w:rPr>
                <w:sz w:val="20"/>
                <w:szCs w:val="20"/>
                <w:color w:val="auto"/>
              </w:rPr>
            </w:pPr>
            <w:r>
              <w:rPr>
                <w:rFonts w:ascii="Arial" w:cs="Arial" w:eastAsia="Arial" w:hAnsi="Arial"/>
                <w:sz w:val="17"/>
                <w:szCs w:val="17"/>
                <w:color w:val="auto"/>
              </w:rPr>
              <w:t>50,712</w:t>
            </w:r>
          </w:p>
        </w:tc>
        <w:tc>
          <w:tcPr>
            <w:tcW w:w="440" w:type="dxa"/>
            <w:vAlign w:val="bottom"/>
            <w:gridSpan w:val="2"/>
          </w:tcPr>
          <w:p>
            <w:pPr>
              <w:ind w:left="280"/>
              <w:spacing w:after="0" w:line="190"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50,712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4"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2529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8"/>
              </w:rPr>
              <w:t>SIX MONTHS ENDED</w:t>
            </w: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8"/>
              </w:rPr>
              <w:t>YEAR ENDED DECEMBER 31,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JUNE 30,</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2012</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2013</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9"/>
              <w:spacing w:after="0" w:line="135" w:lineRule="exact"/>
              <w:rPr>
                <w:sz w:val="20"/>
                <w:szCs w:val="20"/>
                <w:color w:val="auto"/>
              </w:rPr>
            </w:pPr>
            <w:r>
              <w:rPr>
                <w:rFonts w:ascii="Arial" w:cs="Arial" w:eastAsia="Arial" w:hAnsi="Arial"/>
                <w:sz w:val="13"/>
                <w:szCs w:val="13"/>
                <w:b w:val="1"/>
                <w:bCs w:val="1"/>
                <w:color w:val="auto"/>
              </w:rPr>
              <w:t>2013</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left="579"/>
              <w:spacing w:after="0" w:line="135" w:lineRule="exact"/>
              <w:rPr>
                <w:sz w:val="20"/>
                <w:szCs w:val="20"/>
                <w:color w:val="auto"/>
              </w:rPr>
            </w:pPr>
            <w:r>
              <w:rPr>
                <w:rFonts w:ascii="Arial" w:cs="Arial" w:eastAsia="Arial" w:hAnsi="Arial"/>
                <w:sz w:val="13"/>
                <w:szCs w:val="13"/>
                <w:b w:val="1"/>
                <w:bCs w:val="1"/>
                <w:color w:val="auto"/>
              </w:rPr>
              <w:t>(unaudited)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Collaboration revenue</w:t>
            </w:r>
          </w:p>
        </w:tc>
        <w:tc>
          <w:tcPr>
            <w:tcW w:w="3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6,915</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14,300</w:t>
            </w:r>
          </w:p>
        </w:tc>
        <w:tc>
          <w:tcPr>
            <w:tcW w:w="1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27,352</w:t>
            </w:r>
          </w:p>
        </w:tc>
        <w:tc>
          <w:tcPr>
            <w:tcW w:w="340" w:type="dxa"/>
            <w:vAlign w:val="bottom"/>
          </w:tcPr>
          <w:p>
            <w:pPr>
              <w:spacing w:after="0"/>
              <w:rPr>
                <w:sz w:val="16"/>
                <w:szCs w:val="16"/>
                <w:color w:val="auto"/>
              </w:rPr>
            </w:pPr>
          </w:p>
        </w:tc>
        <w:tc>
          <w:tcPr>
            <w:tcW w:w="3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35"/>
              <w:spacing w:after="0" w:line="194" w:lineRule="exact"/>
              <w:rPr>
                <w:sz w:val="20"/>
                <w:szCs w:val="20"/>
                <w:color w:val="auto"/>
              </w:rPr>
            </w:pPr>
            <w:r>
              <w:rPr>
                <w:rFonts w:ascii="Arial" w:cs="Arial" w:eastAsia="Arial" w:hAnsi="Arial"/>
                <w:sz w:val="17"/>
                <w:szCs w:val="17"/>
                <w:color w:val="auto"/>
              </w:rPr>
              <w:t>10,985</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10,297</w:t>
            </w: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Royalties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40"/>
              <w:spacing w:after="0" w:line="194" w:lineRule="exact"/>
              <w:rPr>
                <w:sz w:val="20"/>
                <w:szCs w:val="20"/>
                <w:color w:val="auto"/>
              </w:rPr>
            </w:pPr>
            <w:r>
              <w:rPr>
                <w:rFonts w:ascii="Arial" w:cs="Arial" w:eastAsia="Arial" w:hAnsi="Arial"/>
                <w:sz w:val="17"/>
                <w:szCs w:val="17"/>
                <w:color w:val="auto"/>
              </w:rPr>
              <w:t>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3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6,918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14,308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27,356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35"/>
              <w:spacing w:after="0"/>
              <w:rPr>
                <w:sz w:val="20"/>
                <w:szCs w:val="20"/>
                <w:color w:val="auto"/>
              </w:rPr>
            </w:pPr>
            <w:r>
              <w:rPr>
                <w:rFonts w:ascii="Arial" w:cs="Arial" w:eastAsia="Arial" w:hAnsi="Arial"/>
                <w:sz w:val="17"/>
                <w:szCs w:val="17"/>
                <w:color w:val="auto"/>
              </w:rPr>
              <w:t>10,985</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10,299</w:t>
            </w: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expenses: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rPr>
              <w:t>12,302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10,455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12,303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6,983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5,099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General and administrative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6,730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7,006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5,341</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2,828</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tcPr>
          <w:p>
            <w:pPr>
              <w:ind w:left="64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19,032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17,461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17,644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9,811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Income (loss) from operations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(12,114)</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(3,153)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9,712</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1,174</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spacing w:after="0" w:line="194" w:lineRule="exact"/>
              <w:rPr>
                <w:sz w:val="20"/>
                <w:szCs w:val="20"/>
                <w:color w:val="auto"/>
              </w:rPr>
            </w:pPr>
            <w:r>
              <w:rPr>
                <w:rFonts w:ascii="Arial" w:cs="Arial" w:eastAsia="Arial" w:hAnsi="Arial"/>
                <w:sz w:val="17"/>
                <w:szCs w:val="17"/>
                <w:color w:val="auto"/>
              </w:rPr>
              <w:t>Other income (expense):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Interest income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144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338</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35"/>
              <w:spacing w:after="0" w:line="194" w:lineRule="exact"/>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(91)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80"/>
              <w:spacing w:after="0" w:line="194" w:lineRule="exact"/>
              <w:rPr>
                <w:sz w:val="20"/>
                <w:szCs w:val="20"/>
                <w:color w:val="auto"/>
              </w:rPr>
            </w:pPr>
            <w:r>
              <w:rPr>
                <w:rFonts w:ascii="Arial" w:cs="Arial" w:eastAsia="Arial" w:hAnsi="Arial"/>
                <w:sz w:val="17"/>
                <w:szCs w:val="17"/>
                <w:color w:val="auto"/>
              </w:rPr>
              <w:t>(64)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495"/>
              <w:spacing w:after="0" w:line="194"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Foreign exchange gain (loss)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(169)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2,035</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1,920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Gain (loss) on write-off and disposal of 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00"/>
              <w:spacing w:after="0" w:line="194" w:lineRule="exact"/>
              <w:rPr>
                <w:sz w:val="20"/>
                <w:szCs w:val="20"/>
                <w:color w:val="auto"/>
              </w:rPr>
            </w:pPr>
            <w:r>
              <w:rPr>
                <w:rFonts w:ascii="Arial" w:cs="Arial" w:eastAsia="Arial" w:hAnsi="Arial"/>
                <w:sz w:val="17"/>
                <w:szCs w:val="17"/>
                <w:color w:val="auto"/>
              </w:rPr>
              <w:t>(1,030)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35"/>
              <w:spacing w:after="0" w:line="194" w:lineRule="exact"/>
              <w:rPr>
                <w:sz w:val="20"/>
                <w:szCs w:val="20"/>
                <w:color w:val="auto"/>
              </w:rPr>
            </w:pPr>
            <w:r>
              <w:rPr>
                <w:rFonts w:ascii="Arial" w:cs="Arial" w:eastAsia="Arial" w:hAnsi="Arial"/>
                <w:sz w:val="17"/>
                <w:szCs w:val="17"/>
                <w:color w:val="auto"/>
              </w:rPr>
              <w:t>11</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income (loss)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(11,992)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(4,301)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12,032</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3,140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tcPr>
          <w:p>
            <w:pPr>
              <w:spacing w:after="0"/>
              <w:rPr>
                <w:sz w:val="20"/>
                <w:szCs w:val="20"/>
                <w:color w:val="auto"/>
              </w:rPr>
            </w:pPr>
            <w:r>
              <w:rPr>
                <w:rFonts w:ascii="Arial" w:cs="Arial" w:eastAsia="Arial" w:hAnsi="Arial"/>
                <w:sz w:val="17"/>
                <w:szCs w:val="17"/>
                <w:color w:val="auto"/>
              </w:rPr>
              <w:t>Net income attributable to participating securities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8,199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3,140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43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income (loss) attributable to common shareholders</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(11,992)</w:t>
            </w:r>
          </w:p>
        </w:tc>
        <w:tc>
          <w:tcPr>
            <w:tcW w:w="6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(4,301)</w:t>
            </w:r>
          </w:p>
        </w:tc>
        <w:tc>
          <w:tcPr>
            <w:tcW w:w="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3,833</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3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7"/>
                <w:szCs w:val="17"/>
                <w:color w:val="auto"/>
              </w:rPr>
              <w:t>Net income (loss) per share attributable to common</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320"/>
              <w:spacing w:after="0" w:line="190" w:lineRule="exact"/>
              <w:rPr>
                <w:sz w:val="20"/>
                <w:szCs w:val="20"/>
                <w:color w:val="auto"/>
              </w:rPr>
            </w:pPr>
            <w:r>
              <w:rPr>
                <w:rFonts w:ascii="Arial" w:cs="Arial" w:eastAsia="Arial" w:hAnsi="Arial"/>
                <w:sz w:val="17"/>
                <w:szCs w:val="17"/>
                <w:color w:val="auto"/>
              </w:rPr>
              <w:t>shareholders: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Basic</w:t>
            </w:r>
          </w:p>
        </w:tc>
        <w:tc>
          <w:tcPr>
            <w:tcW w:w="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(9.06)</w:t>
            </w:r>
          </w:p>
        </w:tc>
        <w:tc>
          <w:tcPr>
            <w:tcW w:w="6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(3.24)</w:t>
            </w:r>
          </w:p>
        </w:tc>
        <w:tc>
          <w:tcPr>
            <w:tcW w:w="1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2.87</w:t>
            </w:r>
          </w:p>
        </w:tc>
        <w:tc>
          <w:tcPr>
            <w:tcW w:w="3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tcPr>
          <w:p>
            <w:pPr>
              <w:ind w:left="320"/>
              <w:spacing w:after="0" w:line="185" w:lineRule="exact"/>
              <w:rPr>
                <w:sz w:val="20"/>
                <w:szCs w:val="20"/>
                <w:color w:val="auto"/>
              </w:rPr>
            </w:pPr>
            <w:r>
              <w:rPr>
                <w:rFonts w:ascii="Arial" w:cs="Arial" w:eastAsia="Arial" w:hAnsi="Arial"/>
                <w:sz w:val="17"/>
                <w:szCs w:val="17"/>
                <w:color w:val="auto"/>
              </w:rPr>
              <w:t>Diluted</w:t>
            </w:r>
          </w:p>
        </w:tc>
        <w:tc>
          <w:tcPr>
            <w:tcW w:w="36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(9.06)</w:t>
            </w:r>
          </w:p>
        </w:tc>
        <w:tc>
          <w:tcPr>
            <w:tcW w:w="62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00"/>
              <w:spacing w:after="0" w:line="185" w:lineRule="exact"/>
              <w:rPr>
                <w:sz w:val="20"/>
                <w:szCs w:val="20"/>
                <w:color w:val="auto"/>
              </w:rPr>
            </w:pPr>
            <w:r>
              <w:rPr>
                <w:rFonts w:ascii="Arial" w:cs="Arial" w:eastAsia="Arial" w:hAnsi="Arial"/>
                <w:sz w:val="17"/>
                <w:szCs w:val="17"/>
                <w:color w:val="auto"/>
              </w:rPr>
              <w:t>(3.24)</w:t>
            </w:r>
          </w:p>
        </w:tc>
        <w:tc>
          <w:tcPr>
            <w:tcW w:w="16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rPr>
              <w:t>1.91</w:t>
            </w:r>
          </w:p>
        </w:tc>
        <w:tc>
          <w:tcPr>
            <w:tcW w:w="340" w:type="dxa"/>
            <w:vAlign w:val="bottom"/>
          </w:tcPr>
          <w:p>
            <w:pPr>
              <w:spacing w:after="0"/>
              <w:rPr>
                <w:sz w:val="16"/>
                <w:szCs w:val="16"/>
                <w:color w:val="auto"/>
              </w:rPr>
            </w:pPr>
          </w:p>
        </w:tc>
        <w:tc>
          <w:tcPr>
            <w:tcW w:w="38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rPr>
              <w:t>0.00</w:t>
            </w:r>
          </w:p>
        </w:tc>
        <w:tc>
          <w:tcPr>
            <w:tcW w:w="600" w:type="dxa"/>
            <w:vAlign w:val="bottom"/>
          </w:tcPr>
          <w:p>
            <w:pPr>
              <w:spacing w:after="0"/>
              <w:rPr>
                <w:sz w:val="16"/>
                <w:szCs w:val="16"/>
                <w:color w:val="auto"/>
              </w:rPr>
            </w:pPr>
          </w:p>
        </w:tc>
        <w:tc>
          <w:tcPr>
            <w:tcW w:w="100" w:type="dxa"/>
            <w:vAlign w:val="bottom"/>
          </w:tcPr>
          <w:p>
            <w:pPr>
              <w:jc w:val="right"/>
              <w:spacing w:after="0" w:line="185"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Weighted-average shares outstanding:</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Basic</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auto"/>
                <w:w w:val="95"/>
              </w:rPr>
              <w:t>1,323,683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w w:val="95"/>
              </w:rPr>
              <w:t>1,327,460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w w:val="97"/>
              </w:rPr>
              <w:t>1,337,662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w w:val="97"/>
              </w:rPr>
              <w:t>1,332,886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w w:val="97"/>
              </w:rPr>
              <w:t>1,347,237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Effects of dilutive securities: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Stock options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6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659,167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35"/>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Subscription rights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6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12,277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535"/>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tcPr>
          <w:p>
            <w:pPr>
              <w:ind w:left="320"/>
              <w:spacing w:after="0" w:line="185" w:lineRule="exact"/>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85" w:lineRule="exact"/>
              <w:rPr>
                <w:sz w:val="20"/>
                <w:szCs w:val="20"/>
                <w:color w:val="auto"/>
              </w:rPr>
            </w:pPr>
            <w:r>
              <w:rPr>
                <w:rFonts w:ascii="Arial" w:cs="Arial" w:eastAsia="Arial" w:hAnsi="Arial"/>
                <w:sz w:val="17"/>
                <w:szCs w:val="17"/>
                <w:color w:val="auto"/>
                <w:w w:val="95"/>
              </w:rPr>
              <w:t>1,323,683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60"/>
              <w:spacing w:after="0" w:line="185" w:lineRule="exact"/>
              <w:rPr>
                <w:sz w:val="20"/>
                <w:szCs w:val="20"/>
                <w:color w:val="auto"/>
              </w:rPr>
            </w:pPr>
            <w:r>
              <w:rPr>
                <w:rFonts w:ascii="Arial" w:cs="Arial" w:eastAsia="Arial" w:hAnsi="Arial"/>
                <w:sz w:val="17"/>
                <w:szCs w:val="17"/>
                <w:color w:val="auto"/>
                <w:w w:val="95"/>
              </w:rPr>
              <w:t>1,327,460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w w:val="97"/>
              </w:rPr>
              <w:t>2,009,106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w w:val="97"/>
              </w:rPr>
              <w:t>1,332,886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w w:val="97"/>
              </w:rPr>
              <w:t>1,347,237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income per share attributable to</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common shareholders (unaudited):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tcPr>
          <w:p>
            <w:pPr>
              <w:ind w:left="320"/>
              <w:spacing w:after="0" w:line="194" w:lineRule="exact"/>
              <w:rPr>
                <w:sz w:val="20"/>
                <w:szCs w:val="20"/>
                <w:color w:val="auto"/>
              </w:rPr>
            </w:pPr>
            <w:r>
              <w:rPr>
                <w:rFonts w:ascii="Arial" w:cs="Arial" w:eastAsia="Arial" w:hAnsi="Arial"/>
                <w:sz w:val="17"/>
                <w:szCs w:val="17"/>
                <w:color w:val="auto"/>
              </w:rPr>
              <w:t>Basic</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auto"/>
              </w:rPr>
              <w:t>1.33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color w:val="auto"/>
              </w:rPr>
              <w:t>Diluted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1.24</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7"/>
                <w:szCs w:val="17"/>
                <w:color w:val="auto"/>
              </w:rPr>
              <w:t>Pro forma weighted-average shares outstanding</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40" w:type="dxa"/>
            <w:vAlign w:val="bottom"/>
          </w:tcPr>
          <w:p>
            <w:pPr>
              <w:ind w:left="320"/>
              <w:spacing w:after="0" w:line="190" w:lineRule="exact"/>
              <w:rPr>
                <w:sz w:val="20"/>
                <w:szCs w:val="20"/>
                <w:color w:val="auto"/>
              </w:rPr>
            </w:pPr>
            <w:r>
              <w:rPr>
                <w:rFonts w:ascii="Arial" w:cs="Arial" w:eastAsia="Arial" w:hAnsi="Arial"/>
                <w:sz w:val="17"/>
                <w:szCs w:val="17"/>
                <w:color w:val="auto"/>
              </w:rPr>
              <w:t>(unaudited):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9,075,863</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9,085,116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40" w:type="dxa"/>
            <w:vAlign w:val="bottom"/>
          </w:tcPr>
          <w:p>
            <w:pPr>
              <w:ind w:left="320"/>
              <w:spacing w:after="0" w:line="185" w:lineRule="exact"/>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97"/>
              </w:rPr>
              <w:t>9,735,030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w w:val="97"/>
              </w:rPr>
              <w:t>9,828,092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4"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Statements of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2529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8"/>
              </w:rPr>
              <w:t>SIX MONTHS</w:t>
            </w:r>
          </w:p>
        </w:tc>
      </w:tr>
      <w:tr>
        <w:trPr>
          <w:trHeight w:val="159"/>
        </w:trPr>
        <w:tc>
          <w:tcPr>
            <w:tcW w:w="6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60" w:type="dxa"/>
            <w:vAlign w:val="bottom"/>
            <w:gridSpan w:val="6"/>
          </w:tcPr>
          <w:p>
            <w:pPr>
              <w:jc w:val="right"/>
              <w:ind w:right="880"/>
              <w:spacing w:after="0"/>
              <w:rPr>
                <w:sz w:val="20"/>
                <w:szCs w:val="20"/>
                <w:color w:val="auto"/>
              </w:rPr>
            </w:pPr>
            <w:r>
              <w:rPr>
                <w:rFonts w:ascii="Arial" w:cs="Arial" w:eastAsia="Arial" w:hAnsi="Arial"/>
                <w:sz w:val="13"/>
                <w:szCs w:val="13"/>
                <w:b w:val="1"/>
                <w:bCs w:val="1"/>
                <w:color w:val="auto"/>
              </w:rPr>
              <w:t>YEAR ENDED DECEMBER 31,</w:t>
            </w:r>
          </w:p>
        </w:tc>
        <w:tc>
          <w:tcPr>
            <w:tcW w:w="15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8"/>
              </w:rPr>
              <w:t>ENDED JUNE 30,</w:t>
            </w:r>
          </w:p>
        </w:tc>
      </w:tr>
      <w:tr>
        <w:trPr>
          <w:trHeight w:val="135"/>
        </w:trPr>
        <w:tc>
          <w:tcPr>
            <w:tcW w:w="6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9"/>
              <w:spacing w:after="0" w:line="135" w:lineRule="exact"/>
              <w:rPr>
                <w:sz w:val="20"/>
                <w:szCs w:val="20"/>
                <w:color w:val="auto"/>
              </w:rPr>
            </w:pPr>
            <w:r>
              <w:rPr>
                <w:rFonts w:ascii="Arial" w:cs="Arial" w:eastAsia="Arial" w:hAnsi="Arial"/>
                <w:sz w:val="13"/>
                <w:szCs w:val="13"/>
                <w:b w:val="1"/>
                <w:bCs w:val="1"/>
                <w:color w:val="auto"/>
              </w:rPr>
              <w:t>2011</w:t>
            </w: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60"/>
              <w:spacing w:after="0" w:line="135" w:lineRule="exact"/>
              <w:rPr>
                <w:sz w:val="20"/>
                <w:szCs w:val="20"/>
                <w:color w:val="auto"/>
              </w:rPr>
            </w:pPr>
            <w:r>
              <w:rPr>
                <w:rFonts w:ascii="Arial" w:cs="Arial" w:eastAsia="Arial" w:hAnsi="Arial"/>
                <w:sz w:val="13"/>
                <w:szCs w:val="13"/>
                <w:b w:val="1"/>
                <w:bCs w:val="1"/>
                <w:color w:val="auto"/>
              </w:rPr>
              <w:t>2012</w:t>
            </w: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0"/>
              <w:spacing w:after="0" w:line="135" w:lineRule="exact"/>
              <w:rPr>
                <w:sz w:val="20"/>
                <w:szCs w:val="20"/>
                <w:color w:val="auto"/>
              </w:rPr>
            </w:pPr>
            <w:r>
              <w:rPr>
                <w:rFonts w:ascii="Arial" w:cs="Arial" w:eastAsia="Arial" w:hAnsi="Arial"/>
                <w:sz w:val="13"/>
                <w:szCs w:val="13"/>
                <w:b w:val="1"/>
                <w:bCs w:val="1"/>
                <w:color w:val="auto"/>
              </w:rPr>
              <w:t>2013</w:t>
            </w:r>
          </w:p>
        </w:tc>
        <w:tc>
          <w:tcPr>
            <w:tcW w:w="4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6"/>
              <w:spacing w:after="0" w:line="135" w:lineRule="exact"/>
              <w:rPr>
                <w:sz w:val="20"/>
                <w:szCs w:val="20"/>
                <w:color w:val="auto"/>
              </w:rPr>
            </w:pPr>
            <w:r>
              <w:rPr>
                <w:rFonts w:ascii="Arial" w:cs="Arial" w:eastAsia="Arial" w:hAnsi="Arial"/>
                <w:sz w:val="13"/>
                <w:szCs w:val="13"/>
                <w:b w:val="1"/>
                <w:bCs w:val="1"/>
                <w:color w:val="auto"/>
              </w:rPr>
              <w:t>2013</w:t>
            </w:r>
          </w:p>
        </w:tc>
        <w:tc>
          <w:tcPr>
            <w:tcW w:w="4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6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1"/>
                <w:szCs w:val="1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income (loss)</w:t>
            </w:r>
          </w:p>
        </w:tc>
        <w:tc>
          <w:tcPr>
            <w:tcW w:w="17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 (11,992)</w:t>
            </w:r>
          </w:p>
        </w:tc>
        <w:tc>
          <w:tcPr>
            <w:tcW w:w="102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w w:val="97"/>
              </w:rPr>
              <w:t>$(4,301)</w:t>
            </w:r>
          </w:p>
        </w:tc>
        <w:tc>
          <w:tcPr>
            <w:tcW w:w="104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w w:val="97"/>
              </w:rPr>
              <w:t>$12,032</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$3,140</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$2,603</w:t>
            </w:r>
          </w:p>
        </w:tc>
        <w:tc>
          <w:tcPr>
            <w:tcW w:w="100" w:type="dxa"/>
            <w:vAlign w:val="bottom"/>
            <w:shd w:val="clear" w:color="auto" w:fill="CCEEFF"/>
          </w:tcPr>
          <w:p>
            <w:pPr>
              <w:spacing w:after="0"/>
              <w:rPr>
                <w:sz w:val="16"/>
                <w:szCs w:val="16"/>
                <w:color w:val="auto"/>
              </w:rPr>
            </w:pPr>
          </w:p>
        </w:tc>
      </w:tr>
      <w:tr>
        <w:trPr>
          <w:trHeight w:val="194"/>
        </w:trPr>
        <w:tc>
          <w:tcPr>
            <w:tcW w:w="6080" w:type="dxa"/>
            <w:vAlign w:val="bottom"/>
          </w:tcPr>
          <w:p>
            <w:pPr>
              <w:spacing w:after="0" w:line="194" w:lineRule="exact"/>
              <w:rPr>
                <w:sz w:val="20"/>
                <w:szCs w:val="20"/>
                <w:color w:val="auto"/>
              </w:rPr>
            </w:pPr>
            <w:r>
              <w:rPr>
                <w:rFonts w:ascii="Arial" w:cs="Arial" w:eastAsia="Arial" w:hAnsi="Arial"/>
                <w:sz w:val="17"/>
                <w:szCs w:val="17"/>
                <w:color w:val="auto"/>
              </w:rPr>
              <w:t>Other comprehensive income (loss):</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608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Foreign currency translation adjustment</w:t>
            </w:r>
          </w:p>
        </w:tc>
        <w:tc>
          <w:tcPr>
            <w:tcW w:w="17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(293)</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342</w:t>
            </w:r>
          </w:p>
        </w:tc>
        <w:tc>
          <w:tcPr>
            <w:tcW w:w="4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(1,236)</w:t>
            </w:r>
          </w:p>
        </w:tc>
        <w:tc>
          <w:tcPr>
            <w:tcW w:w="96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(790)</w:t>
            </w: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w:t>
            </w:r>
          </w:p>
        </w:tc>
      </w:tr>
      <w:tr>
        <w:trPr>
          <w:trHeight w:val="194"/>
        </w:trPr>
        <w:tc>
          <w:tcPr>
            <w:tcW w:w="6080" w:type="dxa"/>
            <w:vAlign w:val="bottom"/>
          </w:tcPr>
          <w:p>
            <w:pPr>
              <w:ind w:left="300"/>
              <w:spacing w:after="0" w:line="194" w:lineRule="exact"/>
              <w:rPr>
                <w:sz w:val="20"/>
                <w:szCs w:val="20"/>
                <w:color w:val="auto"/>
              </w:rPr>
            </w:pPr>
            <w:r>
              <w:rPr>
                <w:rFonts w:ascii="Arial" w:cs="Arial" w:eastAsia="Arial" w:hAnsi="Arial"/>
                <w:sz w:val="17"/>
                <w:szCs w:val="17"/>
                <w:color w:val="auto"/>
              </w:rPr>
              <w:t>Unrealized gain (loss) on marketable securities measured at fair value</w:t>
            </w:r>
          </w:p>
        </w:tc>
        <w:tc>
          <w:tcPr>
            <w:tcW w:w="6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4</w:t>
            </w:r>
          </w:p>
        </w:tc>
        <w:tc>
          <w:tcPr>
            <w:tcW w:w="420" w:type="dxa"/>
            <w:vAlign w:val="bottom"/>
          </w:tcPr>
          <w:p>
            <w:pPr>
              <w:spacing w:after="0"/>
              <w:rPr>
                <w:sz w:val="16"/>
                <w:szCs w:val="16"/>
                <w:color w:val="auto"/>
              </w:rPr>
            </w:pPr>
          </w:p>
        </w:tc>
        <w:tc>
          <w:tcPr>
            <w:tcW w:w="102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(4)</w:t>
            </w:r>
          </w:p>
        </w:tc>
        <w:tc>
          <w:tcPr>
            <w:tcW w:w="104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6"/>
        </w:trPr>
        <w:tc>
          <w:tcPr>
            <w:tcW w:w="6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Comprehensive income (loss)</w:t>
            </w:r>
          </w:p>
        </w:tc>
        <w:tc>
          <w:tcPr>
            <w:tcW w:w="17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(12,281)</w:t>
            </w:r>
          </w:p>
        </w:tc>
        <w:tc>
          <w:tcPr>
            <w:tcW w:w="102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(3,963)</w:t>
            </w:r>
          </w:p>
        </w:tc>
        <w:tc>
          <w:tcPr>
            <w:tcW w:w="104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10,796</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2,350</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2,613</w:t>
            </w:r>
          </w:p>
        </w:tc>
        <w:tc>
          <w:tcPr>
            <w:tcW w:w="100" w:type="dxa"/>
            <w:vAlign w:val="bottom"/>
            <w:shd w:val="clear" w:color="auto" w:fill="CCEEFF"/>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60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4"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Statements of Changes in Redeemable Convertible Preferred Shares and Shareholders’ Deficit</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(Expressed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2529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gridSpan w:val="3"/>
          </w:tcPr>
          <w:p>
            <w:pPr>
              <w:jc w:val="center"/>
              <w:ind w:left="295"/>
              <w:spacing w:after="0"/>
              <w:rPr>
                <w:sz w:val="20"/>
                <w:szCs w:val="20"/>
                <w:color w:val="auto"/>
              </w:rPr>
            </w:pPr>
            <w:r>
              <w:rPr>
                <w:rFonts w:ascii="Arial" w:cs="Arial" w:eastAsia="Arial" w:hAnsi="Arial"/>
                <w:sz w:val="13"/>
                <w:szCs w:val="13"/>
                <w:b w:val="1"/>
                <w:bCs w:val="1"/>
                <w:color w:val="auto"/>
                <w:w w:val="98"/>
              </w:rPr>
              <w:t>SERIES A</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8"/>
              </w:rPr>
              <w:t>SERIES B</w:t>
            </w:r>
          </w:p>
        </w:tc>
        <w:tc>
          <w:tcPr>
            <w:tcW w:w="13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SERIES 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5"/>
          </w:tcPr>
          <w:p>
            <w:pPr>
              <w:jc w:val="center"/>
              <w:ind w:right="100"/>
              <w:spacing w:after="0" w:line="142" w:lineRule="exact"/>
              <w:rPr>
                <w:sz w:val="20"/>
                <w:szCs w:val="20"/>
                <w:color w:val="auto"/>
              </w:rPr>
            </w:pPr>
            <w:r>
              <w:rPr>
                <w:rFonts w:ascii="Arial" w:cs="Arial" w:eastAsia="Arial" w:hAnsi="Arial"/>
                <w:sz w:val="13"/>
                <w:szCs w:val="13"/>
                <w:b w:val="1"/>
                <w:bCs w:val="1"/>
                <w:color w:val="auto"/>
                <w:w w:val="98"/>
              </w:rPr>
              <w:t>CONVERTIBLE</w:t>
            </w:r>
          </w:p>
        </w:tc>
        <w:tc>
          <w:tcPr>
            <w:tcW w:w="1340" w:type="dxa"/>
            <w:vAlign w:val="bottom"/>
            <w:gridSpan w:val="5"/>
          </w:tcPr>
          <w:p>
            <w:pPr>
              <w:jc w:val="center"/>
              <w:ind w:right="100"/>
              <w:spacing w:after="0" w:line="142" w:lineRule="exact"/>
              <w:rPr>
                <w:sz w:val="20"/>
                <w:szCs w:val="20"/>
                <w:color w:val="auto"/>
              </w:rPr>
            </w:pPr>
            <w:r>
              <w:rPr>
                <w:rFonts w:ascii="Arial" w:cs="Arial" w:eastAsia="Arial" w:hAnsi="Arial"/>
                <w:sz w:val="13"/>
                <w:szCs w:val="13"/>
                <w:b w:val="1"/>
                <w:bCs w:val="1"/>
                <w:color w:val="auto"/>
                <w:w w:val="98"/>
              </w:rPr>
              <w:t>CONVERTIBLE</w:t>
            </w:r>
          </w:p>
        </w:tc>
        <w:tc>
          <w:tcPr>
            <w:tcW w:w="130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98"/>
              </w:rPr>
              <w:t>CONVERTIBLE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5"/>
          </w:tcPr>
          <w:p>
            <w:pPr>
              <w:jc w:val="center"/>
              <w:ind w:right="100"/>
              <w:spacing w:after="0" w:line="142" w:lineRule="exact"/>
              <w:rPr>
                <w:sz w:val="20"/>
                <w:szCs w:val="20"/>
                <w:color w:val="auto"/>
              </w:rPr>
            </w:pPr>
            <w:r>
              <w:rPr>
                <w:rFonts w:ascii="Arial" w:cs="Arial" w:eastAsia="Arial" w:hAnsi="Arial"/>
                <w:sz w:val="13"/>
                <w:szCs w:val="13"/>
                <w:b w:val="1"/>
                <w:bCs w:val="1"/>
                <w:color w:val="auto"/>
                <w:w w:val="99"/>
              </w:rPr>
              <w:t>PREFERRED</w:t>
            </w:r>
          </w:p>
        </w:tc>
        <w:tc>
          <w:tcPr>
            <w:tcW w:w="1340" w:type="dxa"/>
            <w:vAlign w:val="bottom"/>
            <w:gridSpan w:val="5"/>
          </w:tcPr>
          <w:p>
            <w:pPr>
              <w:jc w:val="center"/>
              <w:ind w:right="100"/>
              <w:spacing w:after="0" w:line="142" w:lineRule="exact"/>
              <w:rPr>
                <w:sz w:val="20"/>
                <w:szCs w:val="20"/>
                <w:color w:val="auto"/>
              </w:rPr>
            </w:pPr>
            <w:r>
              <w:rPr>
                <w:rFonts w:ascii="Arial" w:cs="Arial" w:eastAsia="Arial" w:hAnsi="Arial"/>
                <w:sz w:val="13"/>
                <w:szCs w:val="13"/>
                <w:b w:val="1"/>
                <w:bCs w:val="1"/>
                <w:color w:val="auto"/>
                <w:w w:val="99"/>
              </w:rPr>
              <w:t>PREFERRED</w:t>
            </w:r>
          </w:p>
        </w:tc>
        <w:tc>
          <w:tcPr>
            <w:tcW w:w="1300" w:type="dxa"/>
            <w:vAlign w:val="bottom"/>
            <w:gridSpan w:val="4"/>
          </w:tcPr>
          <w:p>
            <w:pPr>
              <w:jc w:val="center"/>
              <w:spacing w:after="0" w:line="142" w:lineRule="exact"/>
              <w:rPr>
                <w:sz w:val="20"/>
                <w:szCs w:val="20"/>
                <w:color w:val="auto"/>
              </w:rPr>
            </w:pPr>
            <w:r>
              <w:rPr>
                <w:rFonts w:ascii="Arial" w:cs="Arial" w:eastAsia="Arial" w:hAnsi="Arial"/>
                <w:sz w:val="13"/>
                <w:szCs w:val="13"/>
                <w:b w:val="1"/>
                <w:bCs w:val="1"/>
                <w:color w:val="auto"/>
                <w:w w:val="99"/>
              </w:rPr>
              <w:t>PREFERRED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6"/>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gridSpan w:val="3"/>
            <w:vMerge w:val="restart"/>
          </w:tcPr>
          <w:p>
            <w:pPr>
              <w:jc w:val="center"/>
              <w:ind w:left="275"/>
              <w:spacing w:after="0"/>
              <w:rPr>
                <w:sz w:val="20"/>
                <w:szCs w:val="20"/>
                <w:color w:val="auto"/>
              </w:rPr>
            </w:pPr>
            <w:r>
              <w:rPr>
                <w:rFonts w:ascii="Arial" w:cs="Arial" w:eastAsia="Arial" w:hAnsi="Arial"/>
                <w:sz w:val="13"/>
                <w:szCs w:val="13"/>
                <w:b w:val="1"/>
                <w:bCs w:val="1"/>
                <w:color w:val="auto"/>
                <w:w w:val="99"/>
              </w:rPr>
              <w:t>SHARES</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3"/>
            <w:vMerge w:val="restart"/>
          </w:tcPr>
          <w:p>
            <w:pPr>
              <w:jc w:val="center"/>
              <w:ind w:left="255"/>
              <w:spacing w:after="0"/>
              <w:rPr>
                <w:sz w:val="20"/>
                <w:szCs w:val="20"/>
                <w:color w:val="auto"/>
              </w:rPr>
            </w:pPr>
            <w:r>
              <w:rPr>
                <w:rFonts w:ascii="Arial" w:cs="Arial" w:eastAsia="Arial" w:hAnsi="Arial"/>
                <w:sz w:val="13"/>
                <w:szCs w:val="13"/>
                <w:b w:val="1"/>
                <w:bCs w:val="1"/>
                <w:color w:val="auto"/>
                <w:w w:val="99"/>
              </w:rPr>
              <w:t>SHARES</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9"/>
              </w:rPr>
              <w:t>SHARES</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COMMON SHARES</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bottom w:val="single" w:sz="8" w:color="auto"/>
            </w:tcBorders>
            <w:gridSpan w:val="5"/>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60"/>
              <w:spacing w:after="0" w:line="122"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0"/>
                <w:szCs w:val="10"/>
                <w:color w:val="auto"/>
              </w:rPr>
            </w:pPr>
          </w:p>
        </w:tc>
        <w:tc>
          <w:tcPr>
            <w:tcW w:w="1200" w:type="dxa"/>
            <w:vAlign w:val="bottom"/>
            <w:gridSpan w:val="4"/>
          </w:tcPr>
          <w:p>
            <w:pPr>
              <w:spacing w:after="0" w:line="122"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5"/>
              </w:rPr>
              <w:t>SHARES</w:t>
            </w:r>
          </w:p>
        </w:tc>
        <w:tc>
          <w:tcPr>
            <w:tcW w:w="12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4"/>
              </w:rPr>
              <w:t>AMOUNT</w:t>
            </w: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CAPITAL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2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Balance as of</w:t>
            </w: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right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January 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2011</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1,151,468</w:t>
            </w:r>
          </w:p>
        </w:tc>
        <w:tc>
          <w:tcPr>
            <w:tcW w:w="3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8"/>
              </w:rPr>
              <w:t>2,939</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994,885</w:t>
            </w:r>
          </w:p>
        </w:tc>
        <w:tc>
          <w:tcPr>
            <w:tcW w:w="3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2"/>
              </w:rPr>
              <w:t>8,683</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4,322,126</w:t>
            </w:r>
          </w:p>
        </w:tc>
        <w:tc>
          <w:tcPr>
            <w:tcW w:w="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90,866</w:t>
            </w:r>
          </w:p>
        </w:tc>
        <w:tc>
          <w:tcPr>
            <w:tcW w:w="24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1,323,142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5,980</w:t>
            </w:r>
          </w:p>
        </w:tc>
        <w:tc>
          <w:tcPr>
            <w:tcW w:w="16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28,328</w:t>
            </w:r>
          </w:p>
        </w:tc>
        <w:tc>
          <w:tcPr>
            <w:tcW w:w="2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(112,491)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3,698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(74,485)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3"/>
                <w:szCs w:val="13"/>
                <w:color w:val="auto"/>
              </w:rPr>
              <w:t>Net loss for the year</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(11,992)</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40"/>
              <w:spacing w:after="0" w:line="142" w:lineRule="exact"/>
              <w:rPr>
                <w:sz w:val="20"/>
                <w:szCs w:val="20"/>
                <w:color w:val="auto"/>
              </w:rPr>
            </w:pPr>
            <w:r>
              <w:rPr>
                <w:rFonts w:ascii="Arial" w:cs="Arial" w:eastAsia="Arial" w:hAnsi="Arial"/>
                <w:sz w:val="13"/>
                <w:szCs w:val="13"/>
                <w:color w:val="auto"/>
              </w:rPr>
              <w:t>(11,992)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Unrealized gain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fair value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marketable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securities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Cumulative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adjustment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(293)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option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compensation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expense</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435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3"/>
                <w:szCs w:val="13"/>
                <w:color w:val="auto"/>
              </w:rPr>
              <w:t>Subscription rights</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Issuance of common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shares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conversion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subscription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rights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646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Issued pursuant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exercise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stock options</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70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436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as of</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December 31,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2011</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1,151,468</w:t>
            </w:r>
          </w:p>
        </w:tc>
        <w:tc>
          <w:tcPr>
            <w:tcW w:w="3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8"/>
              </w:rPr>
              <w:t>2,939</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994,885</w:t>
            </w:r>
          </w:p>
        </w:tc>
        <w:tc>
          <w:tcPr>
            <w:tcW w:w="3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2"/>
              </w:rPr>
              <w:t>8,683</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4,322,126</w:t>
            </w:r>
          </w:p>
        </w:tc>
        <w:tc>
          <w:tcPr>
            <w:tcW w:w="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90,866</w:t>
            </w:r>
          </w:p>
        </w:tc>
        <w:tc>
          <w:tcPr>
            <w:tcW w:w="24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1,324,224</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5,986</w:t>
            </w:r>
          </w:p>
        </w:tc>
        <w:tc>
          <w:tcPr>
            <w:tcW w:w="16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28,772</w:t>
            </w:r>
          </w:p>
        </w:tc>
        <w:tc>
          <w:tcPr>
            <w:tcW w:w="2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(124,483)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3,409</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(86,316)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3"/>
                <w:szCs w:val="13"/>
                <w:color w:val="auto"/>
              </w:rPr>
              <w:t>Net loss for the year</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(4,301)</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40"/>
              <w:spacing w:after="0" w:line="142" w:lineRule="exact"/>
              <w:rPr>
                <w:sz w:val="20"/>
                <w:szCs w:val="20"/>
                <w:color w:val="auto"/>
              </w:rPr>
            </w:pPr>
            <w:r>
              <w:rPr>
                <w:rFonts w:ascii="Arial" w:cs="Arial" w:eastAsia="Arial" w:hAnsi="Arial"/>
                <w:sz w:val="13"/>
                <w:szCs w:val="13"/>
                <w:color w:val="auto"/>
              </w:rPr>
              <w:t>(4,301)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Unrealized loss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fair value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marketable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securities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Cumulative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adjustment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342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option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compensation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expense</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406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3"/>
                <w:szCs w:val="13"/>
                <w:color w:val="auto"/>
              </w:rPr>
              <w:t>Subscription rights</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Issuance of common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shares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conversion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subscription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rights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6,472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240" w:type="dxa"/>
            <w:vAlign w:val="bottom"/>
            <w:gridSpan w:val="2"/>
          </w:tcPr>
          <w:p>
            <w:pPr>
              <w:spacing w:after="0" w:line="148" w:lineRule="exact"/>
              <w:rPr>
                <w:sz w:val="20"/>
                <w:szCs w:val="20"/>
                <w:color w:val="auto"/>
              </w:rPr>
            </w:pPr>
            <w:r>
              <w:rPr>
                <w:rFonts w:ascii="Arial" w:cs="Arial" w:eastAsia="Arial" w:hAnsi="Arial"/>
                <w:sz w:val="13"/>
                <w:szCs w:val="13"/>
                <w:color w:val="auto"/>
              </w:rPr>
              <w:t>Balance as of</w:t>
            </w: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December 31,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gridSpan w:val="2"/>
          </w:tcPr>
          <w:p>
            <w:pPr>
              <w:ind w:left="380"/>
              <w:spacing w:after="0" w:line="143" w:lineRule="exact"/>
              <w:rPr>
                <w:sz w:val="20"/>
                <w:szCs w:val="20"/>
                <w:color w:val="auto"/>
              </w:rPr>
            </w:pPr>
            <w:r>
              <w:rPr>
                <w:rFonts w:ascii="Arial" w:cs="Arial" w:eastAsia="Arial" w:hAnsi="Arial"/>
                <w:sz w:val="13"/>
                <w:szCs w:val="13"/>
                <w:color w:val="auto"/>
              </w:rPr>
              <w:t>2012</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1,151,468</w:t>
            </w:r>
          </w:p>
        </w:tc>
        <w:tc>
          <w:tcPr>
            <w:tcW w:w="340" w:type="dxa"/>
            <w:vAlign w:val="bottom"/>
            <w:gridSpan w:val="2"/>
          </w:tcPr>
          <w:p>
            <w:pPr>
              <w:ind w:left="1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w w:val="98"/>
              </w:rPr>
              <w:t>2,939</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994,885</w:t>
            </w:r>
          </w:p>
        </w:tc>
        <w:tc>
          <w:tcPr>
            <w:tcW w:w="360" w:type="dxa"/>
            <w:vAlign w:val="bottom"/>
            <w:gridSpan w:val="2"/>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w w:val="92"/>
              </w:rPr>
              <w:t>8,683</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4,322,126</w:t>
            </w:r>
          </w:p>
        </w:tc>
        <w:tc>
          <w:tcPr>
            <w:tcW w:w="240" w:type="dxa"/>
            <w:vAlign w:val="bottom"/>
            <w:gridSpan w:val="2"/>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90,866</w:t>
            </w:r>
          </w:p>
        </w:tc>
        <w:tc>
          <w:tcPr>
            <w:tcW w:w="240" w:type="dxa"/>
            <w:vAlign w:val="bottom"/>
            <w:tcBorders>
              <w:right w:val="single" w:sz="8" w:color="auto"/>
            </w:tcBorders>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1,330,696</w:t>
            </w:r>
          </w:p>
        </w:tc>
        <w:tc>
          <w:tcPr>
            <w:tcW w:w="60" w:type="dxa"/>
            <w:vAlign w:val="bottom"/>
          </w:tcPr>
          <w:p>
            <w:pPr>
              <w:spacing w:after="0"/>
              <w:rPr>
                <w:sz w:val="12"/>
                <w:szCs w:val="12"/>
                <w:color w:val="auto"/>
              </w:rPr>
            </w:pPr>
          </w:p>
        </w:tc>
        <w:tc>
          <w:tcPr>
            <w:tcW w:w="22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6,008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29,164</w:t>
            </w:r>
          </w:p>
        </w:tc>
        <w:tc>
          <w:tcPr>
            <w:tcW w:w="2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(128,784)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3,747</w:t>
            </w:r>
          </w:p>
        </w:tc>
        <w:tc>
          <w:tcPr>
            <w:tcW w:w="100" w:type="dxa"/>
            <w:vAlign w:val="bottom"/>
          </w:tcPr>
          <w:p>
            <w:pPr>
              <w:spacing w:after="0"/>
              <w:rPr>
                <w:sz w:val="12"/>
                <w:szCs w:val="12"/>
                <w:color w:val="auto"/>
              </w:rPr>
            </w:pPr>
          </w:p>
        </w:tc>
        <w:tc>
          <w:tcPr>
            <w:tcW w:w="22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(89,865)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income for the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year</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12,032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12,032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Cumulative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translation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adjustment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(1,236)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40"/>
              <w:spacing w:after="0" w:line="143" w:lineRule="exact"/>
              <w:rPr>
                <w:sz w:val="20"/>
                <w:szCs w:val="20"/>
                <w:color w:val="auto"/>
              </w:rPr>
            </w:pPr>
            <w:r>
              <w:rPr>
                <w:rFonts w:ascii="Arial" w:cs="Arial" w:eastAsia="Arial" w:hAnsi="Arial"/>
                <w:sz w:val="13"/>
                <w:szCs w:val="13"/>
                <w:color w:val="auto"/>
              </w:rPr>
              <w:t>(1,236)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option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compensation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expense</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575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575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3"/>
                <w:szCs w:val="13"/>
                <w:color w:val="auto"/>
              </w:rPr>
              <w:t>Subscription rights</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Issuance of common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shares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conversion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subscription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rights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5,602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Issued pursuant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exercise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360"/>
              <w:spacing w:after="0" w:line="142" w:lineRule="exact"/>
              <w:rPr>
                <w:sz w:val="20"/>
                <w:szCs w:val="20"/>
                <w:color w:val="auto"/>
              </w:rPr>
            </w:pPr>
            <w:r>
              <w:rPr>
                <w:rFonts w:ascii="Arial" w:cs="Arial" w:eastAsia="Arial" w:hAnsi="Arial"/>
                <w:sz w:val="13"/>
                <w:szCs w:val="13"/>
                <w:color w:val="auto"/>
              </w:rPr>
              <w:t>stock options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rights</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70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8,329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as of</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2" w:lineRule="exact"/>
              <w:rPr>
                <w:sz w:val="20"/>
                <w:szCs w:val="20"/>
                <w:color w:val="auto"/>
              </w:rPr>
            </w:pPr>
            <w:r>
              <w:rPr>
                <w:rFonts w:ascii="Arial" w:cs="Arial" w:eastAsia="Arial" w:hAnsi="Arial"/>
                <w:sz w:val="13"/>
                <w:szCs w:val="13"/>
                <w:color w:val="auto"/>
              </w:rPr>
              <w:t>December 31,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360"/>
              <w:spacing w:after="0" w:line="143" w:lineRule="exact"/>
              <w:rPr>
                <w:sz w:val="20"/>
                <w:szCs w:val="20"/>
                <w:color w:val="auto"/>
              </w:rPr>
            </w:pPr>
            <w:r>
              <w:rPr>
                <w:rFonts w:ascii="Arial" w:cs="Arial" w:eastAsia="Arial" w:hAnsi="Arial"/>
                <w:sz w:val="13"/>
                <w:szCs w:val="13"/>
                <w:color w:val="auto"/>
              </w:rPr>
              <w:t>2013</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1,151,468</w:t>
            </w:r>
          </w:p>
        </w:tc>
        <w:tc>
          <w:tcPr>
            <w:tcW w:w="3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8"/>
              </w:rPr>
              <w:t>2,939</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994,885</w:t>
            </w:r>
          </w:p>
        </w:tc>
        <w:tc>
          <w:tcPr>
            <w:tcW w:w="3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2"/>
              </w:rPr>
              <w:t>8,683</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4,322,126</w:t>
            </w:r>
          </w:p>
        </w:tc>
        <w:tc>
          <w:tcPr>
            <w:tcW w:w="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90,866</w:t>
            </w:r>
          </w:p>
        </w:tc>
        <w:tc>
          <w:tcPr>
            <w:tcW w:w="24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1,344,627</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6,147</w:t>
            </w:r>
          </w:p>
        </w:tc>
        <w:tc>
          <w:tcPr>
            <w:tcW w:w="16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29,722</w:t>
            </w:r>
          </w:p>
        </w:tc>
        <w:tc>
          <w:tcPr>
            <w:tcW w:w="2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(116,752)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2,511</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(78,372)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Net income for the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Pr>
          <w:p>
            <w:pPr>
              <w:ind w:left="360"/>
              <w:spacing w:after="0" w:line="143" w:lineRule="exact"/>
              <w:rPr>
                <w:sz w:val="20"/>
                <w:szCs w:val="20"/>
                <w:color w:val="auto"/>
              </w:rPr>
            </w:pPr>
            <w:r>
              <w:rPr>
                <w:rFonts w:ascii="Arial" w:cs="Arial" w:eastAsia="Arial" w:hAnsi="Arial"/>
                <w:sz w:val="13"/>
                <w:szCs w:val="13"/>
                <w:color w:val="auto"/>
              </w:rPr>
              <w:t>period</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2,603</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2,603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Cumulative</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color w:val="auto"/>
              </w:rPr>
              <w:t>translation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adjustment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Stock option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180"/>
              <w:spacing w:after="0" w:line="142" w:lineRule="exact"/>
              <w:rPr>
                <w:sz w:val="20"/>
                <w:szCs w:val="20"/>
                <w:color w:val="auto"/>
              </w:rPr>
            </w:pPr>
            <w:r>
              <w:rPr>
                <w:rFonts w:ascii="Arial" w:cs="Arial" w:eastAsia="Arial" w:hAnsi="Arial"/>
                <w:sz w:val="13"/>
                <w:szCs w:val="13"/>
                <w:color w:val="auto"/>
              </w:rPr>
              <w:t>compensation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Pr>
          <w:p>
            <w:pPr>
              <w:ind w:left="180"/>
              <w:spacing w:after="0" w:line="143" w:lineRule="exact"/>
              <w:rPr>
                <w:sz w:val="20"/>
                <w:szCs w:val="20"/>
                <w:color w:val="auto"/>
              </w:rPr>
            </w:pPr>
            <w:r>
              <w:rPr>
                <w:rFonts w:ascii="Arial" w:cs="Arial" w:eastAsia="Arial" w:hAnsi="Arial"/>
                <w:sz w:val="13"/>
                <w:szCs w:val="13"/>
                <w:color w:val="auto"/>
              </w:rPr>
              <w:t>expense</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373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Issuance of common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color w:val="auto"/>
              </w:rPr>
              <w:t>shares 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color w:val="auto"/>
              </w:rPr>
              <w:t>conversion of</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color w:val="auto"/>
              </w:rPr>
              <w:t>subscription</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rights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2,704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tcPr>
          <w:p>
            <w:pPr>
              <w:spacing w:after="0" w:line="141" w:lineRule="exact"/>
              <w:rPr>
                <w:sz w:val="20"/>
                <w:szCs w:val="20"/>
                <w:color w:val="auto"/>
              </w:rPr>
            </w:pPr>
            <w:r>
              <w:rPr>
                <w:rFonts w:ascii="Arial" w:cs="Arial" w:eastAsia="Arial" w:hAnsi="Arial"/>
                <w:sz w:val="13"/>
                <w:szCs w:val="13"/>
                <w:color w:val="auto"/>
              </w:rPr>
              <w:t>Issued pursuant to</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ind w:left="180"/>
              <w:spacing w:after="0" w:line="142" w:lineRule="exact"/>
              <w:rPr>
                <w:sz w:val="20"/>
                <w:szCs w:val="20"/>
                <w:color w:val="auto"/>
              </w:rPr>
            </w:pPr>
            <w:r>
              <w:rPr>
                <w:rFonts w:ascii="Arial" w:cs="Arial" w:eastAsia="Arial" w:hAnsi="Arial"/>
                <w:sz w:val="13"/>
                <w:szCs w:val="13"/>
                <w:color w:val="auto"/>
              </w:rPr>
              <w:t>exercise of 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ind w:left="180"/>
              <w:spacing w:after="0" w:line="143" w:lineRule="exact"/>
              <w:rPr>
                <w:sz w:val="20"/>
                <w:szCs w:val="20"/>
                <w:color w:val="auto"/>
              </w:rPr>
            </w:pPr>
            <w:r>
              <w:rPr>
                <w:rFonts w:ascii="Arial" w:cs="Arial" w:eastAsia="Arial" w:hAnsi="Arial"/>
                <w:sz w:val="13"/>
                <w:szCs w:val="13"/>
                <w:color w:val="auto"/>
              </w:rPr>
              <w:t>options</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700" w:type="dxa"/>
            <w:vAlign w:val="bottom"/>
            <w:gridSpan w:val="3"/>
          </w:tcPr>
          <w:p>
            <w:pPr>
              <w:jc w:val="right"/>
              <w:ind w:right="60"/>
              <w:spacing w:after="0" w:line="143" w:lineRule="exact"/>
              <w:rPr>
                <w:sz w:val="20"/>
                <w:szCs w:val="20"/>
                <w:color w:val="auto"/>
              </w:rPr>
            </w:pPr>
            <w:r>
              <w:rPr>
                <w:rFonts w:ascii="Arial" w:cs="Arial" w:eastAsia="Arial" w:hAnsi="Arial"/>
                <w:sz w:val="13"/>
                <w:szCs w:val="13"/>
                <w:color w:val="auto"/>
              </w:rPr>
              <w:t>772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as of June</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color w:val="auto"/>
              </w:rPr>
              <w:t>30, 2014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(unaudited)</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1,151,468</w:t>
            </w:r>
          </w:p>
        </w:tc>
        <w:tc>
          <w:tcPr>
            <w:tcW w:w="3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8"/>
              </w:rPr>
              <w:t>2,939</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994,885</w:t>
            </w:r>
          </w:p>
        </w:tc>
        <w:tc>
          <w:tcPr>
            <w:tcW w:w="3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w w:val="92"/>
              </w:rPr>
              <w:t>8,683</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4,322,126</w:t>
            </w:r>
          </w:p>
        </w:tc>
        <w:tc>
          <w:tcPr>
            <w:tcW w:w="24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90,866</w:t>
            </w:r>
          </w:p>
        </w:tc>
        <w:tc>
          <w:tcPr>
            <w:tcW w:w="24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1,348,103</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3"/>
                <w:szCs w:val="13"/>
                <w:color w:val="auto"/>
              </w:rPr>
              <w:t>6,182</w:t>
            </w:r>
          </w:p>
        </w:tc>
        <w:tc>
          <w:tcPr>
            <w:tcW w:w="16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30,064</w:t>
            </w:r>
          </w:p>
        </w:tc>
        <w:tc>
          <w:tcPr>
            <w:tcW w:w="20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(114,149)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2,521</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(75,382)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520"/>
          </w:cols>
          <w:pgMar w:left="240" w:top="444" w:right="139" w:bottom="32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2529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8"/>
              </w:rPr>
              <w:t>SIX MONTHS ENDED</w:t>
            </w:r>
          </w:p>
        </w:tc>
        <w:tc>
          <w:tcPr>
            <w:tcW w:w="0" w:type="dxa"/>
            <w:vAlign w:val="bottom"/>
          </w:tcPr>
          <w:p>
            <w:pPr>
              <w:spacing w:after="0"/>
              <w:rPr>
                <w:sz w:val="1"/>
                <w:szCs w:val="1"/>
                <w:color w:val="auto"/>
              </w:rPr>
            </w:pPr>
          </w:p>
        </w:tc>
      </w:tr>
      <w:tr>
        <w:trPr>
          <w:trHeight w:val="159"/>
        </w:trPr>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10"/>
          </w:tcPr>
          <w:p>
            <w:pPr>
              <w:jc w:val="right"/>
              <w:ind w:right="720"/>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left="338"/>
              <w:spacing w:after="0"/>
              <w:rPr>
                <w:sz w:val="20"/>
                <w:szCs w:val="20"/>
                <w:color w:val="auto"/>
              </w:rPr>
            </w:pPr>
            <w:r>
              <w:rPr>
                <w:rFonts w:ascii="Arial" w:cs="Arial" w:eastAsia="Arial" w:hAnsi="Arial"/>
                <w:sz w:val="13"/>
                <w:szCs w:val="13"/>
                <w:b w:val="1"/>
                <w:bCs w:val="1"/>
                <w:color w:val="auto"/>
                <w:w w:val="99"/>
              </w:rPr>
              <w:t>JUNE 30,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35"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98"/>
              <w:spacing w:after="0" w:line="135"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7"/>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Operating activities: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spacing w:after="0" w:line="194" w:lineRule="exact"/>
              <w:rPr>
                <w:sz w:val="20"/>
                <w:szCs w:val="20"/>
                <w:color w:val="auto"/>
              </w:rPr>
            </w:pPr>
            <w:r>
              <w:rPr>
                <w:rFonts w:ascii="Arial" w:cs="Arial" w:eastAsia="Arial" w:hAnsi="Arial"/>
                <w:sz w:val="17"/>
                <w:szCs w:val="17"/>
                <w:color w:val="auto"/>
              </w:rPr>
              <w:t>Net income (loss)</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w w:val="97"/>
              </w:rPr>
              <w:t>(11,992)</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(4,301)</w:t>
            </w:r>
          </w:p>
        </w:tc>
        <w:tc>
          <w:tcPr>
            <w:tcW w:w="3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12,032</w:t>
            </w: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3,140</w:t>
            </w:r>
          </w:p>
        </w:tc>
        <w:tc>
          <w:tcPr>
            <w:tcW w:w="240" w:type="dxa"/>
            <w:vAlign w:val="bottom"/>
          </w:tcPr>
          <w:p>
            <w:pPr>
              <w:spacing w:after="0"/>
              <w:rPr>
                <w:sz w:val="16"/>
                <w:szCs w:val="16"/>
                <w:color w:val="auto"/>
              </w:rPr>
            </w:pPr>
          </w:p>
        </w:tc>
        <w:tc>
          <w:tcPr>
            <w:tcW w:w="2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2,603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provided by (used 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0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operating activities: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1,132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786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705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372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350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(gain) on write-off and disposal of assets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435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406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575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273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373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Non-cash compensation on issuance of subscription rights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73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Interest accrued on note payable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78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77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Deferred tenant inducements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(115)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Foreign exchange loss (gain)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(88)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w w:val="97"/>
              </w:rPr>
              <w:t>(11,008)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w w:val="96"/>
              </w:rPr>
              <w:t>11,230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(76)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(423)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(107)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(589)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Accounts payable and accrued expenses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(354)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540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(195)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8,203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35,486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w w:val="94"/>
              </w:rPr>
              <w:t>(16,357)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(8,265)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(6,333)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0" w:type="dxa"/>
            <w:vAlign w:val="bottom"/>
          </w:tcPr>
          <w:p>
            <w:pPr>
              <w:ind w:left="640"/>
              <w:spacing w:after="0"/>
              <w:rPr>
                <w:sz w:val="20"/>
                <w:szCs w:val="20"/>
                <w:color w:val="auto"/>
              </w:rPr>
            </w:pPr>
            <w:r>
              <w:rPr>
                <w:rFonts w:ascii="Arial" w:cs="Arial" w:eastAsia="Arial" w:hAnsi="Arial"/>
                <w:sz w:val="17"/>
                <w:szCs w:val="17"/>
                <w:color w:val="auto"/>
              </w:rPr>
              <w:t>Net cash provided by (used in) operating activities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45,573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(3,322)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(5,614)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Investing activities:</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Purchases of property, plant and equipment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(290)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(526)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(156)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(68)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Sale of property, plant and equipment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Purchase of marketable securities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w w:val="94"/>
              </w:rPr>
              <w:t>(17,876)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(2,946)</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Proceeds from marketable securities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14,179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6,550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4,568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0" w:type="dxa"/>
            <w:vAlign w:val="bottom"/>
          </w:tcPr>
          <w:p>
            <w:pPr>
              <w:ind w:left="64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13,889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(11,472)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Financing activities:</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Note payable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(1,701)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auto"/>
              </w:rPr>
              <w:t>(1,701)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Deferred financing costs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(2,739)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194"/>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Proceeds from issuance of common shares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49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shd w:val="clear" w:color="auto" w:fill="CCEEFF"/>
          </w:tcPr>
          <w:p>
            <w:pPr>
              <w:ind w:left="640"/>
              <w:spacing w:after="0" w:line="194" w:lineRule="exact"/>
              <w:rPr>
                <w:sz w:val="20"/>
                <w:szCs w:val="20"/>
                <w:color w:val="auto"/>
              </w:rPr>
            </w:pPr>
            <w:r>
              <w:rPr>
                <w:rFonts w:ascii="Arial" w:cs="Arial" w:eastAsia="Arial" w:hAnsi="Arial"/>
                <w:sz w:val="17"/>
                <w:szCs w:val="17"/>
                <w:color w:val="auto"/>
              </w:rPr>
              <w:t>Net cash provided by (used in) financing activities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(4,391)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(1,697)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(3,027)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(2,971)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Increase (decrease) in cash and cash equivalents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6"/>
              </w:rPr>
              <w:t>46,234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w w:val="94"/>
              </w:rPr>
              <w:t>(22,212)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w w:val="97"/>
              </w:rPr>
              <w:t>(10,350)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(2,863)</w:t>
            </w:r>
          </w:p>
        </w:tc>
        <w:tc>
          <w:tcPr>
            <w:tcW w:w="0" w:type="dxa"/>
            <w:vAlign w:val="bottom"/>
          </w:tcPr>
          <w:p>
            <w:pPr>
              <w:spacing w:after="0"/>
              <w:rPr>
                <w:sz w:val="1"/>
                <w:szCs w:val="1"/>
                <w:color w:val="auto"/>
              </w:rPr>
            </w:pPr>
          </w:p>
        </w:tc>
      </w:tr>
      <w:tr>
        <w:trPr>
          <w:trHeight w:val="194"/>
        </w:trPr>
        <w:tc>
          <w:tcPr>
            <w:tcW w:w="6200" w:type="dxa"/>
            <w:vAlign w:val="bottom"/>
          </w:tcPr>
          <w:p>
            <w:pPr>
              <w:spacing w:after="0" w:line="194" w:lineRule="exact"/>
              <w:rPr>
                <w:sz w:val="20"/>
                <w:szCs w:val="20"/>
                <w:color w:val="auto"/>
              </w:rPr>
            </w:pPr>
            <w:r>
              <w:rPr>
                <w:rFonts w:ascii="Arial" w:cs="Arial" w:eastAsia="Arial" w:hAnsi="Arial"/>
                <w:sz w:val="17"/>
                <w:szCs w:val="17"/>
                <w:color w:val="auto"/>
              </w:rPr>
              <w:t>Cash and cash equivalents, beginning of period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14,040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w w:val="96"/>
              </w:rPr>
              <w:t>13,928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60,162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60,162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6"/>
              </w:rPr>
              <w:t>37,950</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 end of period</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13,928</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w w:val="96"/>
              </w:rPr>
              <w:t>60,162</w:t>
            </w:r>
          </w:p>
        </w:tc>
        <w:tc>
          <w:tcPr>
            <w:tcW w:w="3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37,950</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49,812</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6"/>
              </w:rPr>
              <w:t>35,087</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Non-cash transactions: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00" w:type="dxa"/>
            <w:vAlign w:val="bottom"/>
          </w:tcPr>
          <w:p>
            <w:pPr>
              <w:ind w:left="320"/>
              <w:spacing w:after="0"/>
              <w:rPr>
                <w:sz w:val="20"/>
                <w:szCs w:val="20"/>
                <w:color w:val="auto"/>
              </w:rPr>
            </w:pPr>
            <w:r>
              <w:rPr>
                <w:rFonts w:ascii="Arial" w:cs="Arial" w:eastAsia="Arial" w:hAnsi="Arial"/>
                <w:sz w:val="17"/>
                <w:szCs w:val="17"/>
                <w:color w:val="auto"/>
              </w:rPr>
              <w:t>Fair value of stock options transferred from additional paid-in capital to share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640"/>
              <w:spacing w:after="0" w:line="190" w:lineRule="exact"/>
              <w:rPr>
                <w:sz w:val="20"/>
                <w:szCs w:val="20"/>
                <w:color w:val="auto"/>
              </w:rPr>
            </w:pPr>
            <w:r>
              <w:rPr>
                <w:rFonts w:ascii="Arial" w:cs="Arial" w:eastAsia="Arial" w:hAnsi="Arial"/>
                <w:sz w:val="17"/>
                <w:szCs w:val="17"/>
                <w:color w:val="auto"/>
              </w:rPr>
              <w:t>capital on exercise</w:t>
            </w:r>
          </w:p>
        </w:tc>
        <w:tc>
          <w:tcPr>
            <w:tcW w:w="2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line="190" w:lineRule="exact"/>
              <w:rPr>
                <w:sz w:val="20"/>
                <w:szCs w:val="20"/>
                <w:color w:val="auto"/>
              </w:rPr>
            </w:pPr>
            <w:r>
              <w:rPr>
                <w:rFonts w:ascii="Arial" w:cs="Arial" w:eastAsia="Arial" w:hAnsi="Arial"/>
                <w:sz w:val="17"/>
                <w:szCs w:val="17"/>
                <w:color w:val="auto"/>
              </w:rPr>
              <w:t>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90"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line="190" w:lineRule="exact"/>
              <w:rPr>
                <w:sz w:val="20"/>
                <w:szCs w:val="20"/>
                <w:color w:val="auto"/>
              </w:rPr>
            </w:pPr>
            <w:r>
              <w:rPr>
                <w:rFonts w:ascii="Arial" w:cs="Arial" w:eastAsia="Arial" w:hAnsi="Arial"/>
                <w:sz w:val="17"/>
                <w:szCs w:val="17"/>
                <w:color w:val="auto"/>
              </w:rPr>
              <w:t>45</w:t>
            </w:r>
          </w:p>
        </w:tc>
        <w:tc>
          <w:tcPr>
            <w:tcW w:w="2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line="190"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90"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4"/>
        </w:trPr>
        <w:tc>
          <w:tcPr>
            <w:tcW w:w="620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Issuance of common shares on conversion of subscription rights</w:t>
            </w: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22</w:t>
            </w:r>
          </w:p>
        </w:tc>
        <w:tc>
          <w:tcPr>
            <w:tcW w:w="3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5"/>
        </w:trPr>
        <w:tc>
          <w:tcPr>
            <w:tcW w:w="6200" w:type="dxa"/>
            <w:vAlign w:val="bottom"/>
          </w:tcPr>
          <w:p>
            <w:pPr>
              <w:ind w:left="320"/>
              <w:spacing w:after="0"/>
              <w:rPr>
                <w:sz w:val="20"/>
                <w:szCs w:val="20"/>
                <w:color w:val="auto"/>
              </w:rPr>
            </w:pPr>
            <w:r>
              <w:rPr>
                <w:rFonts w:ascii="Arial" w:cs="Arial" w:eastAsia="Arial" w:hAnsi="Arial"/>
                <w:sz w:val="17"/>
                <w:szCs w:val="17"/>
                <w:color w:val="auto"/>
              </w:rPr>
              <w:t>Interest paid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(207)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5"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900"/>
        <w:spacing w:after="0"/>
        <w:rPr>
          <w:sz w:val="20"/>
          <w:szCs w:val="20"/>
          <w:color w:val="auto"/>
        </w:rPr>
      </w:pPr>
      <w:r>
        <w:rPr>
          <w:rFonts w:ascii="Arial" w:cs="Arial" w:eastAsia="Arial" w:hAnsi="Arial"/>
          <w:sz w:val="17"/>
          <w:szCs w:val="17"/>
          <w:color w:val="auto"/>
        </w:rPr>
        <w:t>(Expressed in thousands of U.S. dollars except share and per share figures)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 and Basis of Presentation: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business:</w:t>
      </w:r>
    </w:p>
    <w:p>
      <w:pPr>
        <w:spacing w:after="0" w:line="2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109"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Historically, the Company has funded operations primarily through payments received from its pharmaceutical collaborators and government funding as well as through the sale of redeemable convertible preferred shares in various financing transactions. The Company is seeking to complete an Initial Public Offering (“IPO”) of its common shares in the United States. In the event that the Company does not complete an IPO, the Company may seek alternative funding, such as through existing or new collaboration agreements or through private financings.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presented in U.S. dollars.</w:t>
      </w:r>
    </w:p>
    <w:p>
      <w:pPr>
        <w:spacing w:after="0" w:line="1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The accompanying unaudited interim financial statements and audited annual financial statements of the Company have been prepared in accordance with United States generally accepted accounting principles (“U.S. GAAP”). The accompanying interim financial information is unaudited and reflects all adjustments, consisting of normal recurring adjustments, which, in the opinion of management, are necessary for a fair presentation of results for the interim periods presented.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 Unaudited pro forma information:</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On August 12, 2013, the Company’s board of directors authorized the Company to submit a confidential draft registration statement to the Securities and Exchange Commission to sell its common shares to the public. Upon the closing of an IPO, all of the outstanding redeemable convertible preferred shares (see Note 10) will automatically convert into common shares.</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outstanding Series A preferred shares and Series B preferred shares will convert into an aggregate of 2,146,353 common shares. Each Series E preferred share is currently convertible at any time at the option of the holder into common shares on a 1:1 basis, subject to certain adjustments. These adjustments differ for some of the Company’s outstanding Series E preferred shares depending on the date of issue, resulting in different conversion ratios for different Series E preferred shares. The conversion rights associated with each of the Company’s Series E preferred shares will increase by 20% if the initial public offering price is below a certain price per share. The unaudited pro forma information has been prepared on the basis that the conversion rights associated with each of the Company’s Series E preferred shares will increase by 20% and that all of the Company’s outstanding Series E preferred shares will therefore convert into 5,579,571 common shares.</w:t>
      </w:r>
    </w:p>
    <w:p>
      <w:pPr>
        <w:spacing w:after="0" w:line="10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accompanying unaudited pro forma balance sheet as of June 30, 2014 has been prepared to give effect to (i) the automatic conversion of all of the outstanding redeemable convertible preferred shares into an aggregate of 7,725,924 common shares, as described above, and (ii) the exchange of all outstanding subscription rights into common shares as though the proposed IPO had occurred on June 30, 2014. Unaudited pro forma basic and diluted net income per share attributable to common shareholders for the year ended December 31, 2013 and the six months ended June 30, 2014 have been prepared to give effect to (i) the automatic conversion of all of the outstanding redeemable convertible preferred shares into an aggregate of 7,725,924 common shares, as described above, and (ii) the exchange of the weighted-average number of outstanding subscription rights for the period into an aggregate of 11,955 common shares.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4"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72" w:lineRule="exact"/>
        <w:rPr>
          <w:sz w:val="20"/>
          <w:szCs w:val="20"/>
          <w:color w:val="auto"/>
        </w:rPr>
      </w:pPr>
    </w:p>
    <w:p>
      <w:pPr>
        <w:ind w:left="180" w:hanging="177"/>
        <w:spacing w:after="0"/>
        <w:tabs>
          <w:tab w:leader="none" w:pos="18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w:t>
      </w:r>
    </w:p>
    <w:p>
      <w:pPr>
        <w:spacing w:after="0" w:line="6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(a) Use of estimates:</w:t>
      </w:r>
    </w:p>
    <w:p>
      <w:pPr>
        <w:spacing w:after="0" w:line="23" w:lineRule="exact"/>
        <w:rPr>
          <w:rFonts w:ascii="Arial" w:cs="Arial" w:eastAsia="Arial" w:hAnsi="Arial"/>
          <w:sz w:val="17"/>
          <w:szCs w:val="17"/>
          <w:b w:val="1"/>
          <w:bCs w:val="1"/>
          <w:color w:val="auto"/>
        </w:rPr>
      </w:pPr>
    </w:p>
    <w:p>
      <w:pPr>
        <w:ind w:right="14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 and expenses during the reporting period. Significant areas of estimates include, but are not limited to, the valuation of accounts receivable, the estimated useful lives of property, plant and equipment, the recoverability of long-lived assets, the timing of revenue recognition, the determination of stock-based compensation and the assessment of contingent liabilities. Actual results could differ materially from those estimates. Estimates and assumptions are reviewed quarterly. All revisions to accounting estimates are recognized in the period in which the estimates are revised and in any future periods affected.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 Cash and cash equivalents: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are highly liquid investments that are readily convertible into cash with terms to maturity of three months or less when acquired.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 Segment and geographic information:</w:t>
      </w:r>
    </w:p>
    <w:p>
      <w:pPr>
        <w:spacing w:after="0" w:line="24" w:lineRule="exact"/>
        <w:rPr>
          <w:sz w:val="20"/>
          <w:szCs w:val="20"/>
          <w:color w:val="auto"/>
        </w:rPr>
      </w:pPr>
    </w:p>
    <w:p>
      <w:pPr>
        <w:jc w:val="both"/>
        <w:ind w:right="620"/>
        <w:spacing w:after="0" w:line="241"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segment.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 Property, plant and equipment:</w:t>
      </w:r>
    </w:p>
    <w:p>
      <w:pPr>
        <w:spacing w:after="0" w:line="2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Property, plant and equipment is stated at historical cost less accumulated depreciation and/or accumulated impairment losses, if any. Subsequent costs are included in the asset’s carrying amount or recognized as a separate asset, as appropriate, only when it is probable that future economic benefits associated with the item will flow to the Company and the cost of the item can be measured reliably. All other repairs and maintenance are charged to net income (loss) during the financial period in which they are incurred.</w:t>
      </w:r>
    </w:p>
    <w:p>
      <w:pPr>
        <w:spacing w:after="0" w:line="109"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Property, plant and equipment are recorded at cost and are amortized over their estimated useful lives using the straight-line method based on the following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ASSET</w:t>
            </w:r>
          </w:p>
        </w:tc>
        <w:tc>
          <w:tcPr>
            <w:tcW w:w="562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RATE</w:t>
            </w:r>
          </w:p>
        </w:tc>
      </w:tr>
      <w:tr>
        <w:trPr>
          <w:trHeight w:val="182"/>
        </w:trPr>
        <w:tc>
          <w:tcPr>
            <w:tcW w:w="6060" w:type="dxa"/>
            <w:vAlign w:val="bottom"/>
            <w:gridSpan w:val="2"/>
          </w:tcPr>
          <w:p>
            <w:pPr>
              <w:spacing w:after="0" w:line="182" w:lineRule="exact"/>
              <w:rPr>
                <w:sz w:val="20"/>
                <w:szCs w:val="20"/>
                <w:color w:val="auto"/>
              </w:rPr>
            </w:pPr>
            <w:r>
              <w:rPr>
                <w:rFonts w:ascii="Arial" w:cs="Arial" w:eastAsia="Arial" w:hAnsi="Arial"/>
                <w:sz w:val="17"/>
                <w:szCs w:val="17"/>
                <w:color w:val="auto"/>
              </w:rPr>
              <w:t>Research equipment</w:t>
            </w:r>
          </w:p>
        </w:tc>
        <w:tc>
          <w:tcPr>
            <w:tcW w:w="5360" w:type="dxa"/>
            <w:vAlign w:val="bottom"/>
          </w:tcPr>
          <w:p>
            <w:pPr>
              <w:jc w:val="center"/>
              <w:spacing w:after="0" w:line="182" w:lineRule="exact"/>
              <w:rPr>
                <w:sz w:val="20"/>
                <w:szCs w:val="20"/>
                <w:color w:val="auto"/>
              </w:rPr>
            </w:pPr>
            <w:r>
              <w:rPr>
                <w:rFonts w:ascii="Arial" w:cs="Arial" w:eastAsia="Arial" w:hAnsi="Arial"/>
                <w:sz w:val="17"/>
                <w:szCs w:val="17"/>
                <w:color w:val="auto"/>
                <w:w w:val="96"/>
              </w:rPr>
              <w:t>5 years</w:t>
            </w: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auto"/>
              </w:rPr>
              <w:t>Office furniture and equipment</w:t>
            </w: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6"/>
              </w:rPr>
              <w:t>5 years</w:t>
            </w: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auto"/>
              </w:rPr>
              <w:t>Computer equipment</w:t>
            </w:r>
          </w:p>
        </w:tc>
        <w:tc>
          <w:tcPr>
            <w:tcW w:w="5360" w:type="dxa"/>
            <w:vAlign w:val="bottom"/>
          </w:tcPr>
          <w:p>
            <w:pPr>
              <w:jc w:val="center"/>
              <w:spacing w:after="0" w:line="194" w:lineRule="exact"/>
              <w:rPr>
                <w:sz w:val="20"/>
                <w:szCs w:val="20"/>
                <w:color w:val="auto"/>
              </w:rPr>
            </w:pPr>
            <w:r>
              <w:rPr>
                <w:rFonts w:ascii="Arial" w:cs="Arial" w:eastAsia="Arial" w:hAnsi="Arial"/>
                <w:sz w:val="17"/>
                <w:szCs w:val="17"/>
                <w:color w:val="auto"/>
                <w:w w:val="96"/>
              </w:rPr>
              <w:t>3 years</w:t>
            </w:r>
          </w:p>
        </w:tc>
      </w:tr>
      <w:tr>
        <w:trPr>
          <w:trHeight w:val="202"/>
        </w:trPr>
        <w:tc>
          <w:tcPr>
            <w:tcW w:w="606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5360" w:type="dxa"/>
            <w:vAlign w:val="bottom"/>
          </w:tcPr>
          <w:p>
            <w:pPr>
              <w:jc w:val="center"/>
              <w:spacing w:after="0"/>
              <w:rPr>
                <w:sz w:val="20"/>
                <w:szCs w:val="20"/>
                <w:color w:val="auto"/>
              </w:rPr>
            </w:pPr>
            <w:r>
              <w:rPr>
                <w:rFonts w:ascii="Arial" w:cs="Arial" w:eastAsia="Arial" w:hAnsi="Arial"/>
                <w:sz w:val="17"/>
                <w:szCs w:val="17"/>
                <w:color w:val="auto"/>
                <w:w w:val="98"/>
              </w:rPr>
              <w:t>Over the lesser of lease term or estimated useful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29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(e) Impairment of long-lived assets:</w:t>
      </w:r>
    </w:p>
    <w:p>
      <w:pPr>
        <w:spacing w:after="0" w:line="2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Although current and historical negative cash flows are indicators of impairment, the Company believes that the future cash flows it will receive from the long-lived assets and the potential success of the Company’s research programs will exceed the assets’ carrying value, and accordingly, the Company believes that no impairment of long-lived assets existed as of December 31, 2012 and 2013, and June 30, 2014 (unaudited).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 Concentration of credit risk and of significant customers:</w:t>
      </w:r>
    </w:p>
    <w:p>
      <w:pPr>
        <w:spacing w:after="0" w:line="24" w:lineRule="exact"/>
        <w:rPr>
          <w:sz w:val="20"/>
          <w:szCs w:val="20"/>
          <w:color w:val="auto"/>
        </w:rPr>
      </w:pPr>
    </w:p>
    <w:p>
      <w:pPr>
        <w:ind w:right="780"/>
        <w:spacing w:after="0" w:line="245"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marketable securities, and accounts receivable. Cash and cash equivalents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4"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83"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are invested through banks and other financial institutions in the United States and Canada. Such deposits may be in excess of insured limits. The Company maintains cash and cash equivalents with various high credit quality and capitalized financial institutions.</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Marketable securities are highly liquid investments with terms to maturity of greater than three months, and less than twelve months, when acquired, and include guaranteed investment certificates as well as government treasury bills and treasury notes. Marketable securities are invested through June 2015.</w:t>
      </w:r>
    </w:p>
    <w:p>
      <w:pPr>
        <w:spacing w:after="0" w:line="8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Accounts receivable are typically unsecured and are concentrated in the pharmaceutical industry due to the Company’s multiple collaborations. Accordingly, the Company may be exposed to credit risk generally associated with pharmaceutical companies or specific to the collaboration agreements with its significant pharmaceutical collaborators. To date, the Company has not experienced any material losses related to its receivables.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Collaborators whose collaboration research and development revenue accounted for 10% or more of total revenues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700" w:type="dxa"/>
            <w:vAlign w:val="bottom"/>
            <w:gridSpan w:val="5"/>
            <w:vMerge w:val="restart"/>
          </w:tcPr>
          <w:p>
            <w:pPr>
              <w:jc w:val="right"/>
              <w:ind w:right="880"/>
              <w:spacing w:after="0"/>
              <w:rPr>
                <w:sz w:val="20"/>
                <w:szCs w:val="20"/>
                <w:color w:val="auto"/>
              </w:rPr>
            </w:pPr>
            <w:r>
              <w:rPr>
                <w:rFonts w:ascii="Arial" w:cs="Arial" w:eastAsia="Arial" w:hAnsi="Arial"/>
                <w:sz w:val="13"/>
                <w:szCs w:val="13"/>
                <w:b w:val="1"/>
                <w:bCs w:val="1"/>
                <w:color w:val="auto"/>
                <w:w w:val="97"/>
              </w:rPr>
              <w:t>YEAR ENDED DECEMBER 31,</w:t>
            </w:r>
          </w:p>
        </w:tc>
        <w:tc>
          <w:tcPr>
            <w:tcW w:w="3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SIX MONTHS</w:t>
            </w:r>
          </w:p>
        </w:tc>
        <w:tc>
          <w:tcPr>
            <w:tcW w:w="0" w:type="dxa"/>
            <w:vAlign w:val="bottom"/>
          </w:tcPr>
          <w:p>
            <w:pPr>
              <w:spacing w:after="0"/>
              <w:rPr>
                <w:sz w:val="1"/>
                <w:szCs w:val="1"/>
                <w:color w:val="auto"/>
              </w:rPr>
            </w:pPr>
          </w:p>
        </w:tc>
      </w:tr>
      <w:tr>
        <w:trPr>
          <w:trHeight w:val="68"/>
        </w:trPr>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ENDED</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2011</w:t>
            </w:r>
          </w:p>
        </w:tc>
        <w:tc>
          <w:tcPr>
            <w:tcW w:w="118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2012</w:t>
            </w:r>
          </w:p>
        </w:tc>
        <w:tc>
          <w:tcPr>
            <w:tcW w:w="600" w:type="dxa"/>
            <w:vAlign w:val="bottom"/>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2013</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JUNE 30, 2014</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4"/>
              <w:spacing w:after="0" w:line="135" w:lineRule="exact"/>
              <w:rPr>
                <w:sz w:val="20"/>
                <w:szCs w:val="20"/>
                <w:color w:val="auto"/>
              </w:rPr>
            </w:pPr>
            <w:r>
              <w:rPr>
                <w:rFonts w:ascii="Arial" w:cs="Arial" w:eastAsia="Arial" w:hAnsi="Arial"/>
                <w:sz w:val="13"/>
                <w:szCs w:val="13"/>
                <w:b w:val="1"/>
                <w:bCs w:val="1"/>
                <w:color w:val="auto"/>
                <w:w w:val="98"/>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Genentech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$ 6,948</w:t>
            </w:r>
          </w:p>
        </w:tc>
        <w:tc>
          <w:tcPr>
            <w:tcW w:w="6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w w:val="97"/>
              </w:rPr>
              <w:t>$12,876</w:t>
            </w:r>
          </w:p>
        </w:tc>
        <w:tc>
          <w:tcPr>
            <w:tcW w:w="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40" w:type="dxa"/>
            <w:vAlign w:val="bottom"/>
          </w:tcPr>
          <w:p>
            <w:pPr>
              <w:spacing w:after="0" w:line="194" w:lineRule="exact"/>
              <w:rPr>
                <w:sz w:val="20"/>
                <w:szCs w:val="20"/>
                <w:color w:val="auto"/>
              </w:rPr>
            </w:pPr>
            <w:r>
              <w:rPr>
                <w:rFonts w:ascii="Arial" w:cs="Arial" w:eastAsia="Arial" w:hAnsi="Arial"/>
                <w:sz w:val="17"/>
                <w:szCs w:val="17"/>
                <w:color w:val="auto"/>
              </w:rPr>
              <w:t>Merck</w:t>
            </w: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6,389</w:t>
            </w:r>
          </w:p>
        </w:tc>
        <w:tc>
          <w:tcPr>
            <w:tcW w:w="11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5,562</w:t>
            </w:r>
          </w:p>
        </w:tc>
        <w:tc>
          <w:tcPr>
            <w:tcW w:w="600" w:type="dxa"/>
            <w:vAlign w:val="bottom"/>
          </w:tcPr>
          <w:p>
            <w:pPr>
              <w:spacing w:after="0"/>
              <w:rPr>
                <w:sz w:val="16"/>
                <w:szCs w:val="16"/>
                <w:color w:val="auto"/>
              </w:rPr>
            </w:pPr>
          </w:p>
        </w:tc>
        <w:tc>
          <w:tcPr>
            <w:tcW w:w="920" w:type="dxa"/>
            <w:vAlign w:val="bottom"/>
            <w:gridSpan w:val="2"/>
          </w:tcPr>
          <w:p>
            <w:pPr>
              <w:jc w:val="right"/>
              <w:ind w:right="300"/>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Teva</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13,773</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72529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(g) Financial instruments and fair value: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w:t>
      </w:r>
    </w:p>
    <w:p>
      <w:pPr>
        <w:spacing w:after="0" w:line="42"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U.S. GAAP establishes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99" w:lineRule="exact"/>
        <w:rPr>
          <w:sz w:val="20"/>
          <w:szCs w:val="20"/>
          <w:color w:val="auto"/>
        </w:rPr>
      </w:pPr>
    </w:p>
    <w:p>
      <w:pPr>
        <w:ind w:left="780" w:right="120" w:hanging="441"/>
        <w:spacing w:after="0" w:line="200" w:lineRule="auto"/>
        <w:tabs>
          <w:tab w:leader="none" w:pos="780" w:val="left"/>
        </w:tabs>
        <w:numPr>
          <w:ilvl w:val="0"/>
          <w:numId w:val="114"/>
        </w:numPr>
        <w:rPr>
          <w:rFonts w:ascii="Arial" w:cs="Arial" w:eastAsia="Arial" w:hAnsi="Arial"/>
          <w:sz w:val="26"/>
          <w:szCs w:val="26"/>
          <w:color w:val="auto"/>
          <w:vertAlign w:val="superscript"/>
        </w:rPr>
      </w:pPr>
      <w:r>
        <w:rPr>
          <w:rFonts w:ascii="Arial" w:cs="Arial" w:eastAsia="Arial" w:hAnsi="Arial"/>
          <w:sz w:val="17"/>
          <w:szCs w:val="17"/>
          <w:i w:val="1"/>
          <w:iCs w:val="1"/>
          <w:color w:val="auto"/>
        </w:rPr>
        <w:t>Level 1</w:t>
      </w:r>
      <w:r>
        <w:rPr>
          <w:rFonts w:ascii="Arial" w:cs="Arial" w:eastAsia="Arial" w:hAnsi="Arial"/>
          <w:sz w:val="17"/>
          <w:szCs w:val="17"/>
          <w:color w:val="auto"/>
        </w:rPr>
        <w:t>—Unadjusted quoted prices in active markets for identical assets or liabilities that the Company has the ability to access at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date.</w:t>
      </w:r>
    </w:p>
    <w:p>
      <w:pPr>
        <w:spacing w:after="0" w:line="1" w:lineRule="exact"/>
        <w:rPr>
          <w:rFonts w:ascii="Arial" w:cs="Arial" w:eastAsia="Arial" w:hAnsi="Arial"/>
          <w:sz w:val="26"/>
          <w:szCs w:val="26"/>
          <w:color w:val="auto"/>
          <w:vertAlign w:val="superscript"/>
        </w:rPr>
      </w:pPr>
    </w:p>
    <w:p>
      <w:pPr>
        <w:ind w:left="780" w:right="80" w:hanging="441"/>
        <w:spacing w:after="0" w:line="220" w:lineRule="auto"/>
        <w:tabs>
          <w:tab w:leader="none" w:pos="780" w:val="left"/>
        </w:tabs>
        <w:numPr>
          <w:ilvl w:val="0"/>
          <w:numId w:val="114"/>
        </w:numPr>
        <w:rPr>
          <w:rFonts w:ascii="Arial" w:cs="Arial" w:eastAsia="Arial" w:hAnsi="Arial"/>
          <w:sz w:val="26"/>
          <w:szCs w:val="26"/>
          <w:color w:val="auto"/>
          <w:vertAlign w:val="superscript"/>
        </w:rPr>
      </w:pPr>
      <w:r>
        <w:rPr>
          <w:rFonts w:ascii="Arial" w:cs="Arial" w:eastAsia="Arial" w:hAnsi="Arial"/>
          <w:sz w:val="17"/>
          <w:szCs w:val="17"/>
          <w:i w:val="1"/>
          <w:iCs w:val="1"/>
          <w:color w:val="auto"/>
        </w:rPr>
        <w:t>Level 2</w:t>
      </w:r>
      <w:r>
        <w:rPr>
          <w:rFonts w:ascii="Arial" w:cs="Arial" w:eastAsia="Arial" w:hAnsi="Arial"/>
          <w:sz w:val="17"/>
          <w:szCs w:val="17"/>
          <w:color w:val="auto"/>
        </w:rPr>
        <w:t>—Inputs other than quoted prices included within Level 1 that are observable for the asset or liability, either directly or indirectly.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 w:lineRule="exact"/>
        <w:rPr>
          <w:rFonts w:ascii="Arial" w:cs="Arial" w:eastAsia="Arial" w:hAnsi="Arial"/>
          <w:sz w:val="26"/>
          <w:szCs w:val="26"/>
          <w:color w:val="auto"/>
          <w:vertAlign w:val="superscript"/>
        </w:rPr>
      </w:pPr>
    </w:p>
    <w:p>
      <w:pPr>
        <w:ind w:left="780" w:right="440" w:hanging="441"/>
        <w:spacing w:after="0" w:line="200" w:lineRule="auto"/>
        <w:tabs>
          <w:tab w:leader="none" w:pos="780" w:val="left"/>
        </w:tabs>
        <w:numPr>
          <w:ilvl w:val="0"/>
          <w:numId w:val="114"/>
        </w:numPr>
        <w:rPr>
          <w:rFonts w:ascii="Arial" w:cs="Arial" w:eastAsia="Arial" w:hAnsi="Arial"/>
          <w:sz w:val="26"/>
          <w:szCs w:val="26"/>
          <w:color w:val="auto"/>
          <w:vertAlign w:val="superscript"/>
        </w:rPr>
      </w:pPr>
      <w:r>
        <w:rPr>
          <w:rFonts w:ascii="Arial" w:cs="Arial" w:eastAsia="Arial" w:hAnsi="Arial"/>
          <w:sz w:val="17"/>
          <w:szCs w:val="17"/>
          <w:i w:val="1"/>
          <w:iCs w:val="1"/>
          <w:color w:val="auto"/>
        </w:rPr>
        <w:t>Level 3</w:t>
      </w:r>
      <w:r>
        <w:rPr>
          <w:rFonts w:ascii="Arial" w:cs="Arial" w:eastAsia="Arial" w:hAnsi="Arial"/>
          <w:sz w:val="17"/>
          <w:szCs w:val="17"/>
          <w:color w:val="auto"/>
        </w:rPr>
        <w:t>—Inputs are unobservable and reflect the Company’s assumptions as to what market participants would use in pricing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The Company develops these inputs based on the best information available.</w:t>
      </w:r>
    </w:p>
    <w:p>
      <w:pPr>
        <w:spacing w:after="0" w:line="109"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color w:val="auto"/>
        </w:rPr>
        <w:t>Cash equivalents are reflected in the accompanying financial statements at fair value using Level 1. The carrying amount of accounts receivables, accounts payable and accrued expenses and note payable approximates fair value due to the nature and short-term of those instruments.</w:t>
      </w:r>
    </w:p>
    <w:p>
      <w:pPr>
        <w:spacing w:after="0" w:line="8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Marketable securities are highly liquid investments with terms to maturity of greater than three months when acquired. Marketable securities have varying maturities of less than 12 months, are classified as available-for-sale investments and are measured at their fair values under Level 1 of the fair value hierarchy with unrealized holding gains or losses reported in other comprehensive income (loss).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4"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(h) Revenue recognition:</w:t>
      </w:r>
    </w:p>
    <w:p>
      <w:pPr>
        <w:spacing w:after="0" w:line="2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Company recognizes revenue when all of the following criteria are met: (i) persuasive evidence of an arrangement exists; (ii) delivery has occurred or services have been rendered; (iii) the Company’s price to the collaborator is fixed or determinable; and (iv) collectability is reasonably assured.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generates revenue primarily through collaboration agreements.</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Under these collaboration agreements, the Company is eligible to receive non-refundable upfront payments, funding for research and development services, milestone payments, other contingent payments and royalties. In assessing the appropriate revenue recognition related to a collaboration agreement, the Company first determines whether an arrangement includes multiple elements, such as the delivery of intellectual property rights and research and development services. Upfront payments are recorded as deferred revenue in the balance sheet and are recognized as collaboration revenue over the estimated period of research performance that is consistent with the terms of the research and development obligations contained in the collaboration agreement. The Company periodically reviews the estimated period of performance based on the progress made under each arrangement.</w:t>
      </w:r>
    </w:p>
    <w:p>
      <w:pPr>
        <w:spacing w:after="0" w:line="9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Company recognizes funding related to full-time equivalent staffing funded through collaboration agreements as revenue on a gross basis as it performs or delivers such related services in accordance with the agreement terms, provided that it will receive payment for such services upon standard payment terms.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In January 2011, the Company adopted new authoritative guidance on revenue recognition for multiple element arrangements, Financial Accounting Standards Board (“FASB”) Accounting Standards Update (“ASU”)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(“ASU 2009-13”). This guidance, which applies to multiple element arrangements entered into or materially modified on or after January 1, 2011, amends the criteria for separating and allocating consideration in a multiple element arrangement by modifying the fair value requirements for revenue recognition and eliminating the use of the residual method. The estimated fair value of deliverables under the arrangement may be derived using a best estimate of selling price if vendor-specific objective evidence and third-party evidence are not available.</w:t>
      </w:r>
    </w:p>
    <w:p>
      <w:pPr>
        <w:spacing w:after="0" w:line="4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Deliverables under the arrangement will be separate units of accounting provided that a delivered item has value to the customer on a stand-alone basis and if the arrangement does not include a general right of return relative to the delivered item and delivery or performance of the undelivered items is considered probably and substantially in the control of the vendor. The update also provided new guidance regarding how to apply the standard to arrangements that are materially modified following adoption of the update. The potential future impact of the adoption of this update will depend on the nature of any new agreements entered into or material modifications to existing arrangements.</w:t>
      </w:r>
    </w:p>
    <w:p>
      <w:pPr>
        <w:spacing w:after="0" w:line="93"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 xml:space="preserve">In January 2012, the Company also adopted the guidance FASB ASU No. 2010-17, </w:t>
      </w:r>
      <w:r>
        <w:rPr>
          <w:rFonts w:ascii="Arial" w:cs="Arial" w:eastAsia="Arial" w:hAnsi="Arial"/>
          <w:sz w:val="17"/>
          <w:szCs w:val="17"/>
          <w:i w:val="1"/>
          <w:iCs w:val="1"/>
          <w:color w:val="auto"/>
        </w:rPr>
        <w:t>Milestones Method of Revenue Recognition</w:t>
      </w:r>
      <w:r>
        <w:rPr>
          <w:rFonts w:ascii="Arial" w:cs="Arial" w:eastAsia="Arial" w:hAnsi="Arial"/>
          <w:sz w:val="17"/>
          <w:szCs w:val="17"/>
          <w:color w:val="auto"/>
        </w:rPr>
        <w:t xml:space="preserve"> (“ASU 2010-17”) that permits the recognition of revenue contingent upon its achievement of a milestone in its entirety, in the period the milestone is achieved, only if the milestone meets certain criteria and is considered to be substantive.</w:t>
      </w:r>
    </w:p>
    <w:p>
      <w:pPr>
        <w:spacing w:after="0" w:line="99"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Company makes judgments which affect the periods over which the Company recognized revenue, including modifying such periods based on any amendments to its collaboration agreements.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 Research and development costs: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costs are expensed in the period in which they are incurred.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4" w:right="2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(j) Clinical trial expenses:</w:t>
      </w:r>
    </w:p>
    <w:p>
      <w:pPr>
        <w:spacing w:after="0" w:line="2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Clinical trial expenses are a component of research and development costs and include fees paid to contract research organizations, investigators and other vendors who conduct certain product development activities on behalf of the Company. The amount of clinical trial expenses recognized in a period related to service agreements is based on estimates of the work performed using an accrual basis of accounting. These estimates are based on patient enrollment, services provided and goods delivered, contractual terms and experience with similar contracts. The Company monitors these factors and adjusts the estimates accordingly. Prepaid expenses or accrued liabilities are adjusted if payments to service providers differ from estimates of the amount of service completed in a given period.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(k) Share-based compensation:</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grants stock options to employees, directors and consultants pursuant to a stock option plan described in Note 12. Compensation expense is recorded for stock options issued to employees and non-employees using the fair value method with a corresponding increase in additional paid-in capital. Any consideration received on exercise of stock options and the purchase of shares is credited to share capital.</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Under the fair value based method, share-based payments to non-employees are measured at the fair value of the equity instruments issued, and the awards are periodically re-measured during the vesting period as the options are earned. Any changes therein are recognized over the period and in the same manner as if the Company had paid cash instead of paying with or using equity instruments. The fair value of stock-based awards to employees is measured at the grant date and amortized over the vesting period.</w:t>
      </w:r>
    </w:p>
    <w:p>
      <w:pPr>
        <w:spacing w:after="0" w:line="109"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Stock options issued to employees are recorded at the fair value of stock options determined at the date of the grant using the Black-Scholes option-pricing model and a single option award approach and are expensed on a straight-line basis over the vesting period of the options. In determining the expense, the Company deducts the number of options that are expected to be forfeited at the time of a grant and revises this estimate, if necessary, in subsequent years if actual forfeitures differ from those estimated. Any amounts paid by employees on exercise of the stock options and subsequent purchase of shares are credited to share capital.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 Net income (loss) per share:</w:t>
      </w:r>
    </w:p>
    <w:p>
      <w:pPr>
        <w:spacing w:after="0" w:line="2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upon their respective rights to receive dividends as if all income for the period had been distributed.</w:t>
      </w:r>
    </w:p>
    <w:p>
      <w:pPr>
        <w:spacing w:after="0" w:line="11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Company’s redeemable convertible preferred shares contractually entitle the holders of such shares to participate in dividends, but do not contractually require the holders of such shares to participate in losses of the Company. Accordingly, in periods in which the Company reports a net loss or a net loss attributable to common shareholders resulting from preferred share dividends or accretion, net losses are not allocated to participating securities. The Company reported net losses attributable to common shareholders for each of the years ended December 31, 2011 and 2012, and net income attributable to common shareholders for the year ended December 31, 2013. No net income was attributable to common shareholders for the six months ended June 30, 2013 and 2014 (unaudited).</w:t>
      </w:r>
    </w:p>
    <w:p>
      <w:pPr>
        <w:spacing w:after="0" w:line="11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Basic net income (loss) per share attributable to common shareholders is computed by dividing the net income (loss) attributable to common shareholders by the weighted-average number of common shares outstanding for the period. Diluted net income (loss) attributable to common shareholders is computed by adjusting net income (loss) attributable to common shareholders to reallocate undistributed earnings based on the potential impact of dilutive securities, including outstanding stock options and outstanding subscription rights. Diluted net income (loss) per</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380"/>
          </w:cols>
          <w:pgMar w:left="240" w:top="444" w:right="27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(continued):</w:t>
      </w:r>
    </w:p>
    <w:p>
      <w:pPr>
        <w:spacing w:after="0" w:line="83"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share attributable to common shareholders is computed by dividing the diluted net income (loss) attributable to common shareholders by the weighted-average number of common shares outstanding for the period, including potential dilutive common shares assuming the dilutive effect of outstanding stock options and outstanding subscription rights. For periods in which the Company has reported net losses, diluted net loss per share attributable to common shareholders is the same as basic net loss per share attributable to common shareholders, since dilutive common shares are not assumed to have been issued if their effect is anti-dilutive. For the year ended December 31, 2013, potential common shares of 42,592 were excluded from the calculation of net income per share attributable to common shareholders because their inclusion would be anti-dilutive. As the Company reported net losses attributable to common shareholders for each of the years ended December 31, 2011 and 2012 and no net income was attributable to common shareholders for the six months ended June 30, 2013 and 2014 (unaudited), all stock options were anti-dilutive and were excluded from the diluted weighted average shares for these periods.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 Foreign currency translation:</w:t>
      </w:r>
    </w:p>
    <w:p>
      <w:pPr>
        <w:spacing w:after="0" w:line="2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Company’s functional currency is the Canadian dollar and the Company’s reporting currency is the U.S. dollar. The Company initially records foreign currency transactions using the exchange rates prevailing at the dates of the transactions. At the balance sheet date, results of operations and cash flows are translated into the functional currency at average exchange rates during the period, and monetary assets and liabilities are translated at end of period exchange rates. Non-monetary assets and liabilities and equity transactions are translated at historical exchange rates. The effects of exchange rate fluctuations on translating foreign currency monetary assets and liabilities into Canadian dollars are included in the statement of operations as foreign exchange gain (loss).</w:t>
      </w:r>
    </w:p>
    <w:p>
      <w:pPr>
        <w:spacing w:after="0" w:line="11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At the balance sheet date, results of operations and cash flows are translated into the U.S. dollar reporting currency at average exchange rates during the period, and assets and liabilities are translated at end of period exchange rates, except for equity transactions, which are translated at historical exchange rates. The effects of exchange rate fluctuations on translating functional currency assets and liabilities into U.S. dollars are accumulated as a separate component in other accumulated comprehensive income (loss) as cumulative translation adjustment.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(n) Income taxes:</w:t>
      </w:r>
    </w:p>
    <w:p>
      <w:pPr>
        <w:spacing w:after="0" w:line="2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 Deferred tenant inducements:</w:t>
      </w:r>
    </w:p>
    <w:p>
      <w:pPr>
        <w:spacing w:after="0" w:line="24" w:lineRule="exact"/>
        <w:rPr>
          <w:sz w:val="20"/>
          <w:szCs w:val="20"/>
          <w:color w:val="auto"/>
        </w:rPr>
      </w:pPr>
    </w:p>
    <w:p>
      <w:pPr>
        <w:ind w:right="440"/>
        <w:spacing w:after="0" w:line="245" w:lineRule="auto"/>
        <w:rPr>
          <w:sz w:val="20"/>
          <w:szCs w:val="20"/>
          <w:color w:val="auto"/>
        </w:rPr>
      </w:pPr>
      <w:r>
        <w:rPr>
          <w:rFonts w:ascii="Arial" w:cs="Arial" w:eastAsia="Arial" w:hAnsi="Arial"/>
          <w:sz w:val="17"/>
          <w:szCs w:val="17"/>
          <w:color w:val="auto"/>
        </w:rPr>
        <w:t>Deferred tenant inducements, which include leasehold improvements paid for by the landlord and free rent, are recorded as liabilities on the balance sheet and recognized as a reduction of rent expense on a straight-line basis over the term of the lease.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 Deferred financing fees:</w:t>
      </w:r>
    </w:p>
    <w:p>
      <w:pPr>
        <w:spacing w:after="0" w:line="24"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Deferred financing fees, which primarily consist of direct incremental legal and accounting fees relating to the potential IPO, are capitalized. The deferred financing fees will be offset against IPO proceeds upon the consummation of the offering. In the event the offering is terminated, deferred financing fees will be expensed. At December 31, 2013 and at June 30, 2014 (unaudited), $2,739 and $3,480, respectively, were capitalized and deferred. No amounts were capitalized and deferred as of December 31, 2012.</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(q) Comparative figures: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Certain comparative figures have been reclassified to conform with the financial statement presentation adopted for the current period.</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4"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Changes in significant accounting policies:</w:t>
      </w:r>
    </w:p>
    <w:p>
      <w:pPr>
        <w:spacing w:after="0" w:line="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July 2013, the FASB issued amendments on income tax matters to include explicit guidance on the financial statement presentation of an unrecognized tax benefit when a net operating loss carryforward, a similar tax loss, or a tax credit carryforward exists. The amendments clarify that an unrecognized tax benefit, or a portion of an unrecognized tax benefit, should be presented in the financial statements as a reduction to a deferred tax asset for a net operating loss carryforward, a similar tax loss, or a tax credit carryforward, when the uncertain tax position would reduce the net operating loss carryforward, a similar tax loss, or a tax credit carryforward under the tax law of the applicable jurisdiction, and when the entity intends to use the deferred tax asset for that purpose. These amendments were effective prospectively for fiscal years beginning after December 15, 2013. On January 1, 2014, the Company adopted these amendments. The adoption of these amendments did not have a material impact on the Company’s financial position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Future changes in accounting policies:</w:t>
      </w:r>
    </w:p>
    <w:p>
      <w:pPr>
        <w:spacing w:after="0" w:line="7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May 2014, the FASB and International Accounting Standards Board (“IASB”) issued amendments to develop a common revenue standard for U.S. GAAP and International Financial Reporting Standards (“IFRS”). These amendments provide the following: a) remove inconsistencies and weaknesses in revenue requirements, b) provide a more robust framework for addressing revenue issues, c) improve comparability of revenue recognition practices across entities, industries, jurisdictions, and capital markets, d) provide more useful information to users of financial statements through improved disclosure requirements, and e) simplify the preparation of financial statements by reducing the number of requirements to which an entity must refer. These amendments will be effective prospectively for annual reporting periods beginning after December 15, 2017, and interim reporting periods within annual reporting periods beginning after December 15, 2018. The Company is in the process of evaluating the impact of the adoption of the amendments on the Company’s financial position,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Instruments:</w:t>
      </w:r>
    </w:p>
    <w:p>
      <w:pPr>
        <w:spacing w:after="0" w:line="70" w:lineRule="exact"/>
        <w:rPr>
          <w:sz w:val="20"/>
          <w:szCs w:val="20"/>
          <w:color w:val="auto"/>
        </w:rPr>
      </w:pPr>
    </w:p>
    <w:p>
      <w:pPr>
        <w:ind w:right="460"/>
        <w:spacing w:after="0" w:line="245" w:lineRule="auto"/>
        <w:rPr>
          <w:sz w:val="20"/>
          <w:szCs w:val="20"/>
          <w:color w:val="auto"/>
        </w:rPr>
      </w:pPr>
      <w:r>
        <w:rPr>
          <w:rFonts w:ascii="Arial" w:cs="Arial" w:eastAsia="Arial" w:hAnsi="Arial"/>
          <w:sz w:val="17"/>
          <w:szCs w:val="17"/>
          <w:color w:val="auto"/>
        </w:rPr>
        <w:t>In accordance with the fair value hierarchy described in Note 2(g), the following tables show the fair value of the Company’s financial assets that are required to be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140" w:type="dxa"/>
            <w:vAlign w:val="bottom"/>
            <w:tcBorders>
              <w:bottom w:val="single" w:sz="8" w:color="auto"/>
            </w:tcBorders>
            <w:gridSpan w:val="10"/>
          </w:tcPr>
          <w:p>
            <w:pPr>
              <w:jc w:val="right"/>
              <w:ind w:right="195"/>
              <w:spacing w:after="0"/>
              <w:rPr>
                <w:sz w:val="20"/>
                <w:szCs w:val="20"/>
                <w:color w:val="auto"/>
              </w:rPr>
            </w:pPr>
            <w:r>
              <w:rPr>
                <w:rFonts w:ascii="Arial" w:cs="Arial" w:eastAsia="Arial" w:hAnsi="Arial"/>
                <w:sz w:val="13"/>
                <w:szCs w:val="13"/>
                <w:b w:val="1"/>
                <w:bCs w:val="1"/>
                <w:color w:val="auto"/>
              </w:rPr>
              <w:t>FAIR VALUE MEASUREMENTS AT DECEMBER 31, 2012</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7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100" w:type="dxa"/>
            <w:vAlign w:val="bottom"/>
            <w:gridSpan w:val="2"/>
          </w:tcPr>
          <w:p>
            <w:pPr>
              <w:jc w:val="right"/>
              <w:ind w:right="580"/>
              <w:spacing w:after="0" w:line="135" w:lineRule="exact"/>
              <w:rPr>
                <w:sz w:val="20"/>
                <w:szCs w:val="20"/>
                <w:color w:val="auto"/>
              </w:rPr>
            </w:pPr>
            <w:r>
              <w:rPr>
                <w:rFonts w:ascii="Arial" w:cs="Arial" w:eastAsia="Arial" w:hAnsi="Arial"/>
                <w:sz w:val="13"/>
                <w:szCs w:val="13"/>
                <w:b w:val="1"/>
                <w:bCs w:val="1"/>
                <w:color w:val="auto"/>
                <w:w w:val="94"/>
              </w:rPr>
              <w:t>LEVEL 1</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378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Assets</w:t>
            </w:r>
          </w:p>
        </w:tc>
        <w:tc>
          <w:tcPr>
            <w:tcW w:w="3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3780" w:type="dxa"/>
            <w:vAlign w:val="bottom"/>
          </w:tcPr>
          <w:p>
            <w:pPr>
              <w:spacing w:after="0" w:line="194" w:lineRule="exact"/>
              <w:rPr>
                <w:sz w:val="20"/>
                <w:szCs w:val="20"/>
                <w:color w:val="auto"/>
              </w:rPr>
            </w:pPr>
            <w:r>
              <w:rPr>
                <w:rFonts w:ascii="Arial" w:cs="Arial" w:eastAsia="Arial" w:hAnsi="Arial"/>
                <w:sz w:val="17"/>
                <w:szCs w:val="17"/>
                <w:color w:val="auto"/>
              </w:rPr>
              <w:t>Cash and cash equivalents</w:t>
            </w:r>
          </w:p>
        </w:tc>
        <w:tc>
          <w:tcPr>
            <w:tcW w:w="320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w w:val="99"/>
              </w:rPr>
              <w:t>$ 60,162</w:t>
            </w:r>
          </w:p>
        </w:tc>
        <w:tc>
          <w:tcPr>
            <w:tcW w:w="220" w:type="dxa"/>
            <w:vAlign w:val="bottom"/>
          </w:tcPr>
          <w:p>
            <w:pPr>
              <w:spacing w:after="0"/>
              <w:rPr>
                <w:sz w:val="16"/>
                <w:szCs w:val="16"/>
                <w:color w:val="auto"/>
              </w:rPr>
            </w:pPr>
          </w:p>
        </w:tc>
        <w:tc>
          <w:tcPr>
            <w:tcW w:w="13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$ 60,162</w:t>
            </w:r>
          </w:p>
        </w:tc>
        <w:tc>
          <w:tcPr>
            <w:tcW w:w="640" w:type="dxa"/>
            <w:vAlign w:val="bottom"/>
          </w:tcPr>
          <w:p>
            <w:pPr>
              <w:jc w:val="right"/>
              <w:ind w:right="46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75"/>
              <w:spacing w:after="0" w:line="194"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w:t>
            </w:r>
          </w:p>
        </w:tc>
      </w:tr>
      <w:tr>
        <w:trPr>
          <w:trHeight w:val="26"/>
        </w:trPr>
        <w:tc>
          <w:tcPr>
            <w:tcW w:w="37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378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Total</w:t>
            </w:r>
          </w:p>
        </w:tc>
        <w:tc>
          <w:tcPr>
            <w:tcW w:w="3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$ 60,162</w:t>
            </w:r>
          </w:p>
        </w:tc>
        <w:tc>
          <w:tcPr>
            <w:tcW w:w="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$ 60,162</w:t>
            </w:r>
          </w:p>
        </w:tc>
        <w:tc>
          <w:tcPr>
            <w:tcW w:w="640" w:type="dxa"/>
            <w:vAlign w:val="bottom"/>
            <w:shd w:val="clear" w:color="auto" w:fill="CCEEFF"/>
          </w:tcPr>
          <w:p>
            <w:pPr>
              <w:jc w:val="right"/>
              <w:ind w:right="46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75"/>
              <w:spacing w:after="0" w:line="194"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r>
      <w:tr>
        <w:trPr>
          <w:trHeight w:val="20"/>
        </w:trPr>
        <w:tc>
          <w:tcPr>
            <w:tcW w:w="3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37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gridSpan w:val="10"/>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445"/>
        </w:trPr>
        <w:tc>
          <w:tcPr>
            <w:tcW w:w="3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140" w:type="dxa"/>
            <w:vAlign w:val="bottom"/>
            <w:tcBorders>
              <w:bottom w:val="single" w:sz="8" w:color="auto"/>
            </w:tcBorders>
            <w:gridSpan w:val="10"/>
          </w:tcPr>
          <w:p>
            <w:pPr>
              <w:jc w:val="right"/>
              <w:ind w:right="195"/>
              <w:spacing w:after="0"/>
              <w:rPr>
                <w:sz w:val="20"/>
                <w:szCs w:val="20"/>
                <w:color w:val="auto"/>
              </w:rPr>
            </w:pPr>
            <w:r>
              <w:rPr>
                <w:rFonts w:ascii="Arial" w:cs="Arial" w:eastAsia="Arial" w:hAnsi="Arial"/>
                <w:sz w:val="13"/>
                <w:szCs w:val="13"/>
                <w:b w:val="1"/>
                <w:bCs w:val="1"/>
                <w:color w:val="auto"/>
              </w:rPr>
              <w:t>FAIR VALUE MEASUREMENTS AT DECEMBER 31, 2013</w:t>
            </w: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7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100" w:type="dxa"/>
            <w:vAlign w:val="bottom"/>
            <w:gridSpan w:val="2"/>
          </w:tcPr>
          <w:p>
            <w:pPr>
              <w:jc w:val="right"/>
              <w:ind w:right="580"/>
              <w:spacing w:after="0" w:line="135" w:lineRule="exact"/>
              <w:rPr>
                <w:sz w:val="20"/>
                <w:szCs w:val="20"/>
                <w:color w:val="auto"/>
              </w:rPr>
            </w:pPr>
            <w:r>
              <w:rPr>
                <w:rFonts w:ascii="Arial" w:cs="Arial" w:eastAsia="Arial" w:hAnsi="Arial"/>
                <w:sz w:val="13"/>
                <w:szCs w:val="13"/>
                <w:b w:val="1"/>
                <w:bCs w:val="1"/>
                <w:color w:val="auto"/>
                <w:w w:val="94"/>
              </w:rPr>
              <w:t>LEVEL 1</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LEVEL 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378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Assets</w:t>
            </w:r>
          </w:p>
        </w:tc>
        <w:tc>
          <w:tcPr>
            <w:tcW w:w="3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3780" w:type="dxa"/>
            <w:vAlign w:val="bottom"/>
          </w:tcPr>
          <w:p>
            <w:pPr>
              <w:spacing w:after="0" w:line="194" w:lineRule="exact"/>
              <w:rPr>
                <w:sz w:val="20"/>
                <w:szCs w:val="20"/>
                <w:color w:val="auto"/>
              </w:rPr>
            </w:pPr>
            <w:r>
              <w:rPr>
                <w:rFonts w:ascii="Arial" w:cs="Arial" w:eastAsia="Arial" w:hAnsi="Arial"/>
                <w:sz w:val="17"/>
                <w:szCs w:val="17"/>
                <w:color w:val="auto"/>
              </w:rPr>
              <w:t>Cash and cash equivalents</w:t>
            </w:r>
          </w:p>
        </w:tc>
        <w:tc>
          <w:tcPr>
            <w:tcW w:w="410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$ 37,950</w:t>
            </w:r>
          </w:p>
        </w:tc>
        <w:tc>
          <w:tcPr>
            <w:tcW w:w="13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$ 37,950</w:t>
            </w:r>
          </w:p>
        </w:tc>
        <w:tc>
          <w:tcPr>
            <w:tcW w:w="640" w:type="dxa"/>
            <w:vAlign w:val="bottom"/>
          </w:tcPr>
          <w:p>
            <w:pPr>
              <w:jc w:val="right"/>
              <w:ind w:right="463"/>
              <w:spacing w:after="0" w:line="194" w:lineRule="exact"/>
              <w:rPr>
                <w:sz w:val="20"/>
                <w:szCs w:val="20"/>
                <w:color w:val="auto"/>
              </w:rPr>
            </w:pPr>
            <w:r>
              <w:rPr>
                <w:rFonts w:ascii="Arial" w:cs="Arial" w:eastAsia="Arial" w:hAnsi="Arial"/>
                <w:sz w:val="17"/>
                <w:szCs w:val="17"/>
                <w:color w:val="auto"/>
                <w:w w:val="84"/>
              </w:rPr>
              <w:t>$</w:t>
            </w:r>
          </w:p>
        </w:tc>
        <w:tc>
          <w:tcPr>
            <w:tcW w:w="42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75"/>
              <w:spacing w:after="0" w:line="194"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40"/>
              <w:spacing w:after="0" w:line="194" w:lineRule="exact"/>
              <w:rPr>
                <w:sz w:val="20"/>
                <w:szCs w:val="20"/>
                <w:color w:val="auto"/>
              </w:rPr>
            </w:pPr>
            <w:r>
              <w:rPr>
                <w:rFonts w:ascii="Arial" w:cs="Arial" w:eastAsia="Arial" w:hAnsi="Arial"/>
                <w:sz w:val="17"/>
                <w:szCs w:val="17"/>
                <w:color w:val="auto"/>
              </w:rPr>
              <w:t>—</w:t>
            </w:r>
          </w:p>
        </w:tc>
      </w:tr>
      <w:tr>
        <w:trPr>
          <w:trHeight w:val="194"/>
        </w:trPr>
        <w:tc>
          <w:tcPr>
            <w:tcW w:w="3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Marketable securities</w:t>
            </w:r>
          </w:p>
        </w:tc>
        <w:tc>
          <w:tcPr>
            <w:tcW w:w="3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11,326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11,326</w:t>
            </w:r>
          </w:p>
        </w:tc>
        <w:tc>
          <w:tcPr>
            <w:tcW w:w="6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r>
      <w:tr>
        <w:trPr>
          <w:trHeight w:val="20"/>
        </w:trPr>
        <w:tc>
          <w:tcPr>
            <w:tcW w:w="3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3780" w:type="dxa"/>
            <w:vAlign w:val="bottom"/>
          </w:tcPr>
          <w:p>
            <w:pPr>
              <w:ind w:left="300"/>
              <w:spacing w:after="0"/>
              <w:rPr>
                <w:sz w:val="20"/>
                <w:szCs w:val="20"/>
                <w:color w:val="auto"/>
              </w:rPr>
            </w:pPr>
            <w:r>
              <w:rPr>
                <w:rFonts w:ascii="Arial" w:cs="Arial" w:eastAsia="Arial" w:hAnsi="Arial"/>
                <w:sz w:val="17"/>
                <w:szCs w:val="17"/>
                <w:color w:val="auto"/>
              </w:rPr>
              <w:t>Total</w:t>
            </w:r>
          </w:p>
        </w:tc>
        <w:tc>
          <w:tcPr>
            <w:tcW w:w="3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9"/>
              </w:rPr>
              <w:t>$ 49,276</w:t>
            </w:r>
          </w:p>
        </w:tc>
        <w:tc>
          <w:tcPr>
            <w:tcW w:w="220" w:type="dxa"/>
            <w:vAlign w:val="bottom"/>
          </w:tcPr>
          <w:p>
            <w:pPr>
              <w:spacing w:after="0"/>
              <w:rPr>
                <w:sz w:val="17"/>
                <w:szCs w:val="17"/>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7"/>
                <w:szCs w:val="17"/>
                <w:color w:val="auto"/>
              </w:rPr>
              <w:t>$ 49,276</w:t>
            </w:r>
          </w:p>
        </w:tc>
        <w:tc>
          <w:tcPr>
            <w:tcW w:w="640" w:type="dxa"/>
            <w:vAlign w:val="bottom"/>
          </w:tcPr>
          <w:p>
            <w:pPr>
              <w:jc w:val="right"/>
              <w:ind w:right="46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40"/>
              <w:spacing w:after="0"/>
              <w:rPr>
                <w:sz w:val="20"/>
                <w:szCs w:val="20"/>
                <w:color w:val="auto"/>
              </w:rPr>
            </w:pPr>
            <w:r>
              <w:rPr>
                <w:rFonts w:ascii="Arial" w:cs="Arial" w:eastAsia="Arial" w:hAnsi="Arial"/>
                <w:sz w:val="17"/>
                <w:szCs w:val="17"/>
                <w:color w:val="auto"/>
              </w:rPr>
              <w:t>—</w:t>
            </w:r>
          </w:p>
        </w:tc>
      </w:tr>
      <w:tr>
        <w:trPr>
          <w:trHeight w:val="20"/>
        </w:trPr>
        <w:tc>
          <w:tcPr>
            <w:tcW w:w="3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378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gridSpan w:val="3"/>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366"/>
        </w:trPr>
        <w:tc>
          <w:tcPr>
            <w:tcW w:w="3780" w:type="dxa"/>
            <w:vAlign w:val="bottom"/>
          </w:tcPr>
          <w:p>
            <w:pPr>
              <w:spacing w:after="0"/>
              <w:rPr>
                <w:sz w:val="24"/>
                <w:szCs w:val="24"/>
                <w:color w:val="auto"/>
              </w:rPr>
            </w:pPr>
          </w:p>
        </w:tc>
        <w:tc>
          <w:tcPr>
            <w:tcW w:w="4100" w:type="dxa"/>
            <w:vAlign w:val="bottom"/>
            <w:gridSpan w:val="3"/>
          </w:tcPr>
          <w:p>
            <w:pPr>
              <w:ind w:left="1760"/>
              <w:spacing w:after="0"/>
              <w:rPr>
                <w:sz w:val="20"/>
                <w:szCs w:val="20"/>
                <w:color w:val="auto"/>
              </w:rPr>
            </w:pPr>
            <w:r>
              <w:rPr>
                <w:rFonts w:ascii="Arial" w:cs="Arial" w:eastAsia="Arial" w:hAnsi="Arial"/>
                <w:sz w:val="17"/>
                <w:szCs w:val="17"/>
                <w:color w:val="auto"/>
              </w:rPr>
              <w:t>F-14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4"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Instruments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2529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bottom w:val="single" w:sz="8" w:color="auto"/>
            </w:tcBorders>
            <w:gridSpan w:val="14"/>
          </w:tcPr>
          <w:p>
            <w:pPr>
              <w:jc w:val="center"/>
              <w:ind w:left="529"/>
              <w:spacing w:after="0"/>
              <w:rPr>
                <w:sz w:val="20"/>
                <w:szCs w:val="20"/>
                <w:color w:val="auto"/>
              </w:rPr>
            </w:pPr>
            <w:r>
              <w:rPr>
                <w:rFonts w:ascii="Arial" w:cs="Arial" w:eastAsia="Arial" w:hAnsi="Arial"/>
                <w:sz w:val="13"/>
                <w:szCs w:val="13"/>
                <w:b w:val="1"/>
                <w:bCs w:val="1"/>
                <w:color w:val="auto"/>
                <w:w w:val="98"/>
              </w:rPr>
              <w:t>FAIR VALUE MEASUREMENTS AT JUNE 30, 2014</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ind w:left="40"/>
              <w:spacing w:after="0" w:line="135"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rPr>
              <w:t>LEVEL 1</w:t>
            </w: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ind w:left="100"/>
              <w:spacing w:after="0" w:line="135" w:lineRule="exact"/>
              <w:rPr>
                <w:sz w:val="20"/>
                <w:szCs w:val="20"/>
                <w:color w:val="auto"/>
              </w:rPr>
            </w:pPr>
            <w:r>
              <w:rPr>
                <w:rFonts w:ascii="Arial" w:cs="Arial" w:eastAsia="Arial" w:hAnsi="Arial"/>
                <w:sz w:val="13"/>
                <w:szCs w:val="13"/>
                <w:b w:val="1"/>
                <w:bCs w:val="1"/>
                <w:color w:val="auto"/>
              </w:rPr>
              <w:t>LEVEL 2</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138"/>
              <w:spacing w:after="0" w:line="135"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1"/>
                <w:szCs w:val="11"/>
                <w:color w:val="auto"/>
              </w:rPr>
            </w:pPr>
          </w:p>
        </w:tc>
      </w:tr>
      <w:tr>
        <w:trPr>
          <w:trHeight w:val="135"/>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8"/>
              </w:rPr>
              <w:t>(unaudited)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6980" w:type="dxa"/>
            <w:vAlign w:val="bottom"/>
          </w:tcPr>
          <w:p>
            <w:pPr>
              <w:spacing w:after="0" w:line="194" w:lineRule="exact"/>
              <w:rPr>
                <w:sz w:val="20"/>
                <w:szCs w:val="20"/>
                <w:color w:val="auto"/>
              </w:rPr>
            </w:pPr>
            <w:r>
              <w:rPr>
                <w:rFonts w:ascii="Arial" w:cs="Arial" w:eastAsia="Arial" w:hAnsi="Arial"/>
                <w:sz w:val="17"/>
                <w:szCs w:val="17"/>
                <w:color w:val="auto"/>
              </w:rPr>
              <w:t>Cash and cash equivalents</w:t>
            </w:r>
          </w:p>
        </w:tc>
        <w:tc>
          <w:tcPr>
            <w:tcW w:w="1020" w:type="dxa"/>
            <w:vAlign w:val="bottom"/>
            <w:gridSpan w:val="3"/>
          </w:tcPr>
          <w:p>
            <w:pPr>
              <w:jc w:val="right"/>
              <w:ind w:right="340"/>
              <w:spacing w:after="0" w:line="194" w:lineRule="exact"/>
              <w:rPr>
                <w:sz w:val="20"/>
                <w:szCs w:val="20"/>
                <w:color w:val="auto"/>
              </w:rPr>
            </w:pPr>
            <w:r>
              <w:rPr>
                <w:rFonts w:ascii="Arial" w:cs="Arial" w:eastAsia="Arial" w:hAnsi="Arial"/>
                <w:sz w:val="17"/>
                <w:szCs w:val="17"/>
                <w:color w:val="auto"/>
                <w:w w:val="99"/>
              </w:rPr>
              <w:t>$ 35,087</w:t>
            </w:r>
          </w:p>
        </w:tc>
        <w:tc>
          <w:tcPr>
            <w:tcW w:w="78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$ 35,087</w:t>
            </w:r>
          </w:p>
        </w:tc>
        <w:tc>
          <w:tcPr>
            <w:tcW w:w="5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Marketable securities</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9,623</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9,623</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980" w:type="dxa"/>
            <w:vAlign w:val="bottom"/>
          </w:tcPr>
          <w:p>
            <w:pPr>
              <w:ind w:left="300"/>
              <w:spacing w:after="0"/>
              <w:rPr>
                <w:sz w:val="20"/>
                <w:szCs w:val="20"/>
                <w:color w:val="auto"/>
              </w:rPr>
            </w:pPr>
            <w:r>
              <w:rPr>
                <w:rFonts w:ascii="Arial" w:cs="Arial" w:eastAsia="Arial" w:hAnsi="Arial"/>
                <w:sz w:val="17"/>
                <w:szCs w:val="17"/>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99"/>
              </w:rPr>
              <w:t>$ 44,710</w:t>
            </w:r>
          </w:p>
        </w:tc>
        <w:tc>
          <w:tcPr>
            <w:tcW w:w="340" w:type="dxa"/>
            <w:vAlign w:val="bottom"/>
          </w:tcPr>
          <w:p>
            <w:pPr>
              <w:spacing w:after="0"/>
              <w:rPr>
                <w:sz w:val="17"/>
                <w:szCs w:val="17"/>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7"/>
                <w:szCs w:val="17"/>
                <w:color w:val="auto"/>
              </w:rPr>
              <w:t>$ 44,710</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8000" w:type="dxa"/>
            <w:vAlign w:val="bottom"/>
            <w:tcBorders>
              <w:bottom w:val="single" w:sz="8" w:color="auto"/>
            </w:tcBorders>
            <w:gridSpan w:val="4"/>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r>
        <w:trPr>
          <w:trHeight w:val="314"/>
        </w:trPr>
        <w:tc>
          <w:tcPr>
            <w:tcW w:w="8000" w:type="dxa"/>
            <w:vAlign w:val="bottom"/>
            <w:gridSpan w:val="4"/>
          </w:tcPr>
          <w:p>
            <w:pPr>
              <w:spacing w:after="0"/>
              <w:rPr>
                <w:sz w:val="20"/>
                <w:szCs w:val="20"/>
                <w:color w:val="auto"/>
              </w:rPr>
            </w:pPr>
            <w:r>
              <w:rPr>
                <w:rFonts w:ascii="Arial" w:cs="Arial" w:eastAsia="Arial" w:hAnsi="Arial"/>
                <w:sz w:val="17"/>
                <w:szCs w:val="17"/>
                <w:color w:val="auto"/>
              </w:rPr>
              <w:t>The Company’s Level 1 assets include marketable securities with quoted prices in active markets.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8"/>
        </w:trPr>
        <w:tc>
          <w:tcPr>
            <w:tcW w:w="6980" w:type="dxa"/>
            <w:vAlign w:val="bottom"/>
          </w:tcPr>
          <w:p>
            <w:pPr>
              <w:spacing w:after="0"/>
              <w:rPr>
                <w:sz w:val="20"/>
                <w:szCs w:val="20"/>
                <w:color w:val="auto"/>
              </w:rPr>
            </w:pPr>
            <w:r>
              <w:rPr>
                <w:rFonts w:ascii="Arial" w:cs="Arial" w:eastAsia="Arial" w:hAnsi="Arial"/>
                <w:sz w:val="17"/>
                <w:szCs w:val="17"/>
                <w:b w:val="1"/>
                <w:bCs w:val="1"/>
                <w:color w:val="auto"/>
              </w:rPr>
              <w:t>6. Property, Plant and Equipment:</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980" w:type="dxa"/>
            <w:vAlign w:val="bottom"/>
          </w:tcPr>
          <w:p>
            <w:pPr>
              <w:spacing w:after="0"/>
              <w:rPr>
                <w:sz w:val="20"/>
                <w:szCs w:val="20"/>
                <w:color w:val="auto"/>
              </w:rPr>
            </w:pPr>
            <w:r>
              <w:rPr>
                <w:rFonts w:ascii="Arial" w:cs="Arial" w:eastAsia="Arial" w:hAnsi="Arial"/>
                <w:sz w:val="17"/>
                <w:szCs w:val="17"/>
                <w:color w:val="auto"/>
              </w:rPr>
              <w:t>Property, plant and equipment consisted of the following:</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5"/>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w w:val="99"/>
              </w:rPr>
              <w:t>DECEMBER 31,</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JUNE 30,</w:t>
            </w:r>
          </w:p>
        </w:tc>
      </w:tr>
      <w:tr>
        <w:trPr>
          <w:trHeight w:val="135"/>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2"/>
              <w:spacing w:after="0" w:line="135" w:lineRule="exact"/>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8"/>
              <w:spacing w:after="0" w:line="135" w:lineRule="exact"/>
              <w:rPr>
                <w:sz w:val="20"/>
                <w:szCs w:val="20"/>
                <w:color w:val="auto"/>
              </w:rPr>
            </w:pPr>
            <w:r>
              <w:rPr>
                <w:rFonts w:ascii="Arial" w:cs="Arial" w:eastAsia="Arial" w:hAnsi="Arial"/>
                <w:sz w:val="13"/>
                <w:szCs w:val="13"/>
                <w:b w:val="1"/>
                <w:bCs w:val="1"/>
                <w:color w:val="auto"/>
                <w:w w:val="96"/>
              </w:rPr>
              <w:t>2013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8"/>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1"/>
                <w:szCs w:val="11"/>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equipment</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7,354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520"/>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6,356</w:t>
            </w:r>
          </w:p>
        </w:tc>
        <w:tc>
          <w:tcPr>
            <w:tcW w:w="260" w:type="dxa"/>
            <w:vAlign w:val="bottom"/>
            <w:tcBorders>
              <w:left w:val="single" w:sz="8" w:color="CCEEFF"/>
            </w:tcBorders>
            <w:shd w:val="clear" w:color="auto" w:fill="CCEEFF"/>
          </w:tcPr>
          <w:p>
            <w:pPr>
              <w:spacing w:after="0"/>
              <w:rPr>
                <w:sz w:val="16"/>
                <w:szCs w:val="16"/>
                <w:color w:val="auto"/>
              </w:rPr>
            </w:pPr>
          </w:p>
        </w:tc>
        <w:tc>
          <w:tcPr>
            <w:tcW w:w="460" w:type="dxa"/>
            <w:vAlign w:val="bottom"/>
            <w:gridSpan w:val="3"/>
            <w:shd w:val="clear" w:color="auto" w:fill="CCEEFF"/>
          </w:tcPr>
          <w:p>
            <w:pPr>
              <w:ind w:left="360"/>
              <w:spacing w:after="0" w:line="194"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6,703</w:t>
            </w:r>
          </w:p>
        </w:tc>
        <w:tc>
          <w:tcPr>
            <w:tcW w:w="100" w:type="dxa"/>
            <w:vAlign w:val="bottom"/>
            <w:shd w:val="clear" w:color="auto" w:fill="CCEEFF"/>
          </w:tcPr>
          <w:p>
            <w:pPr>
              <w:spacing w:after="0"/>
              <w:rPr>
                <w:sz w:val="16"/>
                <w:szCs w:val="16"/>
                <w:color w:val="auto"/>
              </w:rPr>
            </w:pPr>
          </w:p>
        </w:tc>
      </w:tr>
      <w:tr>
        <w:trPr>
          <w:trHeight w:val="194"/>
        </w:trPr>
        <w:tc>
          <w:tcPr>
            <w:tcW w:w="6980" w:type="dxa"/>
            <w:vAlign w:val="bottom"/>
          </w:tcPr>
          <w:p>
            <w:pPr>
              <w:spacing w:after="0" w:line="194" w:lineRule="exact"/>
              <w:rPr>
                <w:sz w:val="20"/>
                <w:szCs w:val="20"/>
                <w:color w:val="auto"/>
              </w:rPr>
            </w:pPr>
            <w:r>
              <w:rPr>
                <w:rFonts w:ascii="Arial" w:cs="Arial" w:eastAsia="Arial" w:hAnsi="Arial"/>
                <w:sz w:val="17"/>
                <w:szCs w:val="17"/>
                <w:color w:val="auto"/>
              </w:rPr>
              <w:t>Office furniture and equipment</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1,144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color w:val="auto"/>
              </w:rPr>
              <w:t>1,069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1,066</w:t>
            </w:r>
          </w:p>
        </w:tc>
        <w:tc>
          <w:tcPr>
            <w:tcW w:w="100" w:type="dxa"/>
            <w:vAlign w:val="bottom"/>
          </w:tcPr>
          <w:p>
            <w:pPr>
              <w:spacing w:after="0"/>
              <w:rPr>
                <w:sz w:val="16"/>
                <w:szCs w:val="16"/>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Computer equipment</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1,780</w:t>
            </w:r>
          </w:p>
        </w:tc>
        <w:tc>
          <w:tcPr>
            <w:tcW w:w="26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1,771</w:t>
            </w:r>
          </w:p>
        </w:tc>
        <w:tc>
          <w:tcPr>
            <w:tcW w:w="100" w:type="dxa"/>
            <w:vAlign w:val="bottom"/>
            <w:shd w:val="clear" w:color="auto" w:fill="CCEEFF"/>
          </w:tcPr>
          <w:p>
            <w:pPr>
              <w:spacing w:after="0"/>
              <w:rPr>
                <w:sz w:val="16"/>
                <w:szCs w:val="16"/>
                <w:color w:val="auto"/>
              </w:rPr>
            </w:pPr>
          </w:p>
        </w:tc>
      </w:tr>
      <w:tr>
        <w:trPr>
          <w:trHeight w:val="194"/>
        </w:trPr>
        <w:tc>
          <w:tcPr>
            <w:tcW w:w="6980" w:type="dxa"/>
            <w:vAlign w:val="bottom"/>
          </w:tcPr>
          <w:p>
            <w:pPr>
              <w:spacing w:after="0" w:line="194" w:lineRule="exact"/>
              <w:rPr>
                <w:sz w:val="20"/>
                <w:szCs w:val="20"/>
                <w:color w:val="auto"/>
              </w:rPr>
            </w:pPr>
            <w:r>
              <w:rPr>
                <w:rFonts w:ascii="Arial" w:cs="Arial" w:eastAsia="Arial" w:hAnsi="Arial"/>
                <w:sz w:val="17"/>
                <w:szCs w:val="17"/>
                <w:color w:val="auto"/>
              </w:rPr>
              <w:t>Leasehold improvements</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7,296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color w:val="auto"/>
              </w:rPr>
              <w:t>6,825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auto"/>
              </w:rPr>
              <w:t>6,806</w:t>
            </w:r>
          </w:p>
        </w:tc>
        <w:tc>
          <w:tcPr>
            <w:tcW w:w="100" w:type="dxa"/>
            <w:vAlign w:val="bottom"/>
          </w:tcPr>
          <w:p>
            <w:pPr>
              <w:spacing w:after="0"/>
              <w:rPr>
                <w:sz w:val="16"/>
                <w:szCs w:val="16"/>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Less: accumulated depreciation and amortization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w w:val="97"/>
              </w:rPr>
              <w:t>(15,107)</w:t>
            </w:r>
          </w:p>
        </w:tc>
        <w:tc>
          <w:tcPr>
            <w:tcW w:w="20" w:type="dxa"/>
            <w:vAlign w:val="bottom"/>
            <w:shd w:val="clear" w:color="auto" w:fill="CCEEFF"/>
          </w:tcPr>
          <w:p>
            <w:pPr>
              <w:spacing w:after="0"/>
              <w:rPr>
                <w:sz w:val="16"/>
                <w:szCs w:val="16"/>
                <w:color w:val="auto"/>
              </w:rPr>
            </w:pPr>
          </w:p>
        </w:tc>
        <w:tc>
          <w:tcPr>
            <w:tcW w:w="1480" w:type="dxa"/>
            <w:vAlign w:val="bottom"/>
            <w:gridSpan w:val="5"/>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(14,151)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(14,322)</w:t>
            </w: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980" w:type="dxa"/>
            <w:vAlign w:val="bottom"/>
          </w:tcPr>
          <w:p>
            <w:pPr>
              <w:ind w:left="30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2,602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1,879</w:t>
            </w:r>
          </w:p>
        </w:tc>
        <w:tc>
          <w:tcPr>
            <w:tcW w:w="260" w:type="dxa"/>
            <w:vAlign w:val="bottom"/>
          </w:tcPr>
          <w:p>
            <w:pPr>
              <w:spacing w:after="0"/>
              <w:rPr>
                <w:sz w:val="17"/>
                <w:szCs w:val="17"/>
                <w:color w:val="auto"/>
              </w:rPr>
            </w:pPr>
          </w:p>
        </w:tc>
        <w:tc>
          <w:tcPr>
            <w:tcW w:w="460" w:type="dxa"/>
            <w:vAlign w:val="bottom"/>
            <w:gridSpan w:val="3"/>
          </w:tcPr>
          <w:p>
            <w:pPr>
              <w:ind w:left="36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6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During the year ended December 31, 2012, the Company wrote off leasehold improvements with a net book value of $1,030 in connection with a lease extension and modification agreement made effective April 1, 2012.</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Depreciation expense was $1,132, $786 and $705 for the years ended December 31, 2011, 2012 and 2013, respectively, and was $372 and $350 for the six months ended June 30, 2013 and 2014 (unaudited),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Accounts Payable and Accrued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b w:val="1"/>
                <w:bCs w:val="1"/>
                <w:color w:val="auto"/>
              </w:rPr>
              <w:t>JUNE 30,</w:t>
            </w:r>
          </w:p>
        </w:tc>
      </w:tr>
      <w:tr>
        <w:trPr>
          <w:trHeight w:val="135"/>
        </w:trPr>
        <w:tc>
          <w:tcPr>
            <w:tcW w:w="48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1"/>
              <w:spacing w:after="0" w:line="135" w:lineRule="exact"/>
              <w:rPr>
                <w:sz w:val="20"/>
                <w:szCs w:val="20"/>
                <w:color w:val="auto"/>
              </w:rPr>
            </w:pPr>
            <w:r>
              <w:rPr>
                <w:rFonts w:ascii="Arial" w:cs="Arial" w:eastAsia="Arial" w:hAnsi="Arial"/>
                <w:sz w:val="13"/>
                <w:szCs w:val="13"/>
                <w:b w:val="1"/>
                <w:bCs w:val="1"/>
                <w:color w:val="auto"/>
                <w:w w:val="96"/>
              </w:rPr>
              <w:t>2012</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3"/>
                <w:szCs w:val="13"/>
                <w:b w:val="1"/>
                <w:bCs w:val="1"/>
                <w:color w:val="auto"/>
              </w:rPr>
              <w:t>2013</w:t>
            </w: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9"/>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1"/>
                <w:szCs w:val="11"/>
                <w:color w:val="auto"/>
              </w:rPr>
            </w:pPr>
          </w:p>
        </w:tc>
      </w:tr>
      <w:tr>
        <w:trPr>
          <w:trHeight w:val="194"/>
        </w:trPr>
        <w:tc>
          <w:tcPr>
            <w:tcW w:w="4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Trade payables</w:t>
            </w:r>
          </w:p>
        </w:tc>
        <w:tc>
          <w:tcPr>
            <w:tcW w:w="39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821</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391</w:t>
            </w:r>
          </w:p>
        </w:tc>
        <w:tc>
          <w:tcPr>
            <w:tcW w:w="58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6"/>
                <w:szCs w:val="16"/>
                <w:color w:val="auto"/>
              </w:rPr>
            </w:pPr>
          </w:p>
        </w:tc>
      </w:tr>
      <w:tr>
        <w:trPr>
          <w:trHeight w:val="194"/>
        </w:trPr>
        <w:tc>
          <w:tcPr>
            <w:tcW w:w="4840" w:type="dxa"/>
            <w:vAlign w:val="bottom"/>
          </w:tcPr>
          <w:p>
            <w:pPr>
              <w:spacing w:after="0" w:line="194" w:lineRule="exact"/>
              <w:rPr>
                <w:sz w:val="20"/>
                <w:szCs w:val="20"/>
                <w:color w:val="auto"/>
              </w:rPr>
            </w:pPr>
            <w:r>
              <w:rPr>
                <w:rFonts w:ascii="Arial" w:cs="Arial" w:eastAsia="Arial" w:hAnsi="Arial"/>
                <w:sz w:val="17"/>
                <w:szCs w:val="17"/>
                <w:color w:val="auto"/>
              </w:rPr>
              <w:t>Employee compensation, benefits, and related accruals</w:t>
            </w: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w w:val="93"/>
              </w:rPr>
              <w:t>1,116</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520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626</w:t>
            </w:r>
          </w:p>
        </w:tc>
        <w:tc>
          <w:tcPr>
            <w:tcW w:w="100" w:type="dxa"/>
            <w:vAlign w:val="bottom"/>
          </w:tcPr>
          <w:p>
            <w:pPr>
              <w:spacing w:after="0"/>
              <w:rPr>
                <w:sz w:val="16"/>
                <w:szCs w:val="16"/>
                <w:color w:val="auto"/>
              </w:rPr>
            </w:pPr>
          </w:p>
        </w:tc>
      </w:tr>
      <w:tr>
        <w:trPr>
          <w:trHeight w:val="194"/>
        </w:trPr>
        <w:tc>
          <w:tcPr>
            <w:tcW w:w="4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Consulting and contracted research</w:t>
            </w:r>
          </w:p>
        </w:tc>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412</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66</w:t>
            </w:r>
          </w:p>
        </w:tc>
      </w:tr>
      <w:tr>
        <w:trPr>
          <w:trHeight w:val="194"/>
        </w:trPr>
        <w:tc>
          <w:tcPr>
            <w:tcW w:w="4840" w:type="dxa"/>
            <w:vAlign w:val="bottom"/>
          </w:tcPr>
          <w:p>
            <w:pPr>
              <w:spacing w:after="0" w:line="194" w:lineRule="exact"/>
              <w:rPr>
                <w:sz w:val="20"/>
                <w:szCs w:val="20"/>
                <w:color w:val="auto"/>
              </w:rPr>
            </w:pPr>
            <w:r>
              <w:rPr>
                <w:rFonts w:ascii="Arial" w:cs="Arial" w:eastAsia="Arial" w:hAnsi="Arial"/>
                <w:sz w:val="17"/>
                <w:szCs w:val="17"/>
                <w:color w:val="auto"/>
              </w:rPr>
              <w:t>Professional fees</w:t>
            </w: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93</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694</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7"/>
                <w:szCs w:val="17"/>
                <w:color w:val="auto"/>
              </w:rPr>
              <w:t>562</w:t>
            </w:r>
          </w:p>
        </w:tc>
        <w:tc>
          <w:tcPr>
            <w:tcW w:w="100" w:type="dxa"/>
            <w:vAlign w:val="bottom"/>
          </w:tcPr>
          <w:p>
            <w:pPr>
              <w:spacing w:after="0"/>
              <w:rPr>
                <w:sz w:val="16"/>
                <w:szCs w:val="16"/>
                <w:color w:val="auto"/>
              </w:rPr>
            </w:pPr>
          </w:p>
        </w:tc>
      </w:tr>
      <w:tr>
        <w:trPr>
          <w:trHeight w:val="194"/>
        </w:trPr>
        <w:tc>
          <w:tcPr>
            <w:tcW w:w="4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266</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6"/>
                <w:szCs w:val="16"/>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4840" w:type="dxa"/>
            <w:vAlign w:val="bottom"/>
          </w:tcPr>
          <w:p>
            <w:pPr>
              <w:ind w:left="300"/>
              <w:spacing w:after="0"/>
              <w:rPr>
                <w:sz w:val="20"/>
                <w:szCs w:val="20"/>
                <w:color w:val="auto"/>
              </w:rPr>
            </w:pPr>
            <w:r>
              <w:rPr>
                <w:rFonts w:ascii="Arial" w:cs="Arial" w:eastAsia="Arial" w:hAnsi="Arial"/>
                <w:sz w:val="17"/>
                <w:szCs w:val="17"/>
                <w:color w:val="auto"/>
              </w:rPr>
              <w:t>Total</w:t>
            </w:r>
          </w:p>
        </w:tc>
        <w:tc>
          <w:tcPr>
            <w:tcW w:w="3940" w:type="dxa"/>
            <w:vAlign w:val="bottom"/>
            <w:gridSpan w:val="2"/>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auto"/>
                <w:w w:val="93"/>
              </w:rPr>
              <w:t>2,181</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2,283</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2,149</w:t>
            </w:r>
          </w:p>
        </w:tc>
        <w:tc>
          <w:tcPr>
            <w:tcW w:w="10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4840" w:type="dxa"/>
            <w:vAlign w:val="bottom"/>
          </w:tcPr>
          <w:p>
            <w:pPr>
              <w:spacing w:after="0"/>
              <w:rPr>
                <w:sz w:val="24"/>
                <w:szCs w:val="24"/>
                <w:color w:val="auto"/>
              </w:rPr>
            </w:pPr>
          </w:p>
        </w:tc>
        <w:tc>
          <w:tcPr>
            <w:tcW w:w="3940" w:type="dxa"/>
            <w:vAlign w:val="bottom"/>
            <w:gridSpan w:val="2"/>
          </w:tcPr>
          <w:p>
            <w:pPr>
              <w:jc w:val="right"/>
              <w:ind w:right="2900"/>
              <w:spacing w:after="0"/>
              <w:rPr>
                <w:sz w:val="20"/>
                <w:szCs w:val="20"/>
                <w:color w:val="auto"/>
              </w:rPr>
            </w:pPr>
            <w:r>
              <w:rPr>
                <w:rFonts w:ascii="Arial" w:cs="Arial" w:eastAsia="Arial" w:hAnsi="Arial"/>
                <w:sz w:val="17"/>
                <w:szCs w:val="17"/>
                <w:color w:val="auto"/>
              </w:rPr>
              <w:t>F-15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Deferred Revenue:</w:t>
      </w:r>
    </w:p>
    <w:p>
      <w:pPr>
        <w:spacing w:after="0" w:line="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Company receives upfront payments under various research and collaboration agreements. In assessing the appropriate revenue recognition related to a collaboration agreement, the Company first determines whether an arrangement includes multiple elements, such as the delivery of intellectual property rights and research and development services. Upfront payments are recorded as deferred revenue in the balance sheet and are recognized as collaboration revenue over the estimated period of the research commitment that is consistent with the terms of the research and development obligations contained in the collaboration agreement. The Company periodically reviews the estimated period of performance based on the progress made under each arrangement. The full amount as of December 31, 2013 of $27,806 is expected to be realized as revenue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29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YEAR ENDING DECEMBER 31,</w:t>
            </w:r>
          </w:p>
        </w:tc>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19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2014</w:t>
            </w:r>
          </w:p>
        </w:tc>
        <w:tc>
          <w:tcPr>
            <w:tcW w:w="884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40"/>
              <w:spacing w:after="0" w:line="186" w:lineRule="exact"/>
              <w:rPr>
                <w:sz w:val="20"/>
                <w:szCs w:val="20"/>
                <w:color w:val="auto"/>
              </w:rPr>
            </w:pPr>
            <w:r>
              <w:rPr>
                <w:rFonts w:ascii="Arial" w:cs="Arial" w:eastAsia="Arial" w:hAnsi="Arial"/>
                <w:sz w:val="17"/>
                <w:szCs w:val="17"/>
                <w:color w:val="auto"/>
                <w:w w:val="92"/>
              </w:rPr>
              <w:t>15,920</w:t>
            </w:r>
          </w:p>
        </w:tc>
        <w:tc>
          <w:tcPr>
            <w:tcW w:w="120" w:type="dxa"/>
            <w:vAlign w:val="bottom"/>
            <w:shd w:val="clear" w:color="auto" w:fill="CCEEFF"/>
          </w:tcPr>
          <w:p>
            <w:pPr>
              <w:spacing w:after="0"/>
              <w:rPr>
                <w:sz w:val="16"/>
                <w:szCs w:val="16"/>
                <w:color w:val="auto"/>
              </w:rPr>
            </w:pPr>
          </w:p>
        </w:tc>
      </w:tr>
      <w:tr>
        <w:trPr>
          <w:trHeight w:val="199"/>
        </w:trPr>
        <w:tc>
          <w:tcPr>
            <w:tcW w:w="1920" w:type="dxa"/>
            <w:vAlign w:val="bottom"/>
          </w:tcPr>
          <w:p>
            <w:pPr>
              <w:spacing w:after="0" w:line="194" w:lineRule="exact"/>
              <w:rPr>
                <w:sz w:val="20"/>
                <w:szCs w:val="20"/>
                <w:color w:val="auto"/>
              </w:rPr>
            </w:pPr>
            <w:r>
              <w:rPr>
                <w:rFonts w:ascii="Arial" w:cs="Arial" w:eastAsia="Arial" w:hAnsi="Arial"/>
                <w:sz w:val="17"/>
                <w:szCs w:val="17"/>
                <w:color w:val="auto"/>
              </w:rPr>
              <w:t>2015</w:t>
            </w:r>
          </w:p>
        </w:tc>
        <w:tc>
          <w:tcPr>
            <w:tcW w:w="8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line="194" w:lineRule="exact"/>
              <w:rPr>
                <w:sz w:val="20"/>
                <w:szCs w:val="20"/>
                <w:color w:val="auto"/>
              </w:rPr>
            </w:pPr>
            <w:r>
              <w:rPr>
                <w:rFonts w:ascii="Arial" w:cs="Arial" w:eastAsia="Arial" w:hAnsi="Arial"/>
                <w:sz w:val="17"/>
                <w:szCs w:val="17"/>
                <w:color w:val="auto"/>
                <w:w w:val="92"/>
              </w:rPr>
              <w:t>11,886</w:t>
            </w:r>
          </w:p>
        </w:tc>
        <w:tc>
          <w:tcPr>
            <w:tcW w:w="120" w:type="dxa"/>
            <w:vAlign w:val="bottom"/>
          </w:tcPr>
          <w:p>
            <w:pPr>
              <w:spacing w:after="0"/>
              <w:rPr>
                <w:sz w:val="17"/>
                <w:szCs w:val="17"/>
                <w:color w:val="auto"/>
              </w:rPr>
            </w:pPr>
          </w:p>
        </w:tc>
      </w:tr>
      <w:tr>
        <w:trPr>
          <w:trHeight w:val="194"/>
        </w:trPr>
        <w:tc>
          <w:tcPr>
            <w:tcW w:w="19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Deferred revenue</w:t>
            </w:r>
          </w:p>
        </w:tc>
        <w:tc>
          <w:tcPr>
            <w:tcW w:w="88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27,806</w:t>
            </w:r>
          </w:p>
        </w:tc>
      </w:tr>
      <w:tr>
        <w:trPr>
          <w:trHeight w:val="20"/>
        </w:trPr>
        <w:tc>
          <w:tcPr>
            <w:tcW w:w="19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1"/>
        </w:trPr>
        <w:tc>
          <w:tcPr>
            <w:tcW w:w="192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Note Payable:</w:t>
      </w:r>
    </w:p>
    <w:p>
      <w:pPr>
        <w:spacing w:after="0" w:line="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November 2010, the Company entered into a collaboration and licensing agreement with Isis Pharmaceuticals, Inc. (“Isis”) to discover, develop and commercialize antisense drugs that target the hepcidin-hemojuvelin pathway. Upon signing the agreement, the Company issued a convertible promissory note to Isis as payment of an upfront fee of $1,500. The note accrued interest at 5% per annum, compounded annually with interest payable at the time the note became due and payable. At the option of the Company, the note was convertible into equity securities upon occurrence of certain events specified in the note. As the number of equity securities that the note payable was potentially convertible into was variable until the time of conversion, the note was classified as a financial liability and measured at its amortized cost.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2012, the note payable balance was comprised of the principal of $1,500 and accrued interest of $165.</w:t>
      </w:r>
    </w:p>
    <w:p>
      <w:pPr>
        <w:spacing w:after="0" w:line="114"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In June 2013, the Company repaid the promissory note in full in cash (together with accrued interest) for $1,701 in conjunction with the exercise of an option to exclusively license certain product rights under the collaboration with Isis.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Redeemable Convertible Preferred Shares:</w:t>
      </w:r>
    </w:p>
    <w:p>
      <w:pPr>
        <w:spacing w:after="0" w:line="70"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The rights and preferences of the shares of Series A, Series B and Series E convertible preferred shares (collectively, the “Redeemable Convertible Preferred Shares”) are as follows:</w:t>
      </w:r>
    </w:p>
    <w:p>
      <w:pPr>
        <w:spacing w:after="0" w:line="8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—Holders of Series A, Series B and Series E preferred shares are entitled to receive non-cumulative cash dividends, in preference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payable on the common shares, at a rate of 8% per annum of the issue price of the preferred share when and as declared by the Board, but only if any dividends are declared on the common shares. In addition, holders of the Series A, Series B and Series E preferred shares will be entitled to receive, when and as declared by the Board, dividends in an amount equal to any dividend per common share declared by the Board on the common shares multiplied by the number of common shares that would be issued in exchange for the Series A, Series B and Series E preferred shares upon conversion.</w:t>
      </w:r>
    </w:p>
    <w:p>
      <w:pPr>
        <w:spacing w:after="0" w:line="90"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—Each Series A, Series B, and Series E preferred share is convertible at any time at the option of the holder into common shares on a 1:1</w:t>
      </w:r>
      <w:r>
        <w:rPr>
          <w:rFonts w:ascii="Arial" w:cs="Arial" w:eastAsia="Arial" w:hAnsi="Arial"/>
          <w:sz w:val="17"/>
          <w:szCs w:val="17"/>
          <w:i w:val="1"/>
          <w:iCs w:val="1"/>
          <w:color w:val="auto"/>
        </w:rPr>
        <w:t xml:space="preserve"> </w:t>
      </w:r>
      <w:r>
        <w:rPr>
          <w:rFonts w:ascii="Arial" w:cs="Arial" w:eastAsia="Arial" w:hAnsi="Arial"/>
          <w:sz w:val="17"/>
          <w:szCs w:val="17"/>
          <w:color w:val="auto"/>
        </w:rPr>
        <w:t>basis, subject to certain adjustments for share splits, consolidations, share dividends, and, as applicable, following certain capital reorganizations or mergers or acquisitions with another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4"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Redeemable Convertible Preferred Shares (continued):</w:t>
      </w:r>
    </w:p>
    <w:p>
      <w:pPr>
        <w:spacing w:after="0" w:line="83"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company as well as certain adjustments based on whether any common shares have been issued during certain specified time periods at a price per share which is lower than certain threshold amounts as set forth in the articles. Each of the Series A, Series B and Series E preferred shares will automatically convert into common shares in connection with an IPO. The conversion rights associated with each of the Company’s Series E preferred shares will increase by 20% if the initial public offering price is below a certain price per share.</w:t>
      </w:r>
    </w:p>
    <w:p>
      <w:pPr>
        <w:spacing w:after="0" w:line="10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As part of a financing of additional Series E preferred shares in 2006, those Series E preferred shares held by shareholders prior to the March 31, 2006 financing received additional conversion rights. Upon 1:1 conversion of such Series E preferred shares to common shares, these conversion rights operate to allow such shareholders to receive an additional number of common shares (such additional number which is equal to the number of conversion rights each holds). As of both December 31, 2013 and June 30, 2014 (unaudited), a total of 327,557 conversion rights are attached to the Company’s Series E preferred shares.</w:t>
      </w:r>
    </w:p>
    <w:p>
      <w:pPr>
        <w:spacing w:after="0" w:line="93" w:lineRule="exact"/>
        <w:rPr>
          <w:sz w:val="20"/>
          <w:szCs w:val="20"/>
          <w:color w:val="auto"/>
        </w:rPr>
      </w:pPr>
    </w:p>
    <w:p>
      <w:pPr>
        <w:jc w:val="both"/>
        <w:ind w:right="60"/>
        <w:spacing w:after="0" w:line="252" w:lineRule="auto"/>
        <w:rPr>
          <w:sz w:val="20"/>
          <w:szCs w:val="20"/>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—At general meetings of the shareholders, each preferred shareholder is entitled to the number of votes that such shareholder would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if such preferred shares were converted to common shares. At meetings of the preferred class of shareholders or meetings of any series of the preferred class, each preferred shareholder is entitled to one vote.</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—Upon the liquidation, dissolution, reorganization or winding-up of the Company, holders of preferred shares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before any distribution or payment on the common shares, an amount equal to the amount such shareholder paid for such preferred shares, plus all declared, but unpaid, dividends (the “liquidation preference”). In cases where the liquidation preference applied, if there were insufficient funds to pay the full preference value to all holders, then, as a group, the holders of the preferred shares would be paid, ratably. To the extent there were excess assets to distribute, the holders of the preferred shares are entitled to a further distribution ratably along with the common shareholders. Dividends are payable only if and when declared. The Company has not declared any dividends through both December 31, 2013 and June 30, 2014 (unaudited).</w:t>
      </w:r>
    </w:p>
    <w:p>
      <w:pPr>
        <w:spacing w:after="0" w:line="77"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—There are certain redemption rights afforded the Series A, Series B and Series E preferred shares. Such preferred shares have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in the event of a change of control event such as a merger, acquisition or consolidation of the Company, or in the event of a sale, lease or other disposition of all or substantially all of the assets of the Company. Such events are not solely within the control of the Company, and therefore, the redeemable convertible preferred shares are classified outside of shareholders’ deficit.</w:t>
      </w:r>
    </w:p>
    <w:p>
      <w:pPr>
        <w:spacing w:after="0" w:line="86"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Retraction</w:t>
      </w:r>
      <w:r>
        <w:rPr>
          <w:rFonts w:ascii="Arial" w:cs="Arial" w:eastAsia="Arial" w:hAnsi="Arial"/>
          <w:sz w:val="17"/>
          <w:szCs w:val="17"/>
          <w:color w:val="auto"/>
        </w:rPr>
        <w:t>—The Company has the right to redeem Series A preferred shares at a redemption price equal to the greater of the fair market value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preferred share and the amount paid by such shareholder together with an amount equal to the cumulative annual yield calculated since the date of issuance of such shares at the rate of 8% per annum on the amount paid up thereon.</w:t>
      </w:r>
    </w:p>
    <w:p>
      <w:pPr>
        <w:spacing w:after="0" w:line="99" w:lineRule="exact"/>
        <w:rPr>
          <w:sz w:val="20"/>
          <w:szCs w:val="20"/>
          <w:color w:val="auto"/>
        </w:rPr>
      </w:pPr>
    </w:p>
    <w:p>
      <w:pPr>
        <w:ind w:right="740"/>
        <w:spacing w:after="0" w:line="245" w:lineRule="auto"/>
        <w:rPr>
          <w:sz w:val="20"/>
          <w:szCs w:val="20"/>
          <w:color w:val="auto"/>
        </w:rPr>
      </w:pPr>
      <w:r>
        <w:rPr>
          <w:rFonts w:ascii="Arial" w:cs="Arial" w:eastAsia="Arial" w:hAnsi="Arial"/>
          <w:sz w:val="17"/>
          <w:szCs w:val="17"/>
          <w:color w:val="auto"/>
        </w:rPr>
        <w:t>The Company has also authorized 4,620 Series C preferred shares and 9,376 Series D preferred shares. No Series C or D preferred shares are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Subscription Rights:</w:t>
      </w:r>
    </w:p>
    <w:p>
      <w:pPr>
        <w:spacing w:after="0" w:line="70"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At December 31, 2013, the Company had 13,364 (December 31, 2012—11,191) subscription rights outstanding to Genome BC (See Note 14(f)). During the year ended December 31, 2013, 5,602 (2012—6,472, 2011—646) subscription rights were converted by Genome BC to an equal number of common shares.</w:t>
      </w:r>
    </w:p>
    <w:p>
      <w:pPr>
        <w:spacing w:after="0" w:line="108"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During the six months ended June 30, 2014, no additional subscription rights were issued to Genome BC and 2,704 subscription rights were converted to an equal number of common shares, thus leaving 10,660 subscription rights outstanding to Genome BC as of June 30, 2014 (unaudited).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4"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Subscription Rights (continued):</w:t>
      </w:r>
    </w:p>
    <w:p>
      <w:pPr>
        <w:spacing w:after="0" w:line="83"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exchange for research funding provided by Genome BC, the Company agreed to provide Genome BC with subscription rights on a quarterly basis (in arrears) equal to one-half of the Genome BC funding amount divided by the greatest of the following: (i) CAD$51.71; (ii) the converted U.S. dollar share price; and (iii) the most recent issue price of common shares by the Company. The subscription rights are automatically exchangeable into common shares of the Company on a 1:1 basis on a date three years after the subscription right is issued without additional cash consideration being paid by Genome BC. In the event of an IPO, sale or liquidation of the Company, the remaining subscription rights would be automatically exchanged for common shares immediately prior to such event.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Option Plan:</w:t>
      </w:r>
    </w:p>
    <w:p>
      <w:pPr>
        <w:spacing w:after="0" w:line="70" w:lineRule="exact"/>
        <w:rPr>
          <w:sz w:val="20"/>
          <w:szCs w:val="20"/>
          <w:color w:val="auto"/>
        </w:rPr>
      </w:pPr>
    </w:p>
    <w:p>
      <w:pPr>
        <w:jc w:val="both"/>
        <w:ind w:right="640"/>
        <w:spacing w:after="0" w:line="241" w:lineRule="auto"/>
        <w:rPr>
          <w:sz w:val="20"/>
          <w:szCs w:val="20"/>
          <w:color w:val="auto"/>
        </w:rPr>
      </w:pPr>
      <w:r>
        <w:rPr>
          <w:rFonts w:ascii="Arial" w:cs="Arial" w:eastAsia="Arial" w:hAnsi="Arial"/>
          <w:sz w:val="17"/>
          <w:szCs w:val="17"/>
          <w:color w:val="auto"/>
        </w:rPr>
        <w:t>The Company has a stock option incentive plan (the “Plan”) that provides for the Company to grant options for the purchase of common shares to directors, officers, employees and service providers, with vesting occurring on a graduated basis over a four-year period or less. Options may be exercised over a term of ten years.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2012, the Company was authorized to grant up to 1,344,028 options under the Plan. In January 2013, the Plan was amended and restated to increase the maximum number of options under the Plan to 1,517,147. In November 2013, the Plan was further amended and restated to increase the maximum number of options under the Plan to 1,604,938. The Plan is administered by the Company’s board of directors and exercise prices, vesting and other restrictions are all determined at their discretion.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9"/>
              </w:rPr>
              <w:t>WEIGHTED-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6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WEIGHTED-AVERAGE</w:t>
            </w:r>
          </w:p>
        </w:tc>
        <w:tc>
          <w:tcPr>
            <w:tcW w:w="1600" w:type="dxa"/>
            <w:vAlign w:val="bottom"/>
            <w:gridSpan w:val="2"/>
          </w:tcPr>
          <w:p>
            <w:pPr>
              <w:jc w:val="center"/>
              <w:ind w:right="580"/>
              <w:spacing w:after="0" w:line="142" w:lineRule="exact"/>
              <w:rPr>
                <w:sz w:val="20"/>
                <w:szCs w:val="20"/>
                <w:color w:val="auto"/>
              </w:rPr>
            </w:pPr>
            <w:r>
              <w:rPr>
                <w:rFonts w:ascii="Arial" w:cs="Arial" w:eastAsia="Arial" w:hAnsi="Arial"/>
                <w:sz w:val="13"/>
                <w:szCs w:val="13"/>
                <w:b w:val="1"/>
                <w:bCs w:val="1"/>
                <w:color w:val="auto"/>
                <w:w w:val="96"/>
              </w:rPr>
              <w:t>AVERAGE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60" w:type="dxa"/>
            <w:vAlign w:val="bottom"/>
            <w:gridSpan w:val="4"/>
            <w:vMerge w:val="continue"/>
          </w:tcPr>
          <w:p>
            <w:pPr>
              <w:spacing w:after="0"/>
              <w:rPr>
                <w:sz w:val="11"/>
                <w:szCs w:val="11"/>
                <w:color w:val="auto"/>
              </w:rPr>
            </w:pPr>
          </w:p>
        </w:tc>
        <w:tc>
          <w:tcPr>
            <w:tcW w:w="1600" w:type="dxa"/>
            <w:vAlign w:val="bottom"/>
            <w:gridSpan w:val="2"/>
          </w:tcPr>
          <w:p>
            <w:pPr>
              <w:jc w:val="center"/>
              <w:ind w:right="580"/>
              <w:spacing w:after="0" w:line="113" w:lineRule="exact"/>
              <w:rPr>
                <w:sz w:val="20"/>
                <w:szCs w:val="20"/>
                <w:color w:val="auto"/>
              </w:rPr>
            </w:pPr>
            <w:r>
              <w:rPr>
                <w:rFonts w:ascii="Arial" w:cs="Arial" w:eastAsia="Arial" w:hAnsi="Arial"/>
                <w:sz w:val="13"/>
                <w:szCs w:val="13"/>
                <w:b w:val="1"/>
                <w:bCs w:val="1"/>
                <w:color w:val="auto"/>
                <w:w w:val="99"/>
              </w:rPr>
              <w:t>REMAINING</w:t>
            </w:r>
          </w:p>
        </w:tc>
        <w:tc>
          <w:tcPr>
            <w:tcW w:w="920" w:type="dxa"/>
            <w:vAlign w:val="bottom"/>
            <w:gridSpan w:val="2"/>
          </w:tcPr>
          <w:p>
            <w:pPr>
              <w:jc w:val="center"/>
              <w:ind w:right="100"/>
              <w:spacing w:after="0" w:line="113" w:lineRule="exact"/>
              <w:rPr>
                <w:sz w:val="20"/>
                <w:szCs w:val="20"/>
                <w:color w:val="auto"/>
              </w:rPr>
            </w:pPr>
            <w:r>
              <w:rPr>
                <w:rFonts w:ascii="Arial" w:cs="Arial" w:eastAsia="Arial" w:hAnsi="Arial"/>
                <w:sz w:val="13"/>
                <w:szCs w:val="13"/>
                <w:b w:val="1"/>
                <w:bCs w:val="1"/>
                <w:color w:val="auto"/>
                <w:w w:val="97"/>
              </w:rPr>
              <w:t>AGGREGATE</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gridSpan w:val="2"/>
          </w:tcPr>
          <w:p>
            <w:pPr>
              <w:jc w:val="right"/>
              <w:ind w:right="600"/>
              <w:spacing w:after="0" w:line="131" w:lineRule="exact"/>
              <w:rPr>
                <w:sz w:val="20"/>
                <w:szCs w:val="20"/>
                <w:color w:val="auto"/>
              </w:rPr>
            </w:pPr>
            <w:r>
              <w:rPr>
                <w:rFonts w:ascii="Arial" w:cs="Arial" w:eastAsia="Arial" w:hAnsi="Arial"/>
                <w:sz w:val="13"/>
                <w:szCs w:val="13"/>
                <w:b w:val="1"/>
                <w:bCs w:val="1"/>
                <w:color w:val="auto"/>
                <w:w w:val="98"/>
              </w:rPr>
              <w:t>CONTRACTUAL</w:t>
            </w:r>
          </w:p>
        </w:tc>
        <w:tc>
          <w:tcPr>
            <w:tcW w:w="9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00" w:type="dxa"/>
            <w:vAlign w:val="bottom"/>
            <w:gridSpan w:val="2"/>
          </w:tcPr>
          <w:p>
            <w:pPr>
              <w:jc w:val="right"/>
              <w:ind w:right="600"/>
              <w:spacing w:after="0" w:line="142" w:lineRule="exact"/>
              <w:rPr>
                <w:sz w:val="20"/>
                <w:szCs w:val="20"/>
                <w:color w:val="auto"/>
              </w:rPr>
            </w:pPr>
            <w:r>
              <w:rPr>
                <w:rFonts w:ascii="Arial" w:cs="Arial" w:eastAsia="Arial" w:hAnsi="Arial"/>
                <w:sz w:val="13"/>
                <w:szCs w:val="13"/>
                <w:b w:val="1"/>
                <w:bCs w:val="1"/>
                <w:color w:val="auto"/>
                <w:w w:val="99"/>
              </w:rPr>
              <w:t>NUMBER OF</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00"/>
              <w:spacing w:after="0" w:line="142" w:lineRule="exact"/>
              <w:rPr>
                <w:sz w:val="20"/>
                <w:szCs w:val="20"/>
                <w:color w:val="auto"/>
              </w:rPr>
            </w:pPr>
            <w:r>
              <w:rPr>
                <w:rFonts w:ascii="Arial" w:cs="Arial" w:eastAsia="Arial" w:hAnsi="Arial"/>
                <w:sz w:val="13"/>
                <w:szCs w:val="13"/>
                <w:b w:val="1"/>
                <w:bCs w:val="1"/>
                <w:color w:val="auto"/>
                <w:w w:val="99"/>
              </w:rPr>
              <w:t>LIFE</w:t>
            </w: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w w:val="95"/>
              </w:rPr>
              <w:t>VALUE</w:t>
            </w:r>
          </w:p>
        </w:tc>
        <w:tc>
          <w:tcPr>
            <w:tcW w:w="0" w:type="dxa"/>
            <w:vAlign w:val="bottom"/>
          </w:tcPr>
          <w:p>
            <w:pPr>
              <w:spacing w:after="0"/>
              <w:rPr>
                <w:sz w:val="1"/>
                <w:szCs w:val="1"/>
                <w:color w:val="auto"/>
              </w:rPr>
            </w:pPr>
          </w:p>
        </w:tc>
      </w:tr>
      <w:tr>
        <w:trPr>
          <w:trHeight w:val="159"/>
        </w:trPr>
        <w:tc>
          <w:tcPr>
            <w:tcW w:w="5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OPTIONS</w:t>
            </w:r>
          </w:p>
        </w:tc>
        <w:tc>
          <w:tcPr>
            <w:tcW w:w="6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CAD$</w:t>
            </w:r>
          </w:p>
        </w:tc>
        <w:tc>
          <w:tcPr>
            <w:tcW w:w="6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U.S.$</w:t>
            </w:r>
          </w:p>
        </w:tc>
        <w:tc>
          <w:tcPr>
            <w:tcW w:w="5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(YEARS)</w:t>
            </w:r>
          </w:p>
        </w:tc>
        <w:tc>
          <w:tcPr>
            <w:tcW w:w="6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1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January 1, 2012</w:t>
            </w: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1,059,510</w:t>
            </w:r>
          </w:p>
        </w:tc>
        <w:tc>
          <w:tcPr>
            <w:tcW w:w="6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0"/>
              <w:spacing w:after="0" w:line="186" w:lineRule="exact"/>
              <w:rPr>
                <w:sz w:val="20"/>
                <w:szCs w:val="20"/>
                <w:color w:val="auto"/>
              </w:rPr>
            </w:pPr>
            <w:r>
              <w:rPr>
                <w:rFonts w:ascii="Arial" w:cs="Arial" w:eastAsia="Arial" w:hAnsi="Arial"/>
                <w:sz w:val="17"/>
                <w:szCs w:val="17"/>
                <w:color w:val="auto"/>
              </w:rPr>
              <w:t>4.27</w:t>
            </w:r>
          </w:p>
        </w:tc>
        <w:tc>
          <w:tcPr>
            <w:tcW w:w="1200" w:type="dxa"/>
            <w:vAlign w:val="bottom"/>
            <w:gridSpan w:val="2"/>
            <w:shd w:val="clear" w:color="auto" w:fill="CCEEFF"/>
          </w:tcPr>
          <w:p>
            <w:pPr>
              <w:jc w:val="right"/>
              <w:ind w:right="580"/>
              <w:spacing w:after="0" w:line="186" w:lineRule="exact"/>
              <w:rPr>
                <w:sz w:val="20"/>
                <w:szCs w:val="20"/>
                <w:color w:val="auto"/>
              </w:rPr>
            </w:pPr>
            <w:r>
              <w:rPr>
                <w:rFonts w:ascii="Arial" w:cs="Arial" w:eastAsia="Arial" w:hAnsi="Arial"/>
                <w:sz w:val="17"/>
                <w:szCs w:val="17"/>
                <w:color w:val="auto"/>
              </w:rPr>
              <w:t>4.22</w:t>
            </w:r>
          </w:p>
        </w:tc>
        <w:tc>
          <w:tcPr>
            <w:tcW w:w="1600" w:type="dxa"/>
            <w:vAlign w:val="bottom"/>
            <w:gridSpan w:val="2"/>
            <w:shd w:val="clear" w:color="auto" w:fill="CCEEFF"/>
          </w:tcPr>
          <w:p>
            <w:pPr>
              <w:jc w:val="right"/>
              <w:ind w:right="600"/>
              <w:spacing w:after="0" w:line="186" w:lineRule="exact"/>
              <w:rPr>
                <w:sz w:val="20"/>
                <w:szCs w:val="20"/>
                <w:color w:val="auto"/>
              </w:rPr>
            </w:pPr>
            <w:r>
              <w:rPr>
                <w:rFonts w:ascii="Arial" w:cs="Arial" w:eastAsia="Arial" w:hAnsi="Arial"/>
                <w:sz w:val="17"/>
                <w:szCs w:val="17"/>
                <w:color w:val="auto"/>
              </w:rPr>
              <w:t>6.07</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40" w:type="dxa"/>
            <w:vAlign w:val="bottom"/>
          </w:tcPr>
          <w:p>
            <w:pPr>
              <w:spacing w:after="0"/>
              <w:rPr>
                <w:sz w:val="20"/>
                <w:szCs w:val="20"/>
                <w:color w:val="auto"/>
              </w:rPr>
            </w:pPr>
            <w:r>
              <w:rPr>
                <w:rFonts w:ascii="Arial" w:cs="Arial" w:eastAsia="Arial" w:hAnsi="Arial"/>
                <w:sz w:val="17"/>
                <w:szCs w:val="17"/>
                <w:color w:val="auto"/>
              </w:rPr>
              <w:t>Granted</w:t>
            </w:r>
          </w:p>
        </w:tc>
        <w:tc>
          <w:tcPr>
            <w:tcW w:w="800" w:type="dxa"/>
            <w:vAlign w:val="bottom"/>
          </w:tcPr>
          <w:p>
            <w:pPr>
              <w:jc w:val="right"/>
              <w:spacing w:after="0"/>
              <w:rPr>
                <w:sz w:val="20"/>
                <w:szCs w:val="20"/>
                <w:color w:val="auto"/>
              </w:rPr>
            </w:pPr>
            <w:r>
              <w:rPr>
                <w:rFonts w:ascii="Arial" w:cs="Arial" w:eastAsia="Arial" w:hAnsi="Arial"/>
                <w:sz w:val="17"/>
                <w:szCs w:val="17"/>
                <w:color w:val="auto"/>
              </w:rPr>
              <w:t>150,102</w:t>
            </w:r>
          </w:p>
        </w:tc>
        <w:tc>
          <w:tcPr>
            <w:tcW w:w="60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3.64</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3.64</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Forfeited and expired</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(81,175)</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5.24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5.24</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Arial" w:cs="Arial" w:eastAsia="Arial" w:hAnsi="Arial"/>
                <w:sz w:val="17"/>
                <w:szCs w:val="17"/>
                <w:color w:val="auto"/>
              </w:rPr>
              <w:t>Outstanding, December 31, 2012</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1,128,437</w:t>
            </w:r>
          </w:p>
        </w:tc>
        <w:tc>
          <w:tcPr>
            <w:tcW w:w="6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4.13</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4.17</w:t>
            </w:r>
          </w:p>
        </w:tc>
        <w:tc>
          <w:tcPr>
            <w:tcW w:w="1600" w:type="dxa"/>
            <w:vAlign w:val="bottom"/>
            <w:gridSpan w:val="2"/>
          </w:tcPr>
          <w:p>
            <w:pPr>
              <w:jc w:val="right"/>
              <w:ind w:right="600"/>
              <w:spacing w:after="0"/>
              <w:rPr>
                <w:sz w:val="20"/>
                <w:szCs w:val="20"/>
                <w:color w:val="auto"/>
              </w:rPr>
            </w:pPr>
            <w:r>
              <w:rPr>
                <w:rFonts w:ascii="Arial" w:cs="Arial" w:eastAsia="Arial" w:hAnsi="Arial"/>
                <w:sz w:val="17"/>
                <w:szCs w:val="17"/>
                <w:color w:val="auto"/>
              </w:rPr>
              <w:t>5.81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292,413</w:t>
            </w:r>
          </w:p>
        </w:tc>
        <w:tc>
          <w:tcPr>
            <w:tcW w:w="6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3.74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3.64</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spacing w:after="0"/>
              <w:rPr>
                <w:sz w:val="20"/>
                <w:szCs w:val="20"/>
                <w:color w:val="auto"/>
              </w:rPr>
            </w:pPr>
            <w:r>
              <w:rPr>
                <w:rFonts w:ascii="Arial" w:cs="Arial" w:eastAsia="Arial" w:hAnsi="Arial"/>
                <w:sz w:val="17"/>
                <w:szCs w:val="17"/>
                <w:color w:val="auto"/>
              </w:rPr>
              <w:t>Exercised</w:t>
            </w:r>
          </w:p>
        </w:tc>
        <w:tc>
          <w:tcPr>
            <w:tcW w:w="1400" w:type="dxa"/>
            <w:vAlign w:val="bottom"/>
            <w:gridSpan w:val="2"/>
          </w:tcPr>
          <w:p>
            <w:pPr>
              <w:jc w:val="right"/>
              <w:ind w:right="540"/>
              <w:spacing w:after="0"/>
              <w:rPr>
                <w:sz w:val="20"/>
                <w:szCs w:val="20"/>
                <w:color w:val="auto"/>
              </w:rPr>
            </w:pPr>
            <w:r>
              <w:rPr>
                <w:rFonts w:ascii="Arial" w:cs="Arial" w:eastAsia="Arial" w:hAnsi="Arial"/>
                <w:sz w:val="17"/>
                <w:szCs w:val="17"/>
                <w:color w:val="auto"/>
              </w:rPr>
              <w:t>(8,329)</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6.07</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5.88</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Forfeited and expired</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(79,422)</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4.90</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4.76</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Arial" w:cs="Arial" w:eastAsia="Arial" w:hAnsi="Arial"/>
                <w:sz w:val="17"/>
                <w:szCs w:val="17"/>
                <w:color w:val="auto"/>
              </w:rPr>
              <w:t>Outstanding, December 31, 2013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1,333,099</w:t>
            </w:r>
          </w:p>
        </w:tc>
        <w:tc>
          <w:tcPr>
            <w:tcW w:w="6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3.98</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3.88</w:t>
            </w:r>
          </w:p>
        </w:tc>
        <w:tc>
          <w:tcPr>
            <w:tcW w:w="1600" w:type="dxa"/>
            <w:vAlign w:val="bottom"/>
            <w:gridSpan w:val="2"/>
          </w:tcPr>
          <w:p>
            <w:pPr>
              <w:jc w:val="right"/>
              <w:ind w:right="600"/>
              <w:spacing w:after="0"/>
              <w:rPr>
                <w:sz w:val="20"/>
                <w:szCs w:val="20"/>
                <w:color w:val="auto"/>
              </w:rPr>
            </w:pPr>
            <w:r>
              <w:rPr>
                <w:rFonts w:ascii="Arial" w:cs="Arial" w:eastAsia="Arial" w:hAnsi="Arial"/>
                <w:sz w:val="17"/>
                <w:szCs w:val="17"/>
                <w:color w:val="auto"/>
              </w:rPr>
              <w:t>5.80</w:t>
            </w:r>
          </w:p>
        </w:tc>
        <w:tc>
          <w:tcPr>
            <w:tcW w:w="820" w:type="dxa"/>
            <w:vAlign w:val="bottom"/>
          </w:tcPr>
          <w:p>
            <w:pPr>
              <w:jc w:val="right"/>
              <w:spacing w:after="0"/>
              <w:rPr>
                <w:sz w:val="20"/>
                <w:szCs w:val="20"/>
                <w:color w:val="auto"/>
              </w:rPr>
            </w:pPr>
            <w:r>
              <w:rPr>
                <w:rFonts w:ascii="Arial" w:cs="Arial" w:eastAsia="Arial" w:hAnsi="Arial"/>
                <w:sz w:val="17"/>
                <w:szCs w:val="17"/>
                <w:color w:val="auto"/>
              </w:rPr>
              <w:t>8,300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157,231</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tcPr>
          <w:p>
            <w:pPr>
              <w:spacing w:after="0"/>
              <w:rPr>
                <w:sz w:val="20"/>
                <w:szCs w:val="20"/>
                <w:color w:val="auto"/>
              </w:rPr>
            </w:pPr>
            <w:r>
              <w:rPr>
                <w:rFonts w:ascii="Arial" w:cs="Arial" w:eastAsia="Arial" w:hAnsi="Arial"/>
                <w:sz w:val="17"/>
                <w:szCs w:val="17"/>
                <w:color w:val="auto"/>
              </w:rPr>
              <w:t>Exercised</w:t>
            </w:r>
          </w:p>
        </w:tc>
        <w:tc>
          <w:tcPr>
            <w:tcW w:w="1400" w:type="dxa"/>
            <w:vAlign w:val="bottom"/>
            <w:gridSpan w:val="2"/>
          </w:tcPr>
          <w:p>
            <w:pPr>
              <w:jc w:val="right"/>
              <w:ind w:right="540"/>
              <w:spacing w:after="0"/>
              <w:rPr>
                <w:sz w:val="20"/>
                <w:szCs w:val="20"/>
                <w:color w:val="auto"/>
              </w:rPr>
            </w:pPr>
            <w:r>
              <w:rPr>
                <w:rFonts w:ascii="Arial" w:cs="Arial" w:eastAsia="Arial" w:hAnsi="Arial"/>
                <w:sz w:val="17"/>
                <w:szCs w:val="17"/>
                <w:color w:val="auto"/>
              </w:rPr>
              <w:t>(772)</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6.07</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5.68</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Forfeited and expired</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(46,817)</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6.12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5.73</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Arial" w:cs="Arial" w:eastAsia="Arial" w:hAnsi="Arial"/>
                <w:sz w:val="17"/>
                <w:szCs w:val="17"/>
                <w:color w:val="auto"/>
              </w:rPr>
              <w:t>Outstanding, June 30, 2014 (unaudited)</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1,442,741</w:t>
            </w:r>
          </w:p>
        </w:tc>
        <w:tc>
          <w:tcPr>
            <w:tcW w:w="6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4.66</w:t>
            </w:r>
          </w:p>
        </w:tc>
        <w:tc>
          <w:tcPr>
            <w:tcW w:w="1200" w:type="dxa"/>
            <w:vAlign w:val="bottom"/>
            <w:gridSpan w:val="2"/>
          </w:tcPr>
          <w:p>
            <w:pPr>
              <w:jc w:val="right"/>
              <w:ind w:right="580"/>
              <w:spacing w:after="0"/>
              <w:rPr>
                <w:sz w:val="20"/>
                <w:szCs w:val="20"/>
                <w:color w:val="auto"/>
              </w:rPr>
            </w:pPr>
            <w:r>
              <w:rPr>
                <w:rFonts w:ascii="Arial" w:cs="Arial" w:eastAsia="Arial" w:hAnsi="Arial"/>
                <w:sz w:val="17"/>
                <w:szCs w:val="17"/>
                <w:color w:val="auto"/>
              </w:rPr>
              <w:t>4.37</w:t>
            </w:r>
          </w:p>
        </w:tc>
        <w:tc>
          <w:tcPr>
            <w:tcW w:w="1600" w:type="dxa"/>
            <w:vAlign w:val="bottom"/>
            <w:gridSpan w:val="2"/>
          </w:tcPr>
          <w:p>
            <w:pPr>
              <w:jc w:val="right"/>
              <w:ind w:right="600"/>
              <w:spacing w:after="0"/>
              <w:rPr>
                <w:sz w:val="20"/>
                <w:szCs w:val="20"/>
                <w:color w:val="auto"/>
              </w:rPr>
            </w:pPr>
            <w:r>
              <w:rPr>
                <w:rFonts w:ascii="Arial" w:cs="Arial" w:eastAsia="Arial" w:hAnsi="Arial"/>
                <w:sz w:val="17"/>
                <w:szCs w:val="17"/>
                <w:color w:val="auto"/>
              </w:rPr>
              <w:t>6.05</w:t>
            </w:r>
          </w:p>
        </w:tc>
        <w:tc>
          <w:tcPr>
            <w:tcW w:w="820" w:type="dxa"/>
            <w:vAlign w:val="bottom"/>
          </w:tcPr>
          <w:p>
            <w:pPr>
              <w:jc w:val="right"/>
              <w:spacing w:after="0"/>
              <w:rPr>
                <w:sz w:val="20"/>
                <w:szCs w:val="20"/>
                <w:color w:val="auto"/>
              </w:rPr>
            </w:pPr>
            <w:r>
              <w:rPr>
                <w:rFonts w:ascii="Arial" w:cs="Arial" w:eastAsia="Arial" w:hAnsi="Arial"/>
                <w:sz w:val="17"/>
                <w:szCs w:val="17"/>
                <w:color w:val="auto"/>
              </w:rPr>
              <w:t>8,617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Exercisable as of June 30, 2014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1,034,518</w:t>
            </w:r>
          </w:p>
        </w:tc>
        <w:tc>
          <w:tcPr>
            <w:tcW w:w="6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3.88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3.64</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8"/>
        </w:trPr>
        <w:tc>
          <w:tcPr>
            <w:tcW w:w="514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F-18</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Option Plan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stock options outstanding and exercisable at December 31, 2012 and 2013, and June 30, 2014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3"/>
                <w:szCs w:val="13"/>
                <w:b w:val="1"/>
                <w:bCs w:val="1"/>
                <w:color w:val="auto"/>
              </w:rPr>
              <w:t>OPTIONS OUTSTANDING</w:t>
            </w: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34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OPTIONS EXERCISABLE</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5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tcPr>
          <w:p>
            <w:pPr>
              <w:jc w:val="center"/>
              <w:ind w:right="440"/>
              <w:spacing w:after="0" w:line="118" w:lineRule="exact"/>
              <w:rPr>
                <w:sz w:val="20"/>
                <w:szCs w:val="20"/>
                <w:color w:val="auto"/>
              </w:rPr>
            </w:pPr>
            <w:r>
              <w:rPr>
                <w:rFonts w:ascii="Arial" w:cs="Arial" w:eastAsia="Arial" w:hAnsi="Arial"/>
                <w:sz w:val="13"/>
                <w:szCs w:val="13"/>
                <w:b w:val="1"/>
                <w:bCs w:val="1"/>
                <w:color w:val="auto"/>
                <w:w w:val="99"/>
              </w:rPr>
              <w:t>WEIGHTED</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40"/>
              <w:spacing w:after="0" w:line="142" w:lineRule="exact"/>
              <w:rPr>
                <w:sz w:val="20"/>
                <w:szCs w:val="20"/>
                <w:color w:val="auto"/>
              </w:rPr>
            </w:pPr>
            <w:r>
              <w:rPr>
                <w:rFonts w:ascii="Arial" w:cs="Arial" w:eastAsia="Arial" w:hAnsi="Arial"/>
                <w:sz w:val="13"/>
                <w:szCs w:val="13"/>
                <w:b w:val="1"/>
                <w:bCs w:val="1"/>
                <w:color w:val="auto"/>
                <w:w w:val="96"/>
              </w:rPr>
              <w:t>AVERAGE</w:t>
            </w:r>
          </w:p>
        </w:tc>
        <w:tc>
          <w:tcPr>
            <w:tcW w:w="2180" w:type="dxa"/>
            <w:vAlign w:val="bottom"/>
            <w:gridSpan w:val="4"/>
            <w:vMerge w:val="restart"/>
          </w:tcPr>
          <w:p>
            <w:pPr>
              <w:jc w:val="right"/>
              <w:ind w:right="620"/>
              <w:spacing w:after="0"/>
              <w:rPr>
                <w:sz w:val="20"/>
                <w:szCs w:val="20"/>
                <w:color w:val="auto"/>
              </w:rPr>
            </w:pPr>
            <w:r>
              <w:rPr>
                <w:rFonts w:ascii="Arial" w:cs="Arial" w:eastAsia="Arial" w:hAnsi="Arial"/>
                <w:sz w:val="13"/>
                <w:szCs w:val="13"/>
                <w:b w:val="1"/>
                <w:bCs w:val="1"/>
                <w:color w:val="auto"/>
              </w:rPr>
              <w:t>WEIGHTED AVERAGE</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gridSpan w:val="4"/>
            <w:vMerge w:val="restart"/>
          </w:tcPr>
          <w:p>
            <w:pPr>
              <w:jc w:val="right"/>
              <w:ind w:right="300"/>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33"/>
        </w:trPr>
        <w:tc>
          <w:tcPr>
            <w:tcW w:w="15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jc w:val="center"/>
              <w:ind w:right="440"/>
              <w:spacing w:after="0" w:line="133" w:lineRule="exact"/>
              <w:rPr>
                <w:sz w:val="20"/>
                <w:szCs w:val="20"/>
                <w:color w:val="auto"/>
              </w:rPr>
            </w:pPr>
            <w:r>
              <w:rPr>
                <w:rFonts w:ascii="Arial" w:cs="Arial" w:eastAsia="Arial" w:hAnsi="Arial"/>
                <w:sz w:val="13"/>
                <w:szCs w:val="13"/>
                <w:b w:val="1"/>
                <w:bCs w:val="1"/>
                <w:color w:val="auto"/>
                <w:w w:val="99"/>
              </w:rPr>
              <w:t>REMAINING</w:t>
            </w:r>
          </w:p>
        </w:tc>
        <w:tc>
          <w:tcPr>
            <w:tcW w:w="2180" w:type="dxa"/>
            <w:vAlign w:val="bottom"/>
            <w:gridSpan w:val="4"/>
            <w:vMerge w:val="continue"/>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OPTION</w:t>
            </w:r>
          </w:p>
        </w:tc>
        <w:tc>
          <w:tcPr>
            <w:tcW w:w="2180" w:type="dxa"/>
            <w:vAlign w:val="bottom"/>
            <w:gridSpan w:val="4"/>
          </w:tcPr>
          <w:p>
            <w:pPr>
              <w:jc w:val="right"/>
              <w:ind w:right="760"/>
              <w:spacing w:after="0"/>
              <w:rPr>
                <w:sz w:val="20"/>
                <w:szCs w:val="20"/>
                <w:color w:val="auto"/>
              </w:rPr>
            </w:pPr>
            <w:r>
              <w:rPr>
                <w:rFonts w:ascii="Arial" w:cs="Arial" w:eastAsia="Arial" w:hAnsi="Arial"/>
                <w:sz w:val="13"/>
                <w:szCs w:val="13"/>
                <w:b w:val="1"/>
                <w:bCs w:val="1"/>
                <w:color w:val="auto"/>
              </w:rPr>
              <w:t>EXERCISE PRICE</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6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18"/>
        </w:trPr>
        <w:tc>
          <w:tcPr>
            <w:tcW w:w="3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EXERCISE PRICES CAD $</w:t>
            </w:r>
          </w:p>
        </w:tc>
        <w:tc>
          <w:tcPr>
            <w:tcW w:w="1220" w:type="dxa"/>
            <w:vAlign w:val="bottom"/>
            <w:gridSpan w:val="2"/>
          </w:tcPr>
          <w:p>
            <w:pPr>
              <w:jc w:val="center"/>
              <w:ind w:right="440"/>
              <w:spacing w:after="0" w:line="118" w:lineRule="exact"/>
              <w:rPr>
                <w:sz w:val="20"/>
                <w:szCs w:val="20"/>
                <w:color w:val="auto"/>
              </w:rPr>
            </w:pPr>
            <w:r>
              <w:rPr>
                <w:rFonts w:ascii="Arial" w:cs="Arial" w:eastAsia="Arial" w:hAnsi="Arial"/>
                <w:sz w:val="13"/>
                <w:szCs w:val="13"/>
                <w:b w:val="1"/>
                <w:bCs w:val="1"/>
                <w:color w:val="auto"/>
                <w:w w:val="99"/>
              </w:rPr>
              <w:t>NUMBER OF</w:t>
            </w:r>
          </w:p>
        </w:tc>
        <w:tc>
          <w:tcPr>
            <w:tcW w:w="1180" w:type="dxa"/>
            <w:vAlign w:val="bottom"/>
            <w:gridSpan w:val="2"/>
          </w:tcPr>
          <w:p>
            <w:pPr>
              <w:jc w:val="center"/>
              <w:ind w:right="420"/>
              <w:spacing w:after="0" w:line="118" w:lineRule="exact"/>
              <w:rPr>
                <w:sz w:val="20"/>
                <w:szCs w:val="20"/>
                <w:color w:val="auto"/>
              </w:rPr>
            </w:pPr>
            <w:r>
              <w:rPr>
                <w:rFonts w:ascii="Arial" w:cs="Arial" w:eastAsia="Arial" w:hAnsi="Arial"/>
                <w:sz w:val="13"/>
                <w:szCs w:val="13"/>
                <w:b w:val="1"/>
                <w:bCs w:val="1"/>
                <w:color w:val="auto"/>
                <w:w w:val="99"/>
              </w:rPr>
              <w:t>LIFE</w:t>
            </w: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2"/>
          </w:tcPr>
          <w:p>
            <w:pPr>
              <w:jc w:val="right"/>
              <w:ind w:right="440"/>
              <w:spacing w:after="0" w:line="118" w:lineRule="exact"/>
              <w:rPr>
                <w:sz w:val="20"/>
                <w:szCs w:val="20"/>
                <w:color w:val="auto"/>
              </w:rPr>
            </w:pPr>
            <w:r>
              <w:rPr>
                <w:rFonts w:ascii="Arial" w:cs="Arial" w:eastAsia="Arial" w:hAnsi="Arial"/>
                <w:sz w:val="13"/>
                <w:szCs w:val="13"/>
                <w:b w:val="1"/>
                <w:bCs w:val="1"/>
                <w:color w:val="auto"/>
                <w:w w:val="99"/>
              </w:rPr>
              <w:t>NUMBER OF</w:t>
            </w:r>
          </w:p>
        </w:tc>
        <w:tc>
          <w:tcPr>
            <w:tcW w:w="6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740" w:type="dxa"/>
            <w:vAlign w:val="bottom"/>
            <w:gridSpan w:val="2"/>
            <w:vMerge w:val="continue"/>
          </w:tcPr>
          <w:p>
            <w:pPr>
              <w:spacing w:after="0"/>
              <w:rPr>
                <w:sz w:val="14"/>
                <w:szCs w:val="14"/>
                <w:color w:val="auto"/>
              </w:rPr>
            </w:pPr>
          </w:p>
        </w:tc>
        <w:tc>
          <w:tcPr>
            <w:tcW w:w="1220" w:type="dxa"/>
            <w:vAlign w:val="bottom"/>
            <w:gridSpan w:val="2"/>
          </w:tcPr>
          <w:p>
            <w:pPr>
              <w:jc w:val="center"/>
              <w:ind w:right="440"/>
              <w:spacing w:after="0" w:line="146" w:lineRule="exact"/>
              <w:rPr>
                <w:sz w:val="20"/>
                <w:szCs w:val="20"/>
                <w:color w:val="auto"/>
              </w:rPr>
            </w:pPr>
            <w:r>
              <w:rPr>
                <w:rFonts w:ascii="Arial" w:cs="Arial" w:eastAsia="Arial" w:hAnsi="Arial"/>
                <w:sz w:val="13"/>
                <w:szCs w:val="13"/>
                <w:b w:val="1"/>
                <w:bCs w:val="1"/>
                <w:color w:val="auto"/>
                <w:w w:val="99"/>
              </w:rPr>
              <w:t>OPTIONS</w:t>
            </w:r>
          </w:p>
        </w:tc>
        <w:tc>
          <w:tcPr>
            <w:tcW w:w="1180" w:type="dxa"/>
            <w:vAlign w:val="bottom"/>
            <w:gridSpan w:val="2"/>
          </w:tcPr>
          <w:p>
            <w:pPr>
              <w:jc w:val="center"/>
              <w:ind w:right="440"/>
              <w:spacing w:after="0" w:line="146" w:lineRule="exact"/>
              <w:rPr>
                <w:sz w:val="20"/>
                <w:szCs w:val="20"/>
                <w:color w:val="auto"/>
              </w:rPr>
            </w:pPr>
            <w:r>
              <w:rPr>
                <w:rFonts w:ascii="Arial" w:cs="Arial" w:eastAsia="Arial" w:hAnsi="Arial"/>
                <w:sz w:val="13"/>
                <w:szCs w:val="13"/>
                <w:b w:val="1"/>
                <w:bCs w:val="1"/>
                <w:color w:val="auto"/>
              </w:rPr>
              <w:t>(YEARS)</w:t>
            </w:r>
          </w:p>
        </w:tc>
        <w:tc>
          <w:tcPr>
            <w:tcW w:w="680" w:type="dxa"/>
            <w:vAlign w:val="bottom"/>
          </w:tcPr>
          <w:p>
            <w:pPr>
              <w:jc w:val="right"/>
              <w:ind w:right="79"/>
              <w:spacing w:after="0" w:line="146" w:lineRule="exact"/>
              <w:rPr>
                <w:sz w:val="20"/>
                <w:szCs w:val="20"/>
                <w:color w:val="auto"/>
              </w:rPr>
            </w:pPr>
            <w:r>
              <w:rPr>
                <w:rFonts w:ascii="Arial" w:cs="Arial" w:eastAsia="Arial" w:hAnsi="Arial"/>
                <w:sz w:val="13"/>
                <w:szCs w:val="13"/>
                <w:b w:val="1"/>
                <w:bCs w:val="1"/>
                <w:color w:val="auto"/>
              </w:rPr>
              <w:t>CAD $</w:t>
            </w:r>
          </w:p>
        </w:tc>
        <w:tc>
          <w:tcPr>
            <w:tcW w:w="420" w:type="dxa"/>
            <w:vAlign w:val="bottom"/>
          </w:tcPr>
          <w:p>
            <w:pPr>
              <w:spacing w:after="0"/>
              <w:rPr>
                <w:sz w:val="14"/>
                <w:szCs w:val="14"/>
                <w:color w:val="auto"/>
              </w:rPr>
            </w:pPr>
          </w:p>
        </w:tc>
        <w:tc>
          <w:tcPr>
            <w:tcW w:w="1080" w:type="dxa"/>
            <w:vAlign w:val="bottom"/>
            <w:gridSpan w:val="2"/>
          </w:tcPr>
          <w:p>
            <w:pPr>
              <w:jc w:val="right"/>
              <w:ind w:right="560"/>
              <w:spacing w:after="0" w:line="146" w:lineRule="exact"/>
              <w:rPr>
                <w:sz w:val="20"/>
                <w:szCs w:val="20"/>
                <w:color w:val="auto"/>
              </w:rPr>
            </w:pPr>
            <w:r>
              <w:rPr>
                <w:rFonts w:ascii="Arial" w:cs="Arial" w:eastAsia="Arial" w:hAnsi="Arial"/>
                <w:sz w:val="13"/>
                <w:szCs w:val="13"/>
                <w:b w:val="1"/>
                <w:bCs w:val="1"/>
                <w:color w:val="auto"/>
              </w:rPr>
              <w:t>U.S. $</w:t>
            </w:r>
          </w:p>
        </w:tc>
        <w:tc>
          <w:tcPr>
            <w:tcW w:w="1240" w:type="dxa"/>
            <w:vAlign w:val="bottom"/>
            <w:gridSpan w:val="2"/>
          </w:tcPr>
          <w:p>
            <w:pPr>
              <w:jc w:val="right"/>
              <w:ind w:right="540"/>
              <w:spacing w:after="0" w:line="146" w:lineRule="exact"/>
              <w:rPr>
                <w:sz w:val="20"/>
                <w:szCs w:val="20"/>
                <w:color w:val="auto"/>
              </w:rPr>
            </w:pPr>
            <w:r>
              <w:rPr>
                <w:rFonts w:ascii="Arial" w:cs="Arial" w:eastAsia="Arial" w:hAnsi="Arial"/>
                <w:sz w:val="13"/>
                <w:szCs w:val="13"/>
                <w:b w:val="1"/>
                <w:bCs w:val="1"/>
                <w:color w:val="auto"/>
              </w:rPr>
              <w:t>OPTIONS</w:t>
            </w:r>
          </w:p>
        </w:tc>
        <w:tc>
          <w:tcPr>
            <w:tcW w:w="110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CAD $</w:t>
            </w: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3"/>
                <w:szCs w:val="13"/>
                <w:b w:val="1"/>
                <w:bCs w:val="1"/>
                <w:color w:val="auto"/>
              </w:rPr>
              <w:t>U.S. $</w:t>
            </w:r>
          </w:p>
        </w:tc>
        <w:tc>
          <w:tcPr>
            <w:tcW w:w="0" w:type="dxa"/>
            <w:vAlign w:val="bottom"/>
          </w:tcPr>
          <w:p>
            <w:pPr>
              <w:spacing w:after="0"/>
              <w:rPr>
                <w:sz w:val="1"/>
                <w:szCs w:val="1"/>
                <w:color w:val="auto"/>
              </w:rPr>
            </w:pPr>
          </w:p>
        </w:tc>
      </w:tr>
      <w:tr>
        <w:trPr>
          <w:trHeight w:val="166"/>
        </w:trPr>
        <w:tc>
          <w:tcPr>
            <w:tcW w:w="156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7"/>
                <w:szCs w:val="17"/>
                <w:color w:val="auto"/>
              </w:rPr>
              <w:t>December 31, 2012</w:t>
            </w:r>
          </w:p>
        </w:tc>
        <w:tc>
          <w:tcPr>
            <w:tcW w:w="2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20"/>
                <w:szCs w:val="20"/>
                <w:color w:val="auto"/>
              </w:rPr>
            </w:pPr>
            <w:r>
              <w:rPr>
                <w:rFonts w:ascii="Arial" w:cs="Arial" w:eastAsia="Arial" w:hAnsi="Arial"/>
                <w:sz w:val="17"/>
                <w:szCs w:val="17"/>
                <w:color w:val="auto"/>
              </w:rPr>
              <w:t>2.67</w:t>
            </w:r>
          </w:p>
        </w:tc>
        <w:tc>
          <w:tcPr>
            <w:tcW w:w="218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color w:val="auto"/>
              </w:rPr>
              <w:t>14,043</w:t>
            </w: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9.76</w:t>
            </w:r>
          </w:p>
        </w:tc>
        <w:tc>
          <w:tcPr>
            <w:tcW w:w="680" w:type="dxa"/>
            <w:vAlign w:val="bottom"/>
          </w:tcPr>
          <w:p>
            <w:pPr>
              <w:jc w:val="right"/>
              <w:spacing w:after="0"/>
              <w:rPr>
                <w:sz w:val="20"/>
                <w:szCs w:val="20"/>
                <w:color w:val="auto"/>
              </w:rPr>
            </w:pPr>
            <w:r>
              <w:rPr>
                <w:rFonts w:ascii="Arial" w:cs="Arial" w:eastAsia="Arial" w:hAnsi="Arial"/>
                <w:sz w:val="17"/>
                <w:szCs w:val="17"/>
                <w:color w:val="auto"/>
              </w:rPr>
              <w:t>2.67</w:t>
            </w:r>
          </w:p>
        </w:tc>
        <w:tc>
          <w:tcPr>
            <w:tcW w:w="1500" w:type="dxa"/>
            <w:vAlign w:val="bottom"/>
            <w:gridSpan w:val="3"/>
          </w:tcPr>
          <w:p>
            <w:pPr>
              <w:jc w:val="right"/>
              <w:ind w:right="420"/>
              <w:spacing w:after="0"/>
              <w:rPr>
                <w:sz w:val="20"/>
                <w:szCs w:val="20"/>
                <w:color w:val="auto"/>
              </w:rPr>
            </w:pPr>
            <w:r>
              <w:rPr>
                <w:rFonts w:ascii="Arial" w:cs="Arial" w:eastAsia="Arial" w:hAnsi="Arial"/>
                <w:sz w:val="17"/>
                <w:szCs w:val="17"/>
                <w:color w:val="auto"/>
              </w:rPr>
              <w:t>2.67</w:t>
            </w:r>
          </w:p>
        </w:tc>
        <w:tc>
          <w:tcPr>
            <w:tcW w:w="12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3.74</w:t>
            </w:r>
          </w:p>
        </w:tc>
        <w:tc>
          <w:tcPr>
            <w:tcW w:w="2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906,185</w:t>
            </w: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6.76</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3.74</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3.74</w:t>
            </w:r>
          </w:p>
        </w:tc>
        <w:tc>
          <w:tcPr>
            <w:tcW w:w="12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643,682</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3.74</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Arial" w:cs="Arial" w:eastAsia="Arial" w:hAnsi="Arial"/>
                <w:sz w:val="17"/>
                <w:szCs w:val="17"/>
                <w:color w:val="auto"/>
              </w:rPr>
              <w:t>6.07</w:t>
            </w:r>
          </w:p>
        </w:tc>
        <w:tc>
          <w:tcPr>
            <w:tcW w:w="21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208,209</w:t>
            </w:r>
          </w:p>
        </w:tc>
        <w:tc>
          <w:tcPr>
            <w:tcW w:w="420" w:type="dxa"/>
            <w:vAlign w:val="bottom"/>
          </w:tcPr>
          <w:p>
            <w:pPr>
              <w:spacing w:after="0"/>
              <w:rPr>
                <w:sz w:val="16"/>
                <w:szCs w:val="16"/>
                <w:color w:val="auto"/>
              </w:rPr>
            </w:pPr>
          </w:p>
        </w:tc>
        <w:tc>
          <w:tcPr>
            <w:tcW w:w="118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1.45</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6.07</w:t>
            </w:r>
          </w:p>
        </w:tc>
        <w:tc>
          <w:tcPr>
            <w:tcW w:w="150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6.12</w:t>
            </w:r>
          </w:p>
        </w:tc>
        <w:tc>
          <w:tcPr>
            <w:tcW w:w="12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208,209</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6.07</w:t>
            </w:r>
          </w:p>
        </w:tc>
        <w:tc>
          <w:tcPr>
            <w:tcW w:w="42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1,128,437</w:t>
            </w: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5.81</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4.13</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4.17</w:t>
            </w:r>
          </w:p>
        </w:tc>
        <w:tc>
          <w:tcPr>
            <w:tcW w:w="12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851,891</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4.27</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7"/>
                <w:szCs w:val="17"/>
                <w:color w:val="auto"/>
              </w:rPr>
              <w:t>December 31, 2013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2.67</w:t>
            </w:r>
          </w:p>
        </w:tc>
        <w:tc>
          <w:tcPr>
            <w:tcW w:w="2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253,271</w:t>
            </w: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9.02</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2.57</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5,213</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Arial" w:cs="Arial" w:eastAsia="Arial" w:hAnsi="Arial"/>
                <w:sz w:val="17"/>
                <w:szCs w:val="17"/>
                <w:color w:val="auto"/>
              </w:rPr>
              <w:t>3.74</w:t>
            </w:r>
          </w:p>
        </w:tc>
        <w:tc>
          <w:tcPr>
            <w:tcW w:w="2180" w:type="dxa"/>
            <w:vAlign w:val="bottom"/>
          </w:tcPr>
          <w:p>
            <w:pPr>
              <w:spacing w:after="0"/>
              <w:rPr>
                <w:sz w:val="16"/>
                <w:szCs w:val="16"/>
                <w:color w:val="auto"/>
              </w:rPr>
            </w:pPr>
          </w:p>
        </w:tc>
        <w:tc>
          <w:tcPr>
            <w:tcW w:w="122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882,247</w:t>
            </w:r>
          </w:p>
        </w:tc>
        <w:tc>
          <w:tcPr>
            <w:tcW w:w="118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5.79</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3.74</w:t>
            </w:r>
          </w:p>
        </w:tc>
        <w:tc>
          <w:tcPr>
            <w:tcW w:w="150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3.64</w:t>
            </w:r>
          </w:p>
        </w:tc>
        <w:tc>
          <w:tcPr>
            <w:tcW w:w="12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784,666</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3.74</w:t>
            </w:r>
          </w:p>
        </w:tc>
        <w:tc>
          <w:tcPr>
            <w:tcW w:w="42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6.07</w:t>
            </w:r>
          </w:p>
        </w:tc>
        <w:tc>
          <w:tcPr>
            <w:tcW w:w="2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154,989</w:t>
            </w: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1.11</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6.07</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5.88</w:t>
            </w:r>
          </w:p>
        </w:tc>
        <w:tc>
          <w:tcPr>
            <w:tcW w:w="12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154,989</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6.07</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Arial" w:cs="Arial" w:eastAsia="Arial" w:hAnsi="Arial"/>
                <w:sz w:val="17"/>
                <w:szCs w:val="17"/>
                <w:color w:val="auto"/>
              </w:rPr>
              <w:t>9.76</w:t>
            </w:r>
          </w:p>
        </w:tc>
        <w:tc>
          <w:tcPr>
            <w:tcW w:w="21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42,592</w:t>
            </w:r>
          </w:p>
        </w:tc>
        <w:tc>
          <w:tcPr>
            <w:tcW w:w="420" w:type="dxa"/>
            <w:vAlign w:val="bottom"/>
          </w:tcPr>
          <w:p>
            <w:pPr>
              <w:spacing w:after="0"/>
              <w:rPr>
                <w:sz w:val="16"/>
                <w:szCs w:val="16"/>
                <w:color w:val="auto"/>
              </w:rPr>
            </w:pPr>
          </w:p>
        </w:tc>
        <w:tc>
          <w:tcPr>
            <w:tcW w:w="118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9.59</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9.76</w:t>
            </w:r>
          </w:p>
        </w:tc>
        <w:tc>
          <w:tcPr>
            <w:tcW w:w="150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9.47</w:t>
            </w:r>
          </w:p>
        </w:tc>
        <w:tc>
          <w:tcPr>
            <w:tcW w:w="12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1,333,099</w:t>
            </w: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3.98</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3.88</w:t>
            </w:r>
          </w:p>
        </w:tc>
        <w:tc>
          <w:tcPr>
            <w:tcW w:w="12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944,868</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4.13</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7"/>
                <w:szCs w:val="17"/>
                <w:color w:val="auto"/>
              </w:rPr>
              <w:t>June 30, 2014 (unaudited)</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4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2.67</w:t>
            </w:r>
          </w:p>
        </w:tc>
        <w:tc>
          <w:tcPr>
            <w:tcW w:w="2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252,846</w:t>
            </w: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8.54</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2.52</w:t>
            </w:r>
          </w:p>
        </w:tc>
        <w:tc>
          <w:tcPr>
            <w:tcW w:w="12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100,681</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2.67</w:t>
            </w: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Arial" w:cs="Arial" w:eastAsia="Arial" w:hAnsi="Arial"/>
                <w:sz w:val="17"/>
                <w:szCs w:val="17"/>
                <w:color w:val="auto"/>
              </w:rPr>
              <w:t>3.74</w:t>
            </w:r>
          </w:p>
        </w:tc>
        <w:tc>
          <w:tcPr>
            <w:tcW w:w="2180" w:type="dxa"/>
            <w:vAlign w:val="bottom"/>
          </w:tcPr>
          <w:p>
            <w:pPr>
              <w:spacing w:after="0"/>
              <w:rPr>
                <w:sz w:val="16"/>
                <w:szCs w:val="16"/>
                <w:color w:val="auto"/>
              </w:rPr>
            </w:pPr>
          </w:p>
        </w:tc>
        <w:tc>
          <w:tcPr>
            <w:tcW w:w="122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881,062</w:t>
            </w:r>
          </w:p>
        </w:tc>
        <w:tc>
          <w:tcPr>
            <w:tcW w:w="118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5.24</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3.74</w:t>
            </w:r>
          </w:p>
        </w:tc>
        <w:tc>
          <w:tcPr>
            <w:tcW w:w="150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3.49</w:t>
            </w:r>
          </w:p>
        </w:tc>
        <w:tc>
          <w:tcPr>
            <w:tcW w:w="12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820,887</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3.74</w:t>
            </w:r>
          </w:p>
        </w:tc>
        <w:tc>
          <w:tcPr>
            <w:tcW w:w="42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6.07</w:t>
            </w:r>
          </w:p>
        </w:tc>
        <w:tc>
          <w:tcPr>
            <w:tcW w:w="2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109,924</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0.68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5.68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109,979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194"/>
        </w:trPr>
        <w:tc>
          <w:tcPr>
            <w:tcW w:w="1560" w:type="dxa"/>
            <w:vAlign w:val="bottom"/>
          </w:tcPr>
          <w:p>
            <w:pPr>
              <w:spacing w:after="0" w:line="194" w:lineRule="exact"/>
              <w:rPr>
                <w:sz w:val="20"/>
                <w:szCs w:val="20"/>
                <w:color w:val="auto"/>
              </w:rPr>
            </w:pPr>
            <w:r>
              <w:rPr>
                <w:rFonts w:ascii="Arial" w:cs="Arial" w:eastAsia="Arial" w:hAnsi="Arial"/>
                <w:sz w:val="17"/>
                <w:szCs w:val="17"/>
                <w:color w:val="auto"/>
              </w:rPr>
              <w:t>9.76</w:t>
            </w:r>
          </w:p>
        </w:tc>
        <w:tc>
          <w:tcPr>
            <w:tcW w:w="2180" w:type="dxa"/>
            <w:vAlign w:val="bottom"/>
          </w:tcPr>
          <w:p>
            <w:pPr>
              <w:spacing w:after="0"/>
              <w:rPr>
                <w:sz w:val="16"/>
                <w:szCs w:val="16"/>
                <w:color w:val="auto"/>
              </w:rPr>
            </w:pPr>
          </w:p>
        </w:tc>
        <w:tc>
          <w:tcPr>
            <w:tcW w:w="122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42,592</w:t>
            </w:r>
          </w:p>
        </w:tc>
        <w:tc>
          <w:tcPr>
            <w:tcW w:w="118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9.09</w:t>
            </w: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auto"/>
              </w:rPr>
              <w:t>9.76</w:t>
            </w:r>
          </w:p>
        </w:tc>
        <w:tc>
          <w:tcPr>
            <w:tcW w:w="150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9.13</w:t>
            </w:r>
          </w:p>
        </w:tc>
        <w:tc>
          <w:tcPr>
            <w:tcW w:w="12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10.78</w:t>
            </w:r>
          </w:p>
        </w:tc>
        <w:tc>
          <w:tcPr>
            <w:tcW w:w="2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156,317</w:t>
            </w: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9.54</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10.78</w:t>
            </w:r>
          </w:p>
        </w:tc>
        <w:tc>
          <w:tcPr>
            <w:tcW w:w="1500" w:type="dxa"/>
            <w:vAlign w:val="bottom"/>
            <w:gridSpan w:val="3"/>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10.1</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2,971</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10.78</w:t>
            </w: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1,442,741</w:t>
            </w:r>
          </w:p>
        </w:tc>
        <w:tc>
          <w:tcPr>
            <w:tcW w:w="42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6.05</w:t>
            </w:r>
          </w:p>
        </w:tc>
        <w:tc>
          <w:tcPr>
            <w:tcW w:w="680" w:type="dxa"/>
            <w:vAlign w:val="bottom"/>
          </w:tcPr>
          <w:p>
            <w:pPr>
              <w:jc w:val="right"/>
              <w:spacing w:after="0"/>
              <w:rPr>
                <w:sz w:val="20"/>
                <w:szCs w:val="20"/>
                <w:color w:val="auto"/>
              </w:rPr>
            </w:pPr>
            <w:r>
              <w:rPr>
                <w:rFonts w:ascii="Arial" w:cs="Arial" w:eastAsia="Arial" w:hAnsi="Arial"/>
                <w:sz w:val="17"/>
                <w:szCs w:val="17"/>
                <w:color w:val="auto"/>
              </w:rPr>
              <w:t>4.66</w:t>
            </w:r>
          </w:p>
        </w:tc>
        <w:tc>
          <w:tcPr>
            <w:tcW w:w="1500" w:type="dxa"/>
            <w:vAlign w:val="bottom"/>
            <w:gridSpan w:val="3"/>
          </w:tcPr>
          <w:p>
            <w:pPr>
              <w:jc w:val="right"/>
              <w:ind w:right="420"/>
              <w:spacing w:after="0"/>
              <w:rPr>
                <w:sz w:val="20"/>
                <w:szCs w:val="20"/>
                <w:color w:val="auto"/>
              </w:rPr>
            </w:pPr>
            <w:r>
              <w:rPr>
                <w:rFonts w:ascii="Arial" w:cs="Arial" w:eastAsia="Arial" w:hAnsi="Arial"/>
                <w:sz w:val="17"/>
                <w:szCs w:val="17"/>
                <w:color w:val="auto"/>
              </w:rPr>
              <w:t>4.37</w:t>
            </w:r>
          </w:p>
        </w:tc>
        <w:tc>
          <w:tcPr>
            <w:tcW w:w="800" w:type="dxa"/>
            <w:vAlign w:val="bottom"/>
          </w:tcPr>
          <w:p>
            <w:pPr>
              <w:jc w:val="right"/>
              <w:spacing w:after="0"/>
              <w:rPr>
                <w:sz w:val="20"/>
                <w:szCs w:val="20"/>
                <w:color w:val="auto"/>
              </w:rPr>
            </w:pPr>
            <w:r>
              <w:rPr>
                <w:rFonts w:ascii="Arial" w:cs="Arial" w:eastAsia="Arial" w:hAnsi="Arial"/>
                <w:sz w:val="17"/>
                <w:szCs w:val="17"/>
                <w:color w:val="auto"/>
              </w:rPr>
              <w:t>1,034,518</w:t>
            </w:r>
          </w:p>
        </w:tc>
        <w:tc>
          <w:tcPr>
            <w:tcW w:w="4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3.88</w:t>
            </w:r>
          </w:p>
        </w:tc>
        <w:tc>
          <w:tcPr>
            <w:tcW w:w="42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5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 summary of the Company’s non-vested stock option activity and related information for the year ended December 31, 2013 and period ended June 30, 2014 (unaudited)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8"/>
              </w:rPr>
              <w:t>WEIGHTED AVERAGE</w:t>
            </w:r>
          </w:p>
        </w:tc>
      </w:tr>
      <w:tr>
        <w:trPr>
          <w:trHeight w:val="146"/>
        </w:trPr>
        <w:tc>
          <w:tcPr>
            <w:tcW w:w="42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gridSpan w:val="2"/>
          </w:tcPr>
          <w:p>
            <w:pPr>
              <w:jc w:val="center"/>
              <w:ind w:right="440"/>
              <w:spacing w:after="0" w:line="146" w:lineRule="exact"/>
              <w:rPr>
                <w:sz w:val="20"/>
                <w:szCs w:val="20"/>
                <w:color w:val="auto"/>
              </w:rPr>
            </w:pPr>
            <w:r>
              <w:rPr>
                <w:rFonts w:ascii="Arial" w:cs="Arial" w:eastAsia="Arial" w:hAnsi="Arial"/>
                <w:sz w:val="13"/>
                <w:szCs w:val="13"/>
                <w:b w:val="1"/>
                <w:bCs w:val="1"/>
                <w:color w:val="auto"/>
                <w:w w:val="98"/>
              </w:rPr>
              <w:t>NUMBER</w:t>
            </w:r>
          </w:p>
        </w:tc>
        <w:tc>
          <w:tcPr>
            <w:tcW w:w="1780" w:type="dxa"/>
            <w:vAlign w:val="bottom"/>
            <w:gridSpan w:val="4"/>
          </w:tcPr>
          <w:p>
            <w:pPr>
              <w:jc w:val="center"/>
              <w:ind w:right="100"/>
              <w:spacing w:after="0" w:line="146" w:lineRule="exact"/>
              <w:rPr>
                <w:sz w:val="20"/>
                <w:szCs w:val="20"/>
                <w:color w:val="auto"/>
              </w:rPr>
            </w:pPr>
            <w:r>
              <w:rPr>
                <w:rFonts w:ascii="Arial" w:cs="Arial" w:eastAsia="Arial" w:hAnsi="Arial"/>
                <w:sz w:val="13"/>
                <w:szCs w:val="13"/>
                <w:b w:val="1"/>
                <w:bCs w:val="1"/>
                <w:color w:val="auto"/>
                <w:w w:val="97"/>
              </w:rPr>
              <w:t>GRANT DATE FAIR</w:t>
            </w:r>
          </w:p>
        </w:tc>
      </w:tr>
      <w:tr>
        <w:trPr>
          <w:trHeight w:val="155"/>
        </w:trPr>
        <w:tc>
          <w:tcPr>
            <w:tcW w:w="4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9"/>
              </w:rPr>
              <w:t>OF</w:t>
            </w:r>
          </w:p>
        </w:tc>
        <w:tc>
          <w:tcPr>
            <w:tcW w:w="106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3"/>
                <w:szCs w:val="13"/>
                <w:b w:val="1"/>
                <w:bCs w:val="1"/>
                <w:color w:val="auto"/>
                <w:w w:val="99"/>
              </w:rPr>
              <w:t>VALUE</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4220" w:type="dxa"/>
            <w:vAlign w:val="bottom"/>
            <w:tcBorders>
              <w:bottom w:val="single" w:sz="8" w:color="CCEEFF"/>
            </w:tcBorders>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OPTIONS</w:t>
            </w:r>
          </w:p>
        </w:tc>
        <w:tc>
          <w:tcPr>
            <w:tcW w:w="4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82"/>
              <w:spacing w:after="0" w:line="135" w:lineRule="exact"/>
              <w:rPr>
                <w:sz w:val="20"/>
                <w:szCs w:val="20"/>
                <w:color w:val="auto"/>
              </w:rPr>
            </w:pPr>
            <w:r>
              <w:rPr>
                <w:rFonts w:ascii="Arial" w:cs="Arial" w:eastAsia="Arial" w:hAnsi="Arial"/>
                <w:sz w:val="13"/>
                <w:szCs w:val="13"/>
                <w:b w:val="1"/>
                <w:bCs w:val="1"/>
                <w:color w:val="auto"/>
              </w:rPr>
              <w:t>CAD$</w:t>
            </w:r>
          </w:p>
        </w:tc>
        <w:tc>
          <w:tcPr>
            <w:tcW w:w="4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CCEEFF"/>
            </w:tcBorders>
          </w:tcPr>
          <w:p>
            <w:pPr>
              <w:spacing w:after="0"/>
              <w:rPr>
                <w:sz w:val="11"/>
                <w:szCs w:val="11"/>
                <w:color w:val="auto"/>
              </w:rPr>
            </w:pPr>
          </w:p>
        </w:tc>
      </w:tr>
      <w:tr>
        <w:trPr>
          <w:trHeight w:val="186"/>
        </w:trPr>
        <w:tc>
          <w:tcPr>
            <w:tcW w:w="42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Non-vested, January 1, 2013</w:t>
            </w:r>
          </w:p>
        </w:tc>
        <w:tc>
          <w:tcPr>
            <w:tcW w:w="5420" w:type="dxa"/>
            <w:vAlign w:val="bottom"/>
            <w:gridSpan w:val="3"/>
            <w:shd w:val="clear" w:color="auto" w:fill="CCEEFF"/>
          </w:tcPr>
          <w:p>
            <w:pPr>
              <w:jc w:val="right"/>
              <w:ind w:right="440"/>
              <w:spacing w:after="0" w:line="186" w:lineRule="exact"/>
              <w:rPr>
                <w:sz w:val="20"/>
                <w:szCs w:val="20"/>
                <w:color w:val="auto"/>
              </w:rPr>
            </w:pPr>
            <w:r>
              <w:rPr>
                <w:rFonts w:ascii="Arial" w:cs="Arial" w:eastAsia="Arial" w:hAnsi="Arial"/>
                <w:sz w:val="17"/>
                <w:szCs w:val="17"/>
                <w:color w:val="auto"/>
              </w:rPr>
              <w:t>276,545</w:t>
            </w:r>
          </w:p>
        </w:tc>
        <w:tc>
          <w:tcPr>
            <w:tcW w:w="1060" w:type="dxa"/>
            <w:vAlign w:val="bottom"/>
            <w:gridSpan w:val="2"/>
            <w:shd w:val="clear" w:color="auto" w:fill="CCEEFF"/>
          </w:tcPr>
          <w:p>
            <w:pPr>
              <w:jc w:val="right"/>
              <w:ind w:right="420"/>
              <w:spacing w:after="0" w:line="186" w:lineRule="exact"/>
              <w:rPr>
                <w:sz w:val="20"/>
                <w:szCs w:val="20"/>
                <w:color w:val="auto"/>
              </w:rPr>
            </w:pPr>
            <w:r>
              <w:rPr>
                <w:rFonts w:ascii="Arial" w:cs="Arial" w:eastAsia="Arial" w:hAnsi="Arial"/>
                <w:sz w:val="17"/>
                <w:szCs w:val="17"/>
                <w:color w:val="auto"/>
              </w:rPr>
              <w:t>2.47</w:t>
            </w:r>
          </w:p>
        </w:tc>
        <w:tc>
          <w:tcPr>
            <w:tcW w:w="72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2.47</w:t>
            </w:r>
          </w:p>
        </w:tc>
      </w:tr>
      <w:tr>
        <w:trPr>
          <w:trHeight w:val="194"/>
        </w:trPr>
        <w:tc>
          <w:tcPr>
            <w:tcW w:w="422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54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292,418</w:t>
            </w:r>
          </w:p>
        </w:tc>
        <w:tc>
          <w:tcPr>
            <w:tcW w:w="106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4.27</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4.13</w:t>
            </w:r>
          </w:p>
        </w:tc>
      </w:tr>
      <w:tr>
        <w:trPr>
          <w:trHeight w:val="194"/>
        </w:trPr>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Vested</w:t>
            </w:r>
          </w:p>
        </w:tc>
        <w:tc>
          <w:tcPr>
            <w:tcW w:w="5420" w:type="dxa"/>
            <w:vAlign w:val="bottom"/>
            <w:gridSpan w:val="3"/>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(154,190)</w:t>
            </w:r>
          </w:p>
        </w:tc>
        <w:tc>
          <w:tcPr>
            <w:tcW w:w="106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2.57</w:t>
            </w: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2.52</w:t>
            </w:r>
          </w:p>
        </w:tc>
      </w:tr>
      <w:tr>
        <w:trPr>
          <w:trHeight w:val="194"/>
        </w:trPr>
        <w:tc>
          <w:tcPr>
            <w:tcW w:w="4220" w:type="dxa"/>
            <w:vAlign w:val="bottom"/>
          </w:tcPr>
          <w:p>
            <w:pPr>
              <w:spacing w:after="0" w:line="194" w:lineRule="exact"/>
              <w:rPr>
                <w:sz w:val="20"/>
                <w:szCs w:val="20"/>
                <w:color w:val="auto"/>
              </w:rPr>
            </w:pPr>
            <w:r>
              <w:rPr>
                <w:rFonts w:ascii="Arial" w:cs="Arial" w:eastAsia="Arial" w:hAnsi="Arial"/>
                <w:sz w:val="17"/>
                <w:szCs w:val="17"/>
                <w:color w:val="auto"/>
              </w:rPr>
              <w:t>Forfeited and cancelled</w:t>
            </w:r>
          </w:p>
        </w:tc>
        <w:tc>
          <w:tcPr>
            <w:tcW w:w="4260" w:type="dxa"/>
            <w:vAlign w:val="bottom"/>
          </w:tcPr>
          <w:p>
            <w:pPr>
              <w:spacing w:after="0"/>
              <w:rPr>
                <w:sz w:val="16"/>
                <w:szCs w:val="16"/>
                <w:color w:val="auto"/>
              </w:rPr>
            </w:pPr>
          </w:p>
        </w:tc>
        <w:tc>
          <w:tcPr>
            <w:tcW w:w="116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(26,543)</w:t>
            </w:r>
          </w:p>
        </w:tc>
        <w:tc>
          <w:tcPr>
            <w:tcW w:w="106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2.38</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2.28</w:t>
            </w:r>
          </w:p>
        </w:tc>
      </w:tr>
      <w:tr>
        <w:trPr>
          <w:trHeight w:val="26"/>
        </w:trPr>
        <w:tc>
          <w:tcPr>
            <w:tcW w:w="4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Non-vested, December 31, 2013</w:t>
            </w:r>
          </w:p>
        </w:tc>
        <w:tc>
          <w:tcPr>
            <w:tcW w:w="4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388,230</w:t>
            </w:r>
          </w:p>
        </w:tc>
        <w:tc>
          <w:tcPr>
            <w:tcW w:w="106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3.79</w:t>
            </w: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3.54</w:t>
            </w:r>
          </w:p>
        </w:tc>
      </w:tr>
      <w:tr>
        <w:trPr>
          <w:trHeight w:val="194"/>
        </w:trPr>
        <w:tc>
          <w:tcPr>
            <w:tcW w:w="4220" w:type="dxa"/>
            <w:vAlign w:val="bottom"/>
          </w:tcPr>
          <w:p>
            <w:pPr>
              <w:spacing w:after="0" w:line="194" w:lineRule="exact"/>
              <w:rPr>
                <w:sz w:val="20"/>
                <w:szCs w:val="20"/>
                <w:color w:val="auto"/>
              </w:rPr>
            </w:pPr>
            <w:r>
              <w:rPr>
                <w:rFonts w:ascii="Arial" w:cs="Arial" w:eastAsia="Arial" w:hAnsi="Arial"/>
                <w:sz w:val="17"/>
                <w:szCs w:val="17"/>
                <w:color w:val="auto"/>
              </w:rPr>
              <w:t>Granted</w:t>
            </w:r>
          </w:p>
        </w:tc>
        <w:tc>
          <w:tcPr>
            <w:tcW w:w="54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rPr>
              <w:t>157,231</w:t>
            </w:r>
          </w:p>
        </w:tc>
        <w:tc>
          <w:tcPr>
            <w:tcW w:w="106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7.19</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6.80</w:t>
            </w:r>
          </w:p>
        </w:tc>
      </w:tr>
      <w:tr>
        <w:trPr>
          <w:trHeight w:val="194"/>
        </w:trPr>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Vested</w:t>
            </w:r>
          </w:p>
        </w:tc>
        <w:tc>
          <w:tcPr>
            <w:tcW w:w="5420" w:type="dxa"/>
            <w:vAlign w:val="bottom"/>
            <w:gridSpan w:val="3"/>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(134,659)</w:t>
            </w:r>
          </w:p>
        </w:tc>
        <w:tc>
          <w:tcPr>
            <w:tcW w:w="106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3.15</w:t>
            </w: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2.86</w:t>
            </w:r>
          </w:p>
        </w:tc>
      </w:tr>
      <w:tr>
        <w:trPr>
          <w:trHeight w:val="194"/>
        </w:trPr>
        <w:tc>
          <w:tcPr>
            <w:tcW w:w="4220" w:type="dxa"/>
            <w:vAlign w:val="bottom"/>
          </w:tcPr>
          <w:p>
            <w:pPr>
              <w:spacing w:after="0" w:line="194" w:lineRule="exact"/>
              <w:rPr>
                <w:sz w:val="20"/>
                <w:szCs w:val="20"/>
                <w:color w:val="auto"/>
              </w:rPr>
            </w:pPr>
            <w:r>
              <w:rPr>
                <w:rFonts w:ascii="Arial" w:cs="Arial" w:eastAsia="Arial" w:hAnsi="Arial"/>
                <w:sz w:val="17"/>
                <w:szCs w:val="17"/>
                <w:color w:val="auto"/>
              </w:rPr>
              <w:t>Forfeited and cancelled</w:t>
            </w:r>
          </w:p>
        </w:tc>
        <w:tc>
          <w:tcPr>
            <w:tcW w:w="4260" w:type="dxa"/>
            <w:vAlign w:val="bottom"/>
          </w:tcPr>
          <w:p>
            <w:pPr>
              <w:spacing w:after="0"/>
              <w:rPr>
                <w:sz w:val="16"/>
                <w:szCs w:val="16"/>
                <w:color w:val="auto"/>
              </w:rPr>
            </w:pPr>
          </w:p>
        </w:tc>
        <w:tc>
          <w:tcPr>
            <w:tcW w:w="116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(2,579)</w:t>
            </w:r>
          </w:p>
        </w:tc>
        <w:tc>
          <w:tcPr>
            <w:tcW w:w="1060" w:type="dxa"/>
            <w:vAlign w:val="bottom"/>
            <w:gridSpan w:val="2"/>
          </w:tcPr>
          <w:p>
            <w:pPr>
              <w:jc w:val="right"/>
              <w:ind w:right="420"/>
              <w:spacing w:after="0" w:line="194" w:lineRule="exact"/>
              <w:rPr>
                <w:sz w:val="20"/>
                <w:szCs w:val="20"/>
                <w:color w:val="auto"/>
              </w:rPr>
            </w:pPr>
            <w:r>
              <w:rPr>
                <w:rFonts w:ascii="Arial" w:cs="Arial" w:eastAsia="Arial" w:hAnsi="Arial"/>
                <w:sz w:val="17"/>
                <w:szCs w:val="17"/>
                <w:color w:val="auto"/>
              </w:rPr>
              <w:t>4.86</w:t>
            </w:r>
          </w:p>
        </w:tc>
        <w:tc>
          <w:tcPr>
            <w:tcW w:w="7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4.42</w:t>
            </w:r>
          </w:p>
        </w:tc>
      </w:tr>
      <w:tr>
        <w:trPr>
          <w:trHeight w:val="26"/>
        </w:trPr>
        <w:tc>
          <w:tcPr>
            <w:tcW w:w="4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Non-vested, June 30, 2014 (unaudited)</w:t>
            </w:r>
          </w:p>
        </w:tc>
        <w:tc>
          <w:tcPr>
            <w:tcW w:w="4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408,223</w:t>
            </w:r>
          </w:p>
        </w:tc>
        <w:tc>
          <w:tcPr>
            <w:tcW w:w="1060" w:type="dxa"/>
            <w:vAlign w:val="bottom"/>
            <w:gridSpan w:val="2"/>
            <w:shd w:val="clear" w:color="auto" w:fill="CCEEFF"/>
          </w:tcPr>
          <w:p>
            <w:pPr>
              <w:jc w:val="right"/>
              <w:ind w:right="420"/>
              <w:spacing w:after="0" w:line="194" w:lineRule="exact"/>
              <w:rPr>
                <w:sz w:val="20"/>
                <w:szCs w:val="20"/>
                <w:color w:val="auto"/>
              </w:rPr>
            </w:pPr>
            <w:r>
              <w:rPr>
                <w:rFonts w:ascii="Arial" w:cs="Arial" w:eastAsia="Arial" w:hAnsi="Arial"/>
                <w:sz w:val="17"/>
                <w:szCs w:val="17"/>
                <w:color w:val="auto"/>
              </w:rPr>
              <w:t>5.29</w:t>
            </w:r>
          </w:p>
        </w:tc>
        <w:tc>
          <w:tcPr>
            <w:tcW w:w="7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4.95</w:t>
            </w:r>
          </w:p>
        </w:tc>
      </w:tr>
      <w:tr>
        <w:trPr>
          <w:trHeight w:val="129"/>
        </w:trPr>
        <w:tc>
          <w:tcPr>
            <w:tcW w:w="4220" w:type="dxa"/>
            <w:vAlign w:val="bottom"/>
            <w:tcBorders>
              <w:bottom w:val="single" w:sz="8" w:color="auto"/>
            </w:tcBorders>
          </w:tcPr>
          <w:p>
            <w:pPr>
              <w:spacing w:after="0"/>
              <w:rPr>
                <w:sz w:val="11"/>
                <w:szCs w:val="11"/>
                <w:color w:val="auto"/>
              </w:rPr>
            </w:pPr>
          </w:p>
        </w:tc>
        <w:tc>
          <w:tcPr>
            <w:tcW w:w="5420" w:type="dxa"/>
            <w:vAlign w:val="bottom"/>
            <w:tcBorders>
              <w:bottom w:val="single" w:sz="8" w:color="auto"/>
            </w:tcBorders>
            <w:gridSpan w:val="3"/>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r>
        <w:trPr>
          <w:trHeight w:val="508"/>
        </w:trPr>
        <w:tc>
          <w:tcPr>
            <w:tcW w:w="4220" w:type="dxa"/>
            <w:vAlign w:val="bottom"/>
          </w:tcPr>
          <w:p>
            <w:pPr>
              <w:spacing w:after="0"/>
              <w:rPr>
                <w:sz w:val="24"/>
                <w:szCs w:val="24"/>
                <w:color w:val="auto"/>
              </w:rPr>
            </w:pPr>
          </w:p>
        </w:tc>
        <w:tc>
          <w:tcPr>
            <w:tcW w:w="5420" w:type="dxa"/>
            <w:vAlign w:val="bottom"/>
            <w:gridSpan w:val="3"/>
          </w:tcPr>
          <w:p>
            <w:pPr>
              <w:jc w:val="right"/>
              <w:ind w:right="3760"/>
              <w:spacing w:after="0"/>
              <w:rPr>
                <w:sz w:val="20"/>
                <w:szCs w:val="20"/>
                <w:color w:val="auto"/>
              </w:rPr>
            </w:pPr>
            <w:r>
              <w:rPr>
                <w:rFonts w:ascii="Arial" w:cs="Arial" w:eastAsia="Arial" w:hAnsi="Arial"/>
                <w:sz w:val="17"/>
                <w:szCs w:val="17"/>
                <w:color w:val="auto"/>
              </w:rPr>
              <w:t>F-19</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4"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Option Plan (continued):</w:t>
      </w:r>
    </w:p>
    <w:p>
      <w:pPr>
        <w:spacing w:after="0" w:line="83"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The fair value of each option issued to employees and non-employees is estimated using the Black-Scholes option-pricing model with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8"/>
              </w:rPr>
              <w:t>SIX MONTHS ENDED</w:t>
            </w:r>
          </w:p>
        </w:tc>
      </w:tr>
      <w:tr>
        <w:trPr>
          <w:trHeight w:val="159"/>
        </w:trPr>
        <w:tc>
          <w:tcPr>
            <w:tcW w:w="598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YEARS ENDED DECEMBER 31,</w:t>
            </w:r>
          </w:p>
        </w:tc>
        <w:tc>
          <w:tcPr>
            <w:tcW w:w="40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Borders>
              <w:bottom w:val="single" w:sz="8" w:color="auto"/>
            </w:tcBorders>
          </w:tcPr>
          <w:p>
            <w:pPr>
              <w:jc w:val="center"/>
              <w:ind w:left="425"/>
              <w:spacing w:after="0"/>
              <w:rPr>
                <w:sz w:val="20"/>
                <w:szCs w:val="20"/>
                <w:color w:val="auto"/>
              </w:rPr>
            </w:pPr>
            <w:r>
              <w:rPr>
                <w:rFonts w:ascii="Arial" w:cs="Arial" w:eastAsia="Arial" w:hAnsi="Arial"/>
                <w:sz w:val="13"/>
                <w:szCs w:val="13"/>
                <w:b w:val="1"/>
                <w:bCs w:val="1"/>
                <w:color w:val="auto"/>
                <w:w w:val="99"/>
              </w:rPr>
              <w:t>JUNE 30,</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5"/>
        </w:trPr>
        <w:tc>
          <w:tcPr>
            <w:tcW w:w="5980" w:type="dxa"/>
            <w:vAlign w:val="bottom"/>
          </w:tcPr>
          <w:p>
            <w:pPr>
              <w:spacing w:after="0"/>
              <w:rPr>
                <w:sz w:val="11"/>
                <w:szCs w:val="11"/>
                <w:color w:val="auto"/>
              </w:rPr>
            </w:pPr>
          </w:p>
        </w:tc>
        <w:tc>
          <w:tcPr>
            <w:tcW w:w="580" w:type="dxa"/>
            <w:vAlign w:val="bottom"/>
            <w:tcBorders>
              <w:bottom w:val="single" w:sz="8" w:color="auto"/>
            </w:tcBorders>
          </w:tcPr>
          <w:p>
            <w:pPr>
              <w:jc w:val="right"/>
              <w:ind w:right="62"/>
              <w:spacing w:after="0" w:line="135" w:lineRule="exact"/>
              <w:rPr>
                <w:sz w:val="20"/>
                <w:szCs w:val="20"/>
                <w:color w:val="auto"/>
              </w:rPr>
            </w:pPr>
            <w:r>
              <w:rPr>
                <w:rFonts w:ascii="Arial" w:cs="Arial" w:eastAsia="Arial" w:hAnsi="Arial"/>
                <w:sz w:val="13"/>
                <w:szCs w:val="13"/>
                <w:b w:val="1"/>
                <w:bCs w:val="1"/>
                <w:color w:val="auto"/>
              </w:rPr>
              <w:t>2011</w:t>
            </w:r>
          </w:p>
        </w:tc>
        <w:tc>
          <w:tcPr>
            <w:tcW w:w="640" w:type="dxa"/>
            <w:vAlign w:val="bottom"/>
          </w:tcPr>
          <w:p>
            <w:pPr>
              <w:spacing w:after="0"/>
              <w:rPr>
                <w:sz w:val="11"/>
                <w:szCs w:val="11"/>
                <w:color w:val="auto"/>
              </w:rPr>
            </w:pPr>
          </w:p>
        </w:tc>
        <w:tc>
          <w:tcPr>
            <w:tcW w:w="580" w:type="dxa"/>
            <w:vAlign w:val="bottom"/>
            <w:tcBorders>
              <w:bottom w:val="single" w:sz="8" w:color="auto"/>
            </w:tcBorders>
          </w:tcPr>
          <w:p>
            <w:pPr>
              <w:jc w:val="right"/>
              <w:ind w:right="79"/>
              <w:spacing w:after="0" w:line="135" w:lineRule="exact"/>
              <w:rPr>
                <w:sz w:val="20"/>
                <w:szCs w:val="20"/>
                <w:color w:val="auto"/>
              </w:rPr>
            </w:pPr>
            <w:r>
              <w:rPr>
                <w:rFonts w:ascii="Arial" w:cs="Arial" w:eastAsia="Arial" w:hAnsi="Arial"/>
                <w:sz w:val="13"/>
                <w:szCs w:val="13"/>
                <w:b w:val="1"/>
                <w:bCs w:val="1"/>
                <w:color w:val="auto"/>
              </w:rPr>
              <w:t>2012</w:t>
            </w:r>
          </w:p>
        </w:tc>
        <w:tc>
          <w:tcPr>
            <w:tcW w:w="62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2013</w:t>
            </w:r>
          </w:p>
        </w:tc>
        <w:tc>
          <w:tcPr>
            <w:tcW w:w="620" w:type="dxa"/>
            <w:vAlign w:val="bottom"/>
          </w:tcPr>
          <w:p>
            <w:pPr>
              <w:spacing w:after="0"/>
              <w:rPr>
                <w:sz w:val="11"/>
                <w:szCs w:val="11"/>
                <w:color w:val="auto"/>
              </w:rPr>
            </w:pPr>
          </w:p>
        </w:tc>
        <w:tc>
          <w:tcPr>
            <w:tcW w:w="1300" w:type="dxa"/>
            <w:vAlign w:val="bottom"/>
            <w:tcBorders>
              <w:bottom w:val="single" w:sz="8" w:color="auto"/>
            </w:tcBorders>
          </w:tcPr>
          <w:p>
            <w:pPr>
              <w:jc w:val="right"/>
              <w:ind w:right="785"/>
              <w:spacing w:after="0" w:line="135" w:lineRule="exact"/>
              <w:rPr>
                <w:sz w:val="20"/>
                <w:szCs w:val="20"/>
                <w:color w:val="auto"/>
              </w:rPr>
            </w:pPr>
            <w:r>
              <w:rPr>
                <w:rFonts w:ascii="Arial" w:cs="Arial" w:eastAsia="Arial" w:hAnsi="Arial"/>
                <w:sz w:val="13"/>
                <w:szCs w:val="13"/>
                <w:b w:val="1"/>
                <w:bCs w:val="1"/>
                <w:color w:val="auto"/>
              </w:rPr>
              <w:t>2013</w:t>
            </w:r>
          </w:p>
        </w:tc>
        <w:tc>
          <w:tcPr>
            <w:tcW w:w="500" w:type="dxa"/>
            <w:vAlign w:val="bottom"/>
            <w:tcBorders>
              <w:bottom w:val="single" w:sz="8" w:color="auto"/>
            </w:tcBorders>
          </w:tcPr>
          <w:p>
            <w:pPr>
              <w:jc w:val="right"/>
              <w:ind w:right="59"/>
              <w:spacing w:after="0" w:line="135"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1"/>
                <w:szCs w:val="11"/>
                <w:color w:val="auto"/>
              </w:rPr>
            </w:pPr>
          </w:p>
        </w:tc>
      </w:tr>
      <w:tr>
        <w:trPr>
          <w:trHeight w:val="135"/>
        </w:trPr>
        <w:tc>
          <w:tcPr>
            <w:tcW w:w="5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tcPr>
          <w:p>
            <w:pPr>
              <w:jc w:val="center"/>
              <w:ind w:left="445"/>
              <w:spacing w:after="0" w:line="135" w:lineRule="exact"/>
              <w:rPr>
                <w:sz w:val="20"/>
                <w:szCs w:val="20"/>
                <w:color w:val="auto"/>
              </w:rPr>
            </w:pPr>
            <w:r>
              <w:rPr>
                <w:rFonts w:ascii="Arial" w:cs="Arial" w:eastAsia="Arial" w:hAnsi="Arial"/>
                <w:sz w:val="13"/>
                <w:szCs w:val="13"/>
                <w:b w:val="1"/>
                <w:bCs w:val="1"/>
                <w:color w:val="auto"/>
                <w:w w:val="98"/>
              </w:rPr>
              <w:t>(unaudited)</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Average risk-free interest rate</w:t>
            </w:r>
          </w:p>
        </w:tc>
        <w:tc>
          <w:tcPr>
            <w:tcW w:w="122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2.36%</w:t>
            </w:r>
          </w:p>
        </w:tc>
        <w:tc>
          <w:tcPr>
            <w:tcW w:w="120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1.14%</w:t>
            </w:r>
          </w:p>
        </w:tc>
        <w:tc>
          <w:tcPr>
            <w:tcW w:w="102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1.03%</w:t>
            </w:r>
          </w:p>
        </w:tc>
        <w:tc>
          <w:tcPr>
            <w:tcW w:w="1300" w:type="dxa"/>
            <w:vAlign w:val="bottom"/>
            <w:shd w:val="clear" w:color="auto" w:fill="CCEEFF"/>
          </w:tcPr>
          <w:p>
            <w:pPr>
              <w:jc w:val="right"/>
              <w:ind w:right="485"/>
              <w:spacing w:after="0" w:line="194" w:lineRule="exact"/>
              <w:rPr>
                <w:sz w:val="20"/>
                <w:szCs w:val="20"/>
                <w:color w:val="auto"/>
              </w:rPr>
            </w:pPr>
            <w:r>
              <w:rPr>
                <w:rFonts w:ascii="Arial" w:cs="Arial" w:eastAsia="Arial" w:hAnsi="Arial"/>
                <w:sz w:val="17"/>
                <w:szCs w:val="17"/>
                <w:color w:val="auto"/>
              </w:rPr>
              <w:t>1.03%</w:t>
            </w:r>
          </w:p>
        </w:tc>
        <w:tc>
          <w:tcPr>
            <w:tcW w:w="7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1.97%</w:t>
            </w: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Average expected term (in years)</w:t>
            </w:r>
          </w:p>
        </w:tc>
        <w:tc>
          <w:tcPr>
            <w:tcW w:w="1220" w:type="dxa"/>
            <w:vAlign w:val="bottom"/>
            <w:gridSpan w:val="2"/>
          </w:tcPr>
          <w:p>
            <w:pPr>
              <w:jc w:val="right"/>
              <w:ind w:right="640"/>
              <w:spacing w:after="0" w:line="194" w:lineRule="exact"/>
              <w:rPr>
                <w:sz w:val="20"/>
                <w:szCs w:val="20"/>
                <w:color w:val="auto"/>
              </w:rPr>
            </w:pPr>
            <w:r>
              <w:rPr>
                <w:rFonts w:ascii="Arial" w:cs="Arial" w:eastAsia="Arial" w:hAnsi="Arial"/>
                <w:sz w:val="17"/>
                <w:szCs w:val="17"/>
                <w:color w:val="auto"/>
              </w:rPr>
              <w:t>6.2</w:t>
            </w:r>
          </w:p>
        </w:tc>
        <w:tc>
          <w:tcPr>
            <w:tcW w:w="120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6.2</w:t>
            </w:r>
          </w:p>
        </w:tc>
        <w:tc>
          <w:tcPr>
            <w:tcW w:w="102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6.2</w:t>
            </w:r>
          </w:p>
        </w:tc>
        <w:tc>
          <w:tcPr>
            <w:tcW w:w="1300" w:type="dxa"/>
            <w:vAlign w:val="bottom"/>
          </w:tcPr>
          <w:p>
            <w:pPr>
              <w:jc w:val="right"/>
              <w:ind w:right="645"/>
              <w:spacing w:after="0" w:line="194" w:lineRule="exact"/>
              <w:rPr>
                <w:sz w:val="20"/>
                <w:szCs w:val="20"/>
                <w:color w:val="auto"/>
              </w:rPr>
            </w:pPr>
            <w:r>
              <w:rPr>
                <w:rFonts w:ascii="Arial" w:cs="Arial" w:eastAsia="Arial" w:hAnsi="Arial"/>
                <w:sz w:val="17"/>
                <w:szCs w:val="17"/>
                <w:color w:val="auto"/>
              </w:rPr>
              <w:t>6.2</w:t>
            </w:r>
          </w:p>
        </w:tc>
        <w:tc>
          <w:tcPr>
            <w:tcW w:w="7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6.2</w:t>
            </w:r>
          </w:p>
        </w:tc>
      </w:tr>
      <w:tr>
        <w:trPr>
          <w:trHeight w:val="194"/>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Expected volatility</w:t>
            </w:r>
          </w:p>
        </w:tc>
        <w:tc>
          <w:tcPr>
            <w:tcW w:w="1220" w:type="dxa"/>
            <w:vAlign w:val="bottom"/>
            <w:gridSpan w:val="2"/>
            <w:shd w:val="clear" w:color="auto" w:fill="CCEEFF"/>
          </w:tcPr>
          <w:p>
            <w:pPr>
              <w:jc w:val="right"/>
              <w:ind w:right="500"/>
              <w:spacing w:after="0" w:line="194" w:lineRule="exact"/>
              <w:rPr>
                <w:sz w:val="20"/>
                <w:szCs w:val="20"/>
                <w:color w:val="auto"/>
              </w:rPr>
            </w:pPr>
            <w:r>
              <w:rPr>
                <w:rFonts w:ascii="Arial" w:cs="Arial" w:eastAsia="Arial" w:hAnsi="Arial"/>
                <w:sz w:val="17"/>
                <w:szCs w:val="17"/>
                <w:color w:val="auto"/>
              </w:rPr>
              <w:t>70%</w:t>
            </w:r>
          </w:p>
        </w:tc>
        <w:tc>
          <w:tcPr>
            <w:tcW w:w="120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70%</w:t>
            </w:r>
          </w:p>
        </w:tc>
        <w:tc>
          <w:tcPr>
            <w:tcW w:w="1020" w:type="dxa"/>
            <w:vAlign w:val="bottom"/>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70%</w:t>
            </w:r>
          </w:p>
        </w:tc>
        <w:tc>
          <w:tcPr>
            <w:tcW w:w="1300" w:type="dxa"/>
            <w:vAlign w:val="bottom"/>
            <w:shd w:val="clear" w:color="auto" w:fill="CCEEFF"/>
          </w:tcPr>
          <w:p>
            <w:pPr>
              <w:jc w:val="right"/>
              <w:ind w:right="485"/>
              <w:spacing w:after="0" w:line="194" w:lineRule="exact"/>
              <w:rPr>
                <w:sz w:val="20"/>
                <w:szCs w:val="20"/>
                <w:color w:val="auto"/>
              </w:rPr>
            </w:pPr>
            <w:r>
              <w:rPr>
                <w:rFonts w:ascii="Arial" w:cs="Arial" w:eastAsia="Arial" w:hAnsi="Arial"/>
                <w:sz w:val="17"/>
                <w:szCs w:val="17"/>
                <w:color w:val="auto"/>
              </w:rPr>
              <w:t>70%</w:t>
            </w:r>
          </w:p>
        </w:tc>
        <w:tc>
          <w:tcPr>
            <w:tcW w:w="7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74%</w:t>
            </w:r>
          </w:p>
        </w:tc>
      </w:tr>
      <w:tr>
        <w:trPr>
          <w:trHeight w:val="194"/>
        </w:trPr>
        <w:tc>
          <w:tcPr>
            <w:tcW w:w="5980" w:type="dxa"/>
            <w:vAlign w:val="bottom"/>
          </w:tcPr>
          <w:p>
            <w:pPr>
              <w:spacing w:after="0" w:line="194" w:lineRule="exact"/>
              <w:rPr>
                <w:sz w:val="20"/>
                <w:szCs w:val="20"/>
                <w:color w:val="auto"/>
              </w:rPr>
            </w:pPr>
            <w:r>
              <w:rPr>
                <w:rFonts w:ascii="Arial" w:cs="Arial" w:eastAsia="Arial" w:hAnsi="Arial"/>
                <w:sz w:val="17"/>
                <w:szCs w:val="17"/>
                <w:color w:val="auto"/>
              </w:rPr>
              <w:t>Expected dividend yield</w:t>
            </w:r>
          </w:p>
        </w:tc>
        <w:tc>
          <w:tcPr>
            <w:tcW w:w="1220" w:type="dxa"/>
            <w:vAlign w:val="bottom"/>
            <w:gridSpan w:val="2"/>
          </w:tcPr>
          <w:p>
            <w:pPr>
              <w:jc w:val="right"/>
              <w:ind w:right="640"/>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20"/>
              <w:spacing w:after="0" w:line="194" w:lineRule="exact"/>
              <w:rPr>
                <w:sz w:val="20"/>
                <w:szCs w:val="20"/>
                <w:color w:val="auto"/>
              </w:rPr>
            </w:pPr>
            <w:r>
              <w:rPr>
                <w:rFonts w:ascii="Arial" w:cs="Arial" w:eastAsia="Arial" w:hAnsi="Arial"/>
                <w:sz w:val="17"/>
                <w:szCs w:val="17"/>
                <w:color w:val="auto"/>
              </w:rPr>
              <w:t>—</w:t>
            </w:r>
          </w:p>
        </w:tc>
        <w:tc>
          <w:tcPr>
            <w:tcW w:w="1300" w:type="dxa"/>
            <w:vAlign w:val="bottom"/>
          </w:tcPr>
          <w:p>
            <w:pPr>
              <w:jc w:val="right"/>
              <w:ind w:right="645"/>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w:t>
            </w:r>
          </w:p>
        </w:tc>
      </w:tr>
      <w:tr>
        <w:trPr>
          <w:trHeight w:val="194"/>
        </w:trPr>
        <w:tc>
          <w:tcPr>
            <w:tcW w:w="5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Estimated forfeiture rate</w:t>
            </w:r>
          </w:p>
        </w:tc>
        <w:tc>
          <w:tcPr>
            <w:tcW w:w="1220" w:type="dxa"/>
            <w:vAlign w:val="bottom"/>
            <w:gridSpan w:val="2"/>
            <w:shd w:val="clear" w:color="auto" w:fill="CCEEFF"/>
          </w:tcPr>
          <w:p>
            <w:pPr>
              <w:jc w:val="right"/>
              <w:ind w:right="640"/>
              <w:spacing w:after="0" w:line="194"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20"/>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20"/>
              <w:spacing w:after="0" w:line="194"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45"/>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w:t>
            </w:r>
          </w:p>
        </w:tc>
      </w:tr>
      <w:tr>
        <w:trPr>
          <w:trHeight w:val="129"/>
        </w:trPr>
        <w:tc>
          <w:tcPr>
            <w:tcW w:w="5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bl>
    <w:p>
      <w:pPr>
        <w:spacing w:after="0" w:line="11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weighted-average fair value of options granted during the six months ended June 30, 2013 and 2014 was $4.03 and $6.80 (unaudited), respectively, and the weighted-average fair value of options granted in 2013 was $4.27 (2012—$2.28, 2011—$2.38) per option.</w:t>
      </w:r>
    </w:p>
    <w:p>
      <w:pPr>
        <w:spacing w:after="0" w:line="10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As of June 30, 2014, the unrecognized stock-based compensation expense related to the non-vested stock options was $1,822 (unaudited) (December 31, 2013—$1,155, December 31, 2012—$633), which is expected to be recognized over a weighted-average period of 1.1 years (2013—2.5 years; 2012 —2.2 years).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fair value of vested options during the six months ended June 30, 2013 and 2014 was $1,095 and $1,751 (unaudited), respectively.</w:t>
      </w:r>
    </w:p>
    <w:p>
      <w:pPr>
        <w:spacing w:after="0" w:line="11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The Company uses the “simplified method” to determine the expected term of options. Under this method, the expected term represents the average of the vesting period and the contractual term.</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expected volatility of share options was estimated based on a historical volatility analysis of peers that were similar to the Company with respect to industry, stage of life cycle, size, and financial leverage. The risk-free interest rate of the options is based on the U.S. Treasury yield curve in effect at the date of grant for a term similar to the expected term of the option.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is classified in the statements of operations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tcPr>
          <w:p>
            <w:pPr>
              <w:jc w:val="center"/>
              <w:ind w:right="420"/>
              <w:spacing w:after="0"/>
              <w:rPr>
                <w:sz w:val="20"/>
                <w:szCs w:val="20"/>
                <w:color w:val="auto"/>
              </w:rPr>
            </w:pPr>
            <w:r>
              <w:rPr>
                <w:rFonts w:ascii="Arial" w:cs="Arial" w:eastAsia="Arial" w:hAnsi="Arial"/>
                <w:sz w:val="13"/>
                <w:szCs w:val="13"/>
                <w:b w:val="1"/>
                <w:bCs w:val="1"/>
                <w:color w:val="auto"/>
                <w:w w:val="99"/>
              </w:rPr>
              <w:t>SIX MONTHS ENDED</w:t>
            </w:r>
          </w:p>
        </w:tc>
      </w:tr>
      <w:tr>
        <w:trPr>
          <w:trHeight w:val="159"/>
        </w:trPr>
        <w:tc>
          <w:tcPr>
            <w:tcW w:w="4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9"/>
          </w:tcPr>
          <w:p>
            <w:pPr>
              <w:jc w:val="right"/>
              <w:ind w:right="9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JUNE 30,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35"/>
        </w:trPr>
        <w:tc>
          <w:tcPr>
            <w:tcW w:w="4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4"/>
              <w:spacing w:after="0" w:line="135" w:lineRule="exact"/>
              <w:rPr>
                <w:sz w:val="20"/>
                <w:szCs w:val="20"/>
                <w:color w:val="auto"/>
              </w:rPr>
            </w:pPr>
            <w:r>
              <w:rPr>
                <w:rFonts w:ascii="Arial" w:cs="Arial" w:eastAsia="Arial" w:hAnsi="Arial"/>
                <w:sz w:val="13"/>
                <w:szCs w:val="13"/>
                <w:b w:val="1"/>
                <w:bCs w:val="1"/>
                <w:color w:val="auto"/>
                <w:w w:val="96"/>
              </w:rPr>
              <w:t>2011</w:t>
            </w: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1"/>
              <w:spacing w:after="0" w:line="135"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5" w:lineRule="exact"/>
              <w:rPr>
                <w:sz w:val="20"/>
                <w:szCs w:val="20"/>
                <w:color w:val="auto"/>
              </w:rPr>
            </w:pPr>
            <w:r>
              <w:rPr>
                <w:rFonts w:ascii="Arial" w:cs="Arial" w:eastAsia="Arial" w:hAnsi="Arial"/>
                <w:sz w:val="13"/>
                <w:szCs w:val="13"/>
                <w:b w:val="1"/>
                <w:bCs w:val="1"/>
                <w:color w:val="auto"/>
                <w:w w:val="89"/>
              </w:rPr>
              <w:t>2013</w:t>
            </w:r>
          </w:p>
        </w:tc>
        <w:tc>
          <w:tcPr>
            <w:tcW w:w="6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66"/>
              <w:spacing w:after="0" w:line="135" w:lineRule="exact"/>
              <w:rPr>
                <w:sz w:val="20"/>
                <w:szCs w:val="20"/>
                <w:color w:val="auto"/>
              </w:rPr>
            </w:pPr>
            <w:r>
              <w:rPr>
                <w:rFonts w:ascii="Arial" w:cs="Arial" w:eastAsia="Arial" w:hAnsi="Arial"/>
                <w:sz w:val="13"/>
                <w:szCs w:val="13"/>
                <w:b w:val="1"/>
                <w:bCs w:val="1"/>
                <w:color w:val="auto"/>
              </w:rPr>
              <w:t>2013</w:t>
            </w:r>
          </w:p>
        </w:tc>
        <w:tc>
          <w:tcPr>
            <w:tcW w:w="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5" w:lineRule="exact"/>
              <w:rPr>
                <w:sz w:val="20"/>
                <w:szCs w:val="20"/>
                <w:color w:val="auto"/>
              </w:rPr>
            </w:pPr>
            <w:r>
              <w:rPr>
                <w:rFonts w:ascii="Arial" w:cs="Arial" w:eastAsia="Arial" w:hAnsi="Arial"/>
                <w:sz w:val="13"/>
                <w:szCs w:val="13"/>
                <w:b w:val="1"/>
                <w:bCs w:val="1"/>
                <w:color w:val="auto"/>
                <w:w w:val="96"/>
              </w:rPr>
              <w:t>2014</w:t>
            </w:r>
          </w:p>
        </w:tc>
        <w:tc>
          <w:tcPr>
            <w:tcW w:w="30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jc w:val="center"/>
              <w:ind w:left="266"/>
              <w:spacing w:after="0" w:line="135" w:lineRule="exact"/>
              <w:rPr>
                <w:sz w:val="20"/>
                <w:szCs w:val="20"/>
                <w:color w:val="auto"/>
              </w:rPr>
            </w:pPr>
            <w:r>
              <w:rPr>
                <w:rFonts w:ascii="Arial" w:cs="Arial" w:eastAsia="Arial" w:hAnsi="Arial"/>
                <w:sz w:val="13"/>
                <w:szCs w:val="13"/>
                <w:b w:val="1"/>
                <w:bCs w:val="1"/>
                <w:color w:val="auto"/>
                <w:w w:val="98"/>
              </w:rPr>
              <w:t>(unaudited)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94"/>
        </w:trPr>
        <w:tc>
          <w:tcPr>
            <w:tcW w:w="4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Research and development</w:t>
            </w:r>
          </w:p>
        </w:tc>
        <w:tc>
          <w:tcPr>
            <w:tcW w:w="22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145</w:t>
            </w:r>
          </w:p>
        </w:tc>
        <w:tc>
          <w:tcPr>
            <w:tcW w:w="7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112</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70</w:t>
            </w: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96</w:t>
            </w:r>
          </w:p>
        </w:tc>
        <w:tc>
          <w:tcPr>
            <w:tcW w:w="300" w:type="dxa"/>
            <w:vAlign w:val="bottom"/>
            <w:shd w:val="clear" w:color="auto" w:fill="CCEEFF"/>
          </w:tcPr>
          <w:p>
            <w:pPr>
              <w:spacing w:after="0"/>
              <w:rPr>
                <w:sz w:val="16"/>
                <w:szCs w:val="16"/>
                <w:color w:val="auto"/>
              </w:rPr>
            </w:pPr>
          </w:p>
        </w:tc>
      </w:tr>
      <w:tr>
        <w:trPr>
          <w:trHeight w:val="194"/>
        </w:trPr>
        <w:tc>
          <w:tcPr>
            <w:tcW w:w="4140" w:type="dxa"/>
            <w:vAlign w:val="bottom"/>
          </w:tcPr>
          <w:p>
            <w:pPr>
              <w:spacing w:after="0" w:line="194" w:lineRule="exact"/>
              <w:rPr>
                <w:sz w:val="20"/>
                <w:szCs w:val="20"/>
                <w:color w:val="auto"/>
              </w:rPr>
            </w:pPr>
            <w:r>
              <w:rPr>
                <w:rFonts w:ascii="Arial" w:cs="Arial" w:eastAsia="Arial" w:hAnsi="Arial"/>
                <w:sz w:val="17"/>
                <w:szCs w:val="17"/>
                <w:color w:val="auto"/>
              </w:rPr>
              <w:t>General and administrative</w:t>
            </w: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290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600"/>
              <w:spacing w:after="0" w:line="194" w:lineRule="exact"/>
              <w:rPr>
                <w:sz w:val="20"/>
                <w:szCs w:val="20"/>
                <w:color w:val="auto"/>
              </w:rPr>
            </w:pPr>
            <w:r>
              <w:rPr>
                <w:rFonts w:ascii="Arial" w:cs="Arial" w:eastAsia="Arial" w:hAnsi="Arial"/>
                <w:sz w:val="17"/>
                <w:szCs w:val="17"/>
                <w:color w:val="auto"/>
              </w:rPr>
              <w:t>428</w:t>
            </w:r>
          </w:p>
        </w:tc>
        <w:tc>
          <w:tcPr>
            <w:tcW w:w="120" w:type="dxa"/>
            <w:vAlign w:val="bottom"/>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203</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277</w:t>
            </w:r>
          </w:p>
        </w:tc>
        <w:tc>
          <w:tcPr>
            <w:tcW w:w="300" w:type="dxa"/>
            <w:vAlign w:val="bottom"/>
          </w:tcPr>
          <w:p>
            <w:pPr>
              <w:spacing w:after="0"/>
              <w:rPr>
                <w:sz w:val="16"/>
                <w:szCs w:val="16"/>
                <w:color w:val="auto"/>
              </w:rPr>
            </w:pPr>
          </w:p>
        </w:tc>
      </w:tr>
      <w:tr>
        <w:trPr>
          <w:trHeight w:val="26"/>
        </w:trPr>
        <w:tc>
          <w:tcPr>
            <w:tcW w:w="4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4"/>
        </w:trPr>
        <w:tc>
          <w:tcPr>
            <w:tcW w:w="414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Total</w:t>
            </w:r>
          </w:p>
        </w:tc>
        <w:tc>
          <w:tcPr>
            <w:tcW w:w="220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435</w:t>
            </w:r>
          </w:p>
        </w:tc>
        <w:tc>
          <w:tcPr>
            <w:tcW w:w="7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406</w:t>
            </w: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600"/>
              <w:spacing w:after="0" w:line="194" w:lineRule="exact"/>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273</w:t>
            </w: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373</w:t>
            </w:r>
          </w:p>
        </w:tc>
        <w:tc>
          <w:tcPr>
            <w:tcW w:w="300" w:type="dxa"/>
            <w:vAlign w:val="bottom"/>
            <w:shd w:val="clear" w:color="auto" w:fill="CCEEFF"/>
          </w:tcPr>
          <w:p>
            <w:pPr>
              <w:spacing w:after="0"/>
              <w:rPr>
                <w:sz w:val="16"/>
                <w:szCs w:val="16"/>
                <w:color w:val="auto"/>
              </w:rPr>
            </w:pPr>
          </w:p>
        </w:tc>
      </w:tr>
      <w:tr>
        <w:trPr>
          <w:trHeight w:val="20"/>
        </w:trPr>
        <w:tc>
          <w:tcPr>
            <w:tcW w:w="4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1"/>
        </w:trPr>
        <w:tc>
          <w:tcPr>
            <w:tcW w:w="41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Financial Risks: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 Foreign Currency Exchange Risk: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2013 and June 30, 2014, the Company had U.S. dollar denominated cash and cash equivalents of $6,365 (December 31, 2012—</w:t>
      </w:r>
    </w:p>
    <w:p>
      <w:pPr>
        <w:ind w:right="140"/>
        <w:spacing w:after="0" w:line="245" w:lineRule="auto"/>
        <w:rPr>
          <w:sz w:val="20"/>
          <w:szCs w:val="20"/>
          <w:color w:val="auto"/>
        </w:rPr>
      </w:pPr>
      <w:r>
        <w:rPr>
          <w:rFonts w:ascii="Arial" w:cs="Arial" w:eastAsia="Arial" w:hAnsi="Arial"/>
          <w:sz w:val="17"/>
          <w:szCs w:val="17"/>
          <w:color w:val="auto"/>
        </w:rPr>
        <w:t>$51,100) and $8,436, respectively and Canadian denominated cash, cash equivalents and marketable securities of CAD$45,641 (December 31, 2012— CAD$9,000) and $38,703,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44"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Financial Risks (continued):</w:t>
      </w:r>
    </w:p>
    <w:p>
      <w:pPr>
        <w:spacing w:after="0" w:line="83" w:lineRule="exact"/>
        <w:rPr>
          <w:sz w:val="20"/>
          <w:szCs w:val="20"/>
          <w:color w:val="auto"/>
        </w:rPr>
      </w:pPr>
    </w:p>
    <w:p>
      <w:pPr>
        <w:jc w:val="both"/>
        <w:ind w:right="140"/>
        <w:spacing w:after="0" w:line="241" w:lineRule="auto"/>
        <w:rPr>
          <w:sz w:val="20"/>
          <w:szCs w:val="20"/>
          <w:color w:val="auto"/>
        </w:rPr>
      </w:pPr>
      <w:r>
        <w:rPr>
          <w:rFonts w:ascii="Arial" w:cs="Arial" w:eastAsia="Arial" w:hAnsi="Arial"/>
          <w:sz w:val="17"/>
          <w:szCs w:val="17"/>
          <w:color w:val="auto"/>
        </w:rPr>
        <w:t>The Company faces foreign currency exchange rate risk in part, as a result of entering into transactions denominated in currencies other than Canadian dollars, particularly those denominated in U.S. dollars and Euros. The Company also holds non-Canadian dollar denominated cash, accounts receivable and accounts payable, which are primarily denominated in U.S. dollars.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Changes in foreign currency exchange rates can create significant foreign exchange gains or losses to the Company. The Company’s current foreign currency risk is primarily with the U.S. dollar as a majority of its non-Canadian dollar denominated expenses are denominated in U.S. dollars. To limit the Company’s exposure to volatility in currency markets, the Company maintains a natural currency hedge against fluctuations in currency exchange rates by estimating its anticipated expenses that will be denominated in currencies other than the Canadian dollar and then purchasing a corresponding amount of the relevant foreign currency at the current spot rate. The Company does not otherwise hedge its exposure and thus assumes the risk of future gains or losses on the amounts of foreign currency held. The impact of an adverse change in foreign exchange rates may be offset in the event the Company receives a milestone payment from a foreign partner.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 Interest Rate Risk:</w:t>
      </w:r>
    </w:p>
    <w:p>
      <w:pPr>
        <w:spacing w:after="0" w:line="2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At December 31, 2013 and June 30, 2014, the Company had cash and cash equivalents of $37,950 (December 31, 2012—$60,162) and $44,710, respectively, which consisted of bank deposits. At December 31, 2013, the Company had marketable securities of $11,326 (December 31, 2012—$0). The goals of the Company’s investment policy are liquidity and capital preservation; the Company does not enter into investments for trading or speculative purposes and has not used any derivative financial instruments to manage its interest rate exposure. The Company believes that it does not have any material exposure to changes in the fair value of these assets as a result of changes in interest rates due to the short term nature of the Company’s cash and cash equivalents. Declines in interest rates, however, would reduce future investment income. Such interest-earning instruments carry a degree of interest rate risk; however, historical fluctuations in interest income have not been significant. The Company had no outstanding debt as of December 31, 2013 and June 30, 2014 (unaudited).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w:t>
      </w:r>
    </w:p>
    <w:p>
      <w:pPr>
        <w:spacing w:after="0" w:line="7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Company has entered into a number of collaboration agreements with multiple deliverables under which it may have received non-refundable upfront payments. The Company generally recognizes revenue from upfront payments ratably over the term of its estimated period of performance of research under its collaboration agreements in the event that such arrangements represent a single unit of accounting.</w:t>
      </w:r>
    </w:p>
    <w:p>
      <w:pPr>
        <w:spacing w:after="0" w:line="10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milestones in the Company’s collaboration agreements may include the following types of events:</w:t>
      </w:r>
    </w:p>
    <w:p>
      <w:pPr>
        <w:spacing w:after="0" w:line="30" w:lineRule="exact"/>
        <w:rPr>
          <w:sz w:val="20"/>
          <w:szCs w:val="20"/>
          <w:color w:val="auto"/>
        </w:rPr>
      </w:pPr>
    </w:p>
    <w:p>
      <w:pPr>
        <w:ind w:left="780" w:hanging="441"/>
        <w:spacing w:after="0"/>
        <w:tabs>
          <w:tab w:leader="none" w:pos="780" w:val="left"/>
        </w:tabs>
        <w:numPr>
          <w:ilvl w:val="0"/>
          <w:numId w:val="115"/>
        </w:numPr>
        <w:rPr>
          <w:rFonts w:ascii="Arial" w:cs="Arial" w:eastAsia="Arial" w:hAnsi="Arial"/>
          <w:sz w:val="26"/>
          <w:szCs w:val="26"/>
          <w:color w:val="auto"/>
          <w:vertAlign w:val="superscript"/>
        </w:rPr>
      </w:pPr>
      <w:r>
        <w:rPr>
          <w:rFonts w:ascii="Arial" w:cs="Arial" w:eastAsia="Arial" w:hAnsi="Arial"/>
          <w:sz w:val="17"/>
          <w:szCs w:val="17"/>
          <w:color w:val="auto"/>
        </w:rPr>
        <w:t>completion of preclinical research and development work leading to selection of product candidates;</w:t>
      </w:r>
    </w:p>
    <w:p>
      <w:pPr>
        <w:spacing w:after="0" w:line="17"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5"/>
        </w:numPr>
        <w:rPr>
          <w:rFonts w:ascii="Arial" w:cs="Arial" w:eastAsia="Arial" w:hAnsi="Arial"/>
          <w:sz w:val="23"/>
          <w:szCs w:val="23"/>
          <w:color w:val="auto"/>
          <w:vertAlign w:val="superscript"/>
        </w:rPr>
      </w:pPr>
      <w:r>
        <w:rPr>
          <w:rFonts w:ascii="Arial" w:cs="Arial" w:eastAsia="Arial" w:hAnsi="Arial"/>
          <w:sz w:val="15"/>
          <w:szCs w:val="15"/>
          <w:color w:val="auto"/>
        </w:rPr>
        <w:t>initiation of Phase 1, Phase 2 or Phase 3 clinical trials; and</w:t>
      </w:r>
    </w:p>
    <w:p>
      <w:pPr>
        <w:spacing w:after="0" w:line="17" w:lineRule="exact"/>
        <w:rPr>
          <w:rFonts w:ascii="Arial" w:cs="Arial" w:eastAsia="Arial" w:hAnsi="Arial"/>
          <w:sz w:val="23"/>
          <w:szCs w:val="23"/>
          <w:color w:val="auto"/>
          <w:vertAlign w:val="superscript"/>
        </w:rPr>
      </w:pPr>
    </w:p>
    <w:p>
      <w:pPr>
        <w:ind w:left="780" w:hanging="441"/>
        <w:spacing w:after="0" w:line="183" w:lineRule="auto"/>
        <w:tabs>
          <w:tab w:leader="none" w:pos="780" w:val="left"/>
        </w:tabs>
        <w:numPr>
          <w:ilvl w:val="0"/>
          <w:numId w:val="115"/>
        </w:numPr>
        <w:rPr>
          <w:rFonts w:ascii="Arial" w:cs="Arial" w:eastAsia="Arial" w:hAnsi="Arial"/>
          <w:sz w:val="23"/>
          <w:szCs w:val="23"/>
          <w:color w:val="auto"/>
          <w:vertAlign w:val="superscript"/>
        </w:rPr>
      </w:pPr>
      <w:r>
        <w:rPr>
          <w:rFonts w:ascii="Arial" w:cs="Arial" w:eastAsia="Arial" w:hAnsi="Arial"/>
          <w:sz w:val="15"/>
          <w:szCs w:val="15"/>
          <w:color w:val="auto"/>
        </w:rPr>
        <w:t>achievement of certain other scientific or development events.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45" w:right="2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Regulatory milestone payments may include the following types of events:</w:t>
      </w:r>
    </w:p>
    <w:p>
      <w:pPr>
        <w:spacing w:after="0" w:line="127" w:lineRule="exact"/>
        <w:rPr>
          <w:sz w:val="20"/>
          <w:szCs w:val="20"/>
          <w:color w:val="auto"/>
        </w:rPr>
      </w:pPr>
    </w:p>
    <w:p>
      <w:pPr>
        <w:ind w:left="780" w:right="20" w:hanging="441"/>
        <w:spacing w:after="0" w:line="191" w:lineRule="auto"/>
        <w:tabs>
          <w:tab w:leader="none" w:pos="780" w:val="left"/>
        </w:tabs>
        <w:numPr>
          <w:ilvl w:val="0"/>
          <w:numId w:val="116"/>
        </w:numPr>
        <w:rPr>
          <w:rFonts w:ascii="Arial" w:cs="Arial" w:eastAsia="Arial" w:hAnsi="Arial"/>
          <w:sz w:val="26"/>
          <w:szCs w:val="26"/>
          <w:color w:val="auto"/>
          <w:vertAlign w:val="superscript"/>
        </w:rPr>
      </w:pPr>
      <w:r>
        <w:rPr>
          <w:rFonts w:ascii="Arial" w:cs="Arial" w:eastAsia="Arial" w:hAnsi="Arial"/>
          <w:sz w:val="17"/>
          <w:szCs w:val="17"/>
          <w:color w:val="auto"/>
        </w:rPr>
        <w:t>filing of regulatory applications for marketing approval in the U.S., Europe or Japan, including Investigational New Drug (“IND”) applications and New Drug Applications (“NDA”); and</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6"/>
        </w:numPr>
        <w:rPr>
          <w:rFonts w:ascii="Arial" w:cs="Arial" w:eastAsia="Arial" w:hAnsi="Arial"/>
          <w:sz w:val="25"/>
          <w:szCs w:val="25"/>
          <w:color w:val="auto"/>
          <w:vertAlign w:val="superscript"/>
        </w:rPr>
      </w:pPr>
      <w:r>
        <w:rPr>
          <w:rFonts w:ascii="Arial" w:cs="Arial" w:eastAsia="Arial" w:hAnsi="Arial"/>
          <w:sz w:val="16"/>
          <w:szCs w:val="16"/>
          <w:color w:val="auto"/>
        </w:rPr>
        <w:t>marketing approval in a major market, such as the U.S., Europe or Japan.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milestone payments may include payments triggered by annual product sales that achieve pre-specified thresholds.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uniQure Biopharma B.V. (“uniQure”) sublicense and research agreement:</w:t>
      </w:r>
    </w:p>
    <w:p>
      <w:pPr>
        <w:spacing w:after="0" w:line="2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Effective August 2000, the Company entered into a sublicense and research agreement with uniQure (formerly Amsterdam Molecular Therapeutics), pursuant to which the Company granted to uniQure an exclusive, worldwide sublicense under certain intellectual property controlled by the Company to develop and commercialize technology and compounds related to a certain variant of lipoprotein lipase (“LPL”). Under its sublicense and research agreement with uniQure, the Company collaborated with uniQure and the University of British Columbia (“UBC”) on preclinical activities, and thereafter uniQure developed an LPL gene therapy product, Glybera, which contains the LPL variant. Glybera was approved in the European Union (“EU”) in October 2012 to treat lipoprotein lipase deficiency (“LPLD”) in patients with severe or multiple pancreatitis attacks, despite dietary fat restrictions. uniQure conducted the clinical trials and is responsible for the commercialization of Glybera. During the year ended December 31, 2013, the Company received milestone payments of CAD$531. No such milestone payments have been recognized in the six months ended June 30, 2014 (unaudited).</w:t>
      </w:r>
    </w:p>
    <w:p>
      <w:pPr>
        <w:spacing w:after="0" w:line="114"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Under the terms of the agreement, the Company is eligible to receive certain additional milestone payments of less than CAD$1,000 for Glybera and for each subsequent product, if any, developed pursuant to the agreement with uniQure. The Company, in turn, has certain payment obligations to its licensor, UBC, based on amounts received from uniQure or otherwise based on the exploitation of the licensed intellectual property. The Company believes that all potential milestone payments under this agreement are substantive and at risk at the inception of this agreement, and, as such, expects that future milestone payments will be recognized as revenue in the period that each milestone is achieved.</w:t>
      </w:r>
    </w:p>
    <w:p>
      <w:pPr>
        <w:spacing w:after="0" w:line="11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Company is also eligible to receive mid single-digit royalties on net sales of the licensed products, for sales made by uniQure and its affiliates. The royalty rates for sales made by uniQure and its affiliates are reduced to a low single-digit when the licensed patents expire.</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July 2013, uniQure announced that it entered into a partnership with Chiesi Farmaceutici S.p.A. (“Chiesi”) for the commercialization of Glybera in the European Union and more than a dozen other countries including Brazil, China, Mexico and Russia. With respect to uniQure’s sublicense to Chiesi, the Company is eligible to receive a percentage in the low twenties of all non-royalty compensation relating to the licensed technology or products that uniQure receives from Chiesi (including,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the Company’s licensed technology or products after the expiration of all licensed patents covering the product. If uniQure grants a sublicense to a third party other than to Chiesi, then the Company is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w:t>
      </w:r>
    </w:p>
    <w:p>
      <w:pPr>
        <w:spacing w:after="0" w:line="11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Pursuant to the terms of the Company’s agreement with UBC, the Company must pay to UBC a single-digit percentage of amounts the Company receives from sales of Glybera.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4" w:right="2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(b) Teva Pharmaceutical Industries Ltd. (“Teva”) collaborative development and license agreement:</w:t>
      </w:r>
    </w:p>
    <w:p>
      <w:pPr>
        <w:spacing w:after="0" w:line="2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December 2012, the Company entered into a collaborative development and license agreement with Teva, through its subsidiary, Ivax International GmbH, pursuant to which the Company granted Teva an exclusive worldwide license to develop and commercialize certain products, including TV-45070 (formerly XEN402).</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Under the terms of the agreement, Teva paid the Company an upfront fee of $41,000. The Company is collaborating with Teva to further develop TV-45070, and Teva is funding all development costs with respect to the licensed products. Teva is providing funding to the Company for certain of the Company’s full-time equivalents (“FTEs”) performing the research collaboration plan. The Company identified several deliverables under the agreement with Teva, including exclusive licenses to compounds and non-exclusive licenses to companion diagnostic products, a commitment to participate in a joint steering committee and research and development services to be performed by the Company on behalf of Teva. The Company concluded that the licenses did not have stand-alone value to Teva without the Company’s technical expertise and joint steering committee participation during the initial three-year period.</w:t>
      </w:r>
    </w:p>
    <w:p>
      <w:pPr>
        <w:spacing w:after="0" w:line="109"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Therefore, the Company has determined that the various deliverables under this agreement should be considered as a single unit of accounting. As such the Company determined that the $41,000 upfront payment should be recognized as revenue ratably over the expected period of performance, being the three-year period ending December 31, 2015.</w:t>
      </w:r>
    </w:p>
    <w:p>
      <w:pPr>
        <w:spacing w:after="0" w:line="10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Company is eligible to receive potential milestone payments totaling up to $335,000, comprised of a $20,000 clinical milestone payment, up to $285,000 in regulatory milestone payments, and a $30,000 sales-based milestone payment. If TV-45070 is approved, the Company is also eligible to receive royalties in the low teens to low twenties on net sales of licensed products for the timeframe that such products are covered by the licensed patents and in certain other instances. The Company believes that potential milestone payments for development and regulatory milestones under this agreement are substantive and at risk at the inception of this agreement, and, as such, expects that these future milestone payments will be recognized as revenue in the period that each milestone is achieved. 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As of June 30, 2014, no such milestone payments have been recognized (unaudited).</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has an option to a 20% to 30% co-promotion interest for products incorporating TV-45070 in the U.S. The Company’s exercise of this option is subject to meeting objective financial conditions, staffing requirements and compliance standards to be determined in Teva’s reasonable discretion in accordance with standard industry practice. The Company’s co-promotion option is exercisable upon the filing of the first NDA for a TV-45070 product with the FDA, and the Company will be obligated to pay an opt-in fee to Teva, which is calculated by multiplying the Company’s co-promotion interest (as a percentage) by the amount of certain milestones paid or payable by Teva, to which is added certain past and future development costs incurred by Teva with respect to the product for the U.S. Such opt-in fee is payable as a reduction to the milestone payments or the Company’s share of operating profits that Teva would otherwise owe to the Company, or a combination of the two. If the Company exercises this option, the Company will be eligible to receive, in lieu of royalties with respect to such product sales in the U.S., a percentage share (equal to the Company’s co-promotion interest) of operating profits from such product sales in the U.S.</w:t>
      </w:r>
    </w:p>
    <w:p>
      <w:pPr>
        <w:spacing w:after="0" w:line="11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Pursuant to the terms of the agreement, the Company has the right to require Teva or an affiliate of Teva, upon written notice, to purchase the Company’s common shares issued in the proposed IPO if Teva has commenced a Phase 2b clinical trial of any licensed product under the agreement and if certain minimum price per common share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4" w:right="23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and gross proceed thresholds are met in connection with the proposed IPO. The number of common shares that Teva or its affiliate would be required to purchase in the proposed IPO upon receipt of such notice would equal to the lesser of:</w:t>
      </w:r>
    </w:p>
    <w:p>
      <w:pPr>
        <w:spacing w:after="0" w:line="117" w:lineRule="exact"/>
        <w:rPr>
          <w:sz w:val="20"/>
          <w:szCs w:val="20"/>
          <w:color w:val="auto"/>
        </w:rPr>
      </w:pPr>
    </w:p>
    <w:p>
      <w:pPr>
        <w:ind w:left="780" w:hanging="441"/>
        <w:spacing w:after="0" w:line="191" w:lineRule="auto"/>
        <w:tabs>
          <w:tab w:leader="none" w:pos="780" w:val="left"/>
        </w:tabs>
        <w:numPr>
          <w:ilvl w:val="0"/>
          <w:numId w:val="117"/>
        </w:numPr>
        <w:rPr>
          <w:rFonts w:ascii="Arial" w:cs="Arial" w:eastAsia="Arial" w:hAnsi="Arial"/>
          <w:sz w:val="26"/>
          <w:szCs w:val="26"/>
          <w:color w:val="auto"/>
          <w:vertAlign w:val="superscript"/>
        </w:rPr>
      </w:pPr>
      <w:r>
        <w:rPr>
          <w:rFonts w:ascii="Arial" w:cs="Arial" w:eastAsia="Arial" w:hAnsi="Arial"/>
          <w:sz w:val="17"/>
          <w:szCs w:val="17"/>
          <w:color w:val="auto"/>
        </w:rPr>
        <w:t>$20,000 divided by the initial public offering price of the Company’s common shares in the proposed IPO, if the proposed IPO occurs on or after the date Teva commences a Phase 3 clinical trial of any licensed product;</w:t>
      </w:r>
    </w:p>
    <w:p>
      <w:pPr>
        <w:spacing w:after="0" w:line="19" w:lineRule="exact"/>
        <w:rPr>
          <w:rFonts w:ascii="Arial" w:cs="Arial" w:eastAsia="Arial" w:hAnsi="Arial"/>
          <w:sz w:val="26"/>
          <w:szCs w:val="26"/>
          <w:color w:val="auto"/>
          <w:vertAlign w:val="superscript"/>
        </w:rPr>
      </w:pPr>
    </w:p>
    <w:p>
      <w:pPr>
        <w:ind w:left="780" w:right="260" w:hanging="441"/>
        <w:spacing w:after="0" w:line="191" w:lineRule="auto"/>
        <w:tabs>
          <w:tab w:leader="none" w:pos="780" w:val="left"/>
        </w:tabs>
        <w:numPr>
          <w:ilvl w:val="0"/>
          <w:numId w:val="117"/>
        </w:numPr>
        <w:rPr>
          <w:rFonts w:ascii="Arial" w:cs="Arial" w:eastAsia="Arial" w:hAnsi="Arial"/>
          <w:sz w:val="26"/>
          <w:szCs w:val="26"/>
          <w:color w:val="auto"/>
          <w:vertAlign w:val="superscript"/>
        </w:rPr>
      </w:pPr>
      <w:r>
        <w:rPr>
          <w:rFonts w:ascii="Arial" w:cs="Arial" w:eastAsia="Arial" w:hAnsi="Arial"/>
          <w:sz w:val="17"/>
          <w:szCs w:val="17"/>
          <w:color w:val="auto"/>
        </w:rPr>
        <w:t>$10,000 divided by the initial public offering price of the Company’s common shares in the proposed IPO, if the proposed IPO occurs prior to the date Teva commences a Phase 3 clinical trial of any licensed product;</w:t>
      </w:r>
    </w:p>
    <w:p>
      <w:pPr>
        <w:spacing w:after="0" w:line="1" w:lineRule="exact"/>
        <w:rPr>
          <w:rFonts w:ascii="Arial" w:cs="Arial" w:eastAsia="Arial" w:hAnsi="Arial"/>
          <w:sz w:val="26"/>
          <w:szCs w:val="26"/>
          <w:color w:val="auto"/>
          <w:vertAlign w:val="superscript"/>
        </w:rPr>
      </w:pPr>
    </w:p>
    <w:p>
      <w:pPr>
        <w:ind w:left="780" w:hanging="441"/>
        <w:spacing w:after="0" w:line="183" w:lineRule="auto"/>
        <w:tabs>
          <w:tab w:leader="none" w:pos="780" w:val="left"/>
        </w:tabs>
        <w:numPr>
          <w:ilvl w:val="0"/>
          <w:numId w:val="117"/>
        </w:numPr>
        <w:rPr>
          <w:rFonts w:ascii="Arial" w:cs="Arial" w:eastAsia="Arial" w:hAnsi="Arial"/>
          <w:sz w:val="25"/>
          <w:szCs w:val="25"/>
          <w:color w:val="auto"/>
          <w:vertAlign w:val="superscript"/>
        </w:rPr>
      </w:pPr>
      <w:r>
        <w:rPr>
          <w:rFonts w:ascii="Arial" w:cs="Arial" w:eastAsia="Arial" w:hAnsi="Arial"/>
          <w:sz w:val="16"/>
          <w:szCs w:val="16"/>
          <w:color w:val="auto"/>
        </w:rPr>
        <w:t>19% of the Company’s issued and outstanding shares after giving effect to the common shares to be issued in the proposed IPO; and</w:t>
      </w:r>
    </w:p>
    <w:p>
      <w:pPr>
        <w:spacing w:after="0" w:line="17" w:lineRule="exact"/>
        <w:rPr>
          <w:rFonts w:ascii="Arial" w:cs="Arial" w:eastAsia="Arial" w:hAnsi="Arial"/>
          <w:sz w:val="25"/>
          <w:szCs w:val="25"/>
          <w:color w:val="auto"/>
          <w:vertAlign w:val="superscript"/>
        </w:rPr>
      </w:pPr>
    </w:p>
    <w:p>
      <w:pPr>
        <w:ind w:left="780" w:hanging="441"/>
        <w:spacing w:after="0" w:line="183" w:lineRule="auto"/>
        <w:tabs>
          <w:tab w:leader="none" w:pos="780" w:val="left"/>
        </w:tabs>
        <w:numPr>
          <w:ilvl w:val="0"/>
          <w:numId w:val="117"/>
        </w:numPr>
        <w:rPr>
          <w:rFonts w:ascii="Arial" w:cs="Arial" w:eastAsia="Arial" w:hAnsi="Arial"/>
          <w:sz w:val="23"/>
          <w:szCs w:val="23"/>
          <w:color w:val="auto"/>
          <w:vertAlign w:val="superscript"/>
        </w:rPr>
      </w:pPr>
      <w:r>
        <w:rPr>
          <w:rFonts w:ascii="Arial" w:cs="Arial" w:eastAsia="Arial" w:hAnsi="Arial"/>
          <w:sz w:val="15"/>
          <w:szCs w:val="15"/>
          <w:color w:val="auto"/>
        </w:rPr>
        <w:t>a number of common shares specified by the Company in a written notice to Teva.</w:t>
      </w:r>
    </w:p>
    <w:p>
      <w:pPr>
        <w:spacing w:after="0" w:line="108"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Teva may terminate the agreement upon 60 days advanced written notice to the Company after at least three Phase 2 (or later stage) clinical studies have been completed or in the event that safety or efficacy issues arise in the development of the licensed products. Either party may terminate the agreement in the event of the other’s material breach which remains uncured for 90 business days. In certain termination circumstances, the Company receives licenses to Teva intellectual property relating to TV-45070 clinical development and regulatory filings. If patents within such Teva intellectual property cover the TV-45070 product, then Teva is eligible to receive royalties from the Company based on a percentage of net product sales, within the mid single-digit range.</w:t>
      </w:r>
    </w:p>
    <w:p>
      <w:pPr>
        <w:spacing w:after="0" w:line="110"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Pursuant to the terms of the Company’s agreement with the Memorial University of Newfoundland, the Company must pay to the Memorial University of Newfoundland certain milestone payments, a single-digit percentage of net sales for pain products the Company sells directly and a single-digit percentage of royalties received for sales of pain products by the Company’s third party licensees, such as under the Teva and Genentech agreements.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 Genentech Inc. (“Genentech”) collaborative research and license agreement:</w:t>
      </w:r>
    </w:p>
    <w:p>
      <w:pPr>
        <w:spacing w:after="0" w:line="2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 December 2011, the Company entered into a collaborative research and license agreement with Genentech and its affiliate, F. Hoffman-La Roche Ltd. (“Roche”) to discover and develop small and large molecules that selectively inhibit the Nav1.7 sodium channel and companion diagnostics for the potential treatment of pain. Pursuant to this agreement, the Company granted Genentech a worldwide exclusive license to develop and commercialize compounds directed to Nav1.7 and products incorporating such compounds for all uses. The Company also granted Genentech a worldwide non-exclusive license to diagnostic products for the purpose of developing or commercializing such compounds.</w:t>
      </w:r>
    </w:p>
    <w:p>
      <w:pPr>
        <w:spacing w:after="0" w:line="11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terms of the agreement, Genentech paid the Company an upfront fee of $10,000 and a $5,000 milestone payment for the selection of GDC-0276 for development. Genentech is providing funding to the Company for certain of the Company’s FTEs performing the research collaboration plan. The Company identified several deliverables under the agreement with Genentech, including exclusive licenses to compounds and non-exclusive licenses to diagnostic products, a commitment to participate in a joint steering committee and research and development services to be performed by the Company on behalf of Genentech. The Company concluded that the licenses did not have stand-alone value to Genentech without the Company’s technical expertise and joint steering committee participation during the initial three year period. Therefore, the Company has determined that the various deliverables should be considered as a single unit of accounting. As such the Company determined that the $10,000 upfront payment should be recognized as revenue ratably over the expected period of performance, being the three-year period ending December 22, 2014.</w:t>
      </w:r>
    </w:p>
    <w:p>
      <w:pPr>
        <w:spacing w:after="0" w:line="11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Company is eligible to receive pre-commercial and commercial milestone payments with respect to the licensed products totaling up to an additional $621,000, comprised of up to $53,500 in preclinical and clinical milestone payments, up to $387,500 in regulatory milestone payments, and up to $180,000 in sales-based milestone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44" w:right="2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payments for multiple products and indications. In addition, the Company is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plus a low single-digit percentage for large-molecule inhibitors of Nav1.7. The Company believes that the potential milestone payments for preclinical, clinical and regulatory milestones under this agreement are substantive and at risk at inception of this agreement, and, as such, expects that these future milestone payments will be recognized as revenue in the period that each milestone is achieved. In the year ended December 31, 2013, a $5,000 milestone payment has been recognized. No such milestone payments have been recognized in the six months ended June 30, 2014 (unaudited).</w:t>
      </w:r>
    </w:p>
    <w:p>
      <w:pPr>
        <w:spacing w:after="0" w:line="10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As of both December 31, 2013 and June 30, 2014 (unaudited), no such milestone payments have been recognized.</w:t>
      </w:r>
    </w:p>
    <w:p>
      <w:pPr>
        <w:spacing w:after="0" w:line="111"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The Company’s agreement with Genentech expires on the date of the expiration of all payment obligations to the Company under the agreement. Genentech may terminate the agreement with three months advance notice anytime on or after the third anniversary of the effective date of the agreement, and each party may terminate the agreement in the event of a material breach by the other party that remains uncured for 90 days. In the event that Genentech terminates the agreement due to the Company’s breach, Genentech retains its licenses and its payment obligations to the Company are reduced. In the event that the Company terminates the agreement due to Genentech’s breach, the rights and licenses granted to Genentech revert back to the Company, subject to certain rights to make and use certain large molecule product candidates that are retained by Genentech, and Genentech is obligated to assign certain regulatory approvals and grant certain licenses to the Company to enable the Company to develop and commercialize certain terminated products outside of the collaboration.</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March 2014, the Company entered into a new agreement with Genentech for pain genetics, using the Company’s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the Company and Genentech. The Company also granted Genentech a time-limited, exclusive right of first negotiation on a target-by-target basis to form joint drug discovery collaborations. Under the terms of this agreement, Genentech paid an upfront payment of $1,500. The Company is eligible for an additional $2,000 in milestone payments, and, at the Company’s option, a Genentech affiliate will invest up to $5,000 in a private placement concurrent with the potential IPO.</w:t>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The Company identified several deliverables under this agreement with Genentech, including non-exclusive licenses to certain intellectual property controlled by the Company, a commitment to participate in a joint steering committee and collaborative research services to be performed by the Company. The Company concluded that the licenses did not have stand-alone value to Genentech without the Company’s technical expertise and joint steering committee participation during the initial two year period. Therefore, the Company has determined that the various deliverables should be considered as a single unit of accounting. As such the Company determined that the $1,500 upfront payment should be recognized as revenue ratably over the expected period of performance, being the two-year period ending March 18, 2016.</w:t>
      </w:r>
    </w:p>
    <w:p>
      <w:pPr>
        <w:spacing w:after="0" w:line="110"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The Company believes that the potential milestone payments under this agreement are substantive and at risk at inception of this agreement, and, as such, expects that these future milestone payments will be recognized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380"/>
          </w:cols>
          <w:pgMar w:left="240" w:top="444" w:right="27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revenue in the period that each milestone is achieved. As of June 30, 2014 (unaudited), no such milestone payments have been recognized.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(d) Isis collaboration and licensing agreement:</w:t>
      </w:r>
    </w:p>
    <w:p>
      <w:pPr>
        <w:spacing w:after="0" w:line="2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November 2010, the Company entered into a collaboration and license agreement with Isis. The Company issued Isis a convertible, interest-bearing promissory note as payment of the $1,500 upfront fee required by the agreement, which was accounted for as a research and development expense. In June 2013, the Company made this payment to Isis, including accrued interest, pursuant to the terms of the convertible promissory note. Under the terms of this agreement, the Company received an option to obtain from Isis worldwide exclusive licenses to develop and commercialize antisense products targeting hepcidin and/or hemojuvelin, each of which is a validated target for anemia of chronic disease. Antisense products have the potential to treat diseases by binding to and inactivating the messenger RNA of disease-causing genes. The antisense products under this program targeted hepcidin, a liver-derived peptide hormone that regulates iron levels in the body. The option became exercisable upon the initiation of IND-enabling toxicology studies with a development candidate compound. Isis and the Company were responsible for their own costs related to the initial research program that led to the selection of the development candidate compound. During the year ended December 31, 2013, the Company exercised the option. Under the terms of the agreement, the Company paid Isis an option exercise fee of $2,000, which was accounted for as a research and development expense for the period. In the fourth quarter of 2013, the Company discontinued development of product candidates under this program.</w:t>
      </w:r>
    </w:p>
    <w:p>
      <w:pPr>
        <w:spacing w:after="0" w:line="11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The Company may terminate the agreement with Isis upon 90 days’ notice to Isis. Either party may terminate the agreement in the event of a material breach by the other party that remains uncured for 60 days. In the first quarter of 2014, the Company provided notice of termination of the agreement to Isis.</w:t>
      </w:r>
    </w:p>
    <w:p>
      <w:pPr>
        <w:spacing w:after="0" w:line="108" w:lineRule="exact"/>
        <w:rPr>
          <w:sz w:val="20"/>
          <w:szCs w:val="20"/>
          <w:color w:val="auto"/>
        </w:rPr>
      </w:pPr>
    </w:p>
    <w:p>
      <w:pPr>
        <w:ind w:right="100" w:firstLine="3"/>
        <w:spacing w:after="0" w:line="245" w:lineRule="auto"/>
        <w:tabs>
          <w:tab w:leader="none" w:pos="25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Essex Chemie AG (formerly known as Merck Sharp &amp; Dohme GmbH), an affiliate of Merck &amp; Co., Inc. (“Merck”), exclusive collaborative research and option agreement:</w:t>
      </w:r>
    </w:p>
    <w:p>
      <w:pPr>
        <w:spacing w:after="0" w:line="13" w:lineRule="exact"/>
        <w:rPr>
          <w:rFonts w:ascii="Arial" w:cs="Arial" w:eastAsia="Arial" w:hAnsi="Arial"/>
          <w:sz w:val="17"/>
          <w:szCs w:val="17"/>
          <w:color w:val="auto"/>
        </w:rPr>
      </w:pPr>
    </w:p>
    <w:p>
      <w:pPr>
        <w:ind w:right="80"/>
        <w:spacing w:after="0"/>
        <w:rPr>
          <w:rFonts w:ascii="Arial" w:cs="Arial" w:eastAsia="Arial" w:hAnsi="Arial"/>
          <w:sz w:val="17"/>
          <w:szCs w:val="17"/>
          <w:color w:val="auto"/>
        </w:rPr>
      </w:pPr>
      <w:r>
        <w:rPr>
          <w:rFonts w:ascii="Arial" w:cs="Arial" w:eastAsia="Arial" w:hAnsi="Arial"/>
          <w:sz w:val="17"/>
          <w:szCs w:val="17"/>
          <w:color w:val="auto"/>
        </w:rPr>
        <w:t>In June 2009, the Company entered into an exclusive collaborative research and option agreement with Merck pursuant to which the parties conducted a research program to discover and develop novel small-molecule candidates for the potential treatment of cardiovascular disease. Merck provided payments to the Company for the Company’s FTEs who performed the Company’s activities pursuant to the research program conducted under the agreement. The Merck collaborative research program ended in December 2012.</w:t>
      </w:r>
    </w:p>
    <w:p>
      <w:pPr>
        <w:spacing w:after="0" w:line="10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the Company agreed to perform certain genome sequencing work in exchange for a milestone payment of $5,000 payable upon successful conclusion of such work. This payment was made by Merck in February 2010. The Company has determined that this milestone payment was not substantive and should not be considered as a separate element. The Company identified several deliverables under the agreement with Merck, including options to obtain a license, a commitment to participate in a joint steering committee and research and development services to be performed by the Company on behalf of Merck. The Company concluded that the options to license did not have stand-alone value apart from the related research and development services to be delivered. In addition, the Company was unable to estimate a fair value for the undelivered items in the agreement with Merck. Accordingly, the Company has accounted for the deliverables under this agreement as a single unit of accounting.</w:t>
      </w:r>
    </w:p>
    <w:p>
      <w:pPr>
        <w:spacing w:after="0" w:line="10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Under the terms of the agreement, Merck had the option to obtain an exclusive license under certain intellectual property controlled by the Company to develop and commercialize compounds and products directed to targets in the research program, which has now expired. In June 2012, Merck exercised its option and paid the Company $2,000 to obtain such a worldwide exclusive license. The option exercise was determined to be substantive and at risk at the inception of the agreement and, as such, was recognized in the period that the option was exercised by Merck.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45" w:right="23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agreement with Merck, the Company is eligible to receive up to $21,000 in preclinical and clinical milestone payments and up to $43,000 in regulatory milestone payments for products directed to the licensed target, as well as royalties on future product sales at percentages from the mid to high single-digit range. The Company received a milestone payment of $1,000 in 2010 and a milestone payment of $1,000 in 2011 relating to research progress on two separate targets. Both research milestones were determined to be substantive and at risk at the inception of the agreement and, as such, were recognized in the respective period the milestones were achieved. The Company believes that future contingent consideration milestone payments are not considered substantive as the Company is not contributing effort to the achievement of such milestones now that the period of substantial involvement is complete, there are no undelivered elements and no continuing research obligations under this collaboration.</w:t>
      </w:r>
    </w:p>
    <w:p>
      <w:pPr>
        <w:spacing w:after="0" w:line="10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Company has an option to co-fund Phase 1 and first Phase 2 clinical trials of product candidates licensed by Merck by paying Merck 50% of such development costs. Such co-funding option is available at the IND-filing stage for the applicable product candidate. If the Company exercises its co-funding option, then the maximum eligible milestone amounts due to the Company increase to $86,500, and the royalties increase to the high single-digit to the sub-teen double-digit range. Through both December 31, 2013 and June 30, 2014 (unaudited), the Company has not yet exercised the co-funding option.</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Company’s agreement with Merck expires on the date of the expiration of all royalty payment obligations to the Company under the agreement. Merck has the right to terminate the agreement upon providing certain notices to the Company. Each party may terminate the agreement in the event of a material breach by the other party that remains uncured for 90 days after notice of such breach. In the event that Merck terminates the agreement due to the Company’s breach, the licenses granted to Merck survive and become fully paid up. In the event that the Company terminates the agreement due to Merck’s breach, the licenses granted to Merck terminate.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 Genome BC collaboration agreement:</w:t>
      </w:r>
    </w:p>
    <w:p>
      <w:pPr>
        <w:spacing w:after="0" w:line="2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 January 2009, the Company entered into a research funding agreement with Genome BC to co-fund IND-enabling studies for antisense products targeting hepcidin or hemojuvelin. The deliverables of the research activities are to identify development candidates for both hepcidin and hemojuvelin targets. Under the agreement with Genome BC the Company carried out certain research activities with partial funding that Genome BC provided on a quarterly basis over the term of the research program. This agreement expired at the end of its term on September 30, 2013.</w:t>
      </w:r>
    </w:p>
    <w:p>
      <w:pPr>
        <w:spacing w:after="0" w:line="109"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Under the research funding agreement, the Company agreed to give to Genome BC at each quarter (and in connection with Genome BC delivering the agreed-upon research funding for that quarter) rights to be issued in the future for a number of the Company’s common shares without paying cash consideration, or subscription rights. The number of shares to which Genome BC is entitled under each quarter’s subscription rights are proportional to their funding amount paid to the Company for that quarter, calculated by: the quotient of (a) one-half of the Genome BC funding amount to the Company for that quarter divided by (b) the greatest of: (i) CAD$51.71; (ii) the converted U.S. dollar share price; and (iii) the most recent issue price of the Company’s common shares. The subscription rights are automatically exchangeable into common shares of the Company on a 1:1 basis on a date three years after the subscription rights are issued without additional cash consideration being paid by Genome BC. However, in the event of a public offering, including an IPO or a sale or liquidation of the Company, Genome BC’s remaining subscription rights would automatically convert to common shares immediately prior to such event.</w:t>
      </w:r>
    </w:p>
    <w:p>
      <w:pPr>
        <w:spacing w:after="0" w:line="11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As of December 31, 2013, Genome BC had subscription rights exchangeable for 13,364 (December 31, 2012—11,191) common shares. As of June 30, 2014, 10,660 of such subscription rights remain outstanding (unaudited). See Note 11 for further details.</w:t>
      </w:r>
    </w:p>
    <w:p>
      <w:pPr>
        <w:spacing w:after="0" w:line="104" w:lineRule="exact"/>
        <w:rPr>
          <w:sz w:val="20"/>
          <w:szCs w:val="20"/>
          <w:color w:val="auto"/>
        </w:rPr>
      </w:pPr>
    </w:p>
    <w:p>
      <w:pPr>
        <w:ind w:right="760"/>
        <w:spacing w:after="0" w:line="245" w:lineRule="auto"/>
        <w:rPr>
          <w:sz w:val="20"/>
          <w:szCs w:val="20"/>
          <w:color w:val="auto"/>
        </w:rPr>
      </w:pPr>
      <w:r>
        <w:rPr>
          <w:rFonts w:ascii="Arial" w:cs="Arial" w:eastAsia="Arial" w:hAnsi="Arial"/>
          <w:sz w:val="17"/>
          <w:szCs w:val="17"/>
          <w:color w:val="auto"/>
        </w:rPr>
        <w:t>In the event that a product arising from the research collaboration with Genome BC is the subject of a regulatory filing in any jurisdiction seeking marketing approval to sell such product, then one-half of the total research funding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4"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Collaboration Agreements (continued):</w:t>
      </w:r>
    </w:p>
    <w:p>
      <w:pPr>
        <w:spacing w:after="0" w:line="8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provided by Genome BC will become repayable by the Company within 60 days of such filing. As of both December 31, 2013 and June 30, 2014 (unaudited), Genome BC had provided $2,410 in research funding to the Company, of which one-half (or $1,205) could be subject to this contingent repayment condition. Given the uncertainty related to such an event and the early stage of development, the Company has determined that it would only be appropriate to recognize the contingent repayment to Genome BC when conditions suggest that such repayment is more likely than not to occur. As of June 30, 2014, the Company determined such an event continues to be unlikely (unaudited).</w:t>
      </w:r>
    </w:p>
    <w:p>
      <w:pPr>
        <w:spacing w:after="0" w:line="11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The following table is a summary of the revenue recognized from the Company’s collaborations for each of the years ended December 31, 2011, 2012 and 2013 and for the six months ended June 30, 2013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8"/>
              </w:rPr>
              <w:t>SIX MONTHS ENDED</w:t>
            </w:r>
          </w:p>
        </w:tc>
      </w:tr>
      <w:tr>
        <w:trPr>
          <w:trHeight w:val="159"/>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9"/>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3"/>
                <w:szCs w:val="13"/>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9"/>
              </w:rPr>
              <w:t>JUNE 30,</w:t>
            </w:r>
          </w:p>
        </w:tc>
      </w:tr>
      <w:tr>
        <w:trPr>
          <w:trHeight w:val="135"/>
        </w:trPr>
        <w:tc>
          <w:tcPr>
            <w:tcW w:w="70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9"/>
              <w:spacing w:after="0" w:line="135"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8"/>
              <w:spacing w:after="0" w:line="135"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3"/>
                <w:szCs w:val="13"/>
                <w:b w:val="1"/>
                <w:bCs w:val="1"/>
                <w:color w:val="auto"/>
              </w:rPr>
              <w:t>2013</w:t>
            </w:r>
          </w:p>
        </w:tc>
        <w:tc>
          <w:tcPr>
            <w:tcW w:w="3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81"/>
              <w:spacing w:after="0" w:line="135"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r>
      <w:tr>
        <w:trPr>
          <w:trHeight w:val="135"/>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5"/>
          </w:tcPr>
          <w:p>
            <w:pPr>
              <w:jc w:val="center"/>
              <w:ind w:right="18"/>
              <w:spacing w:after="0" w:line="135"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1"/>
                <w:szCs w:val="11"/>
                <w:color w:val="auto"/>
              </w:rPr>
            </w:pPr>
          </w:p>
        </w:tc>
      </w:tr>
      <w:tr>
        <w:trPr>
          <w:trHeight w:val="194"/>
        </w:trPr>
        <w:tc>
          <w:tcPr>
            <w:tcW w:w="7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uniQure: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7020" w:type="dxa"/>
            <w:vAlign w:val="bottom"/>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198</w:t>
            </w:r>
          </w:p>
        </w:tc>
        <w:tc>
          <w:tcPr>
            <w:tcW w:w="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531</w:t>
            </w:r>
          </w:p>
        </w:tc>
        <w:tc>
          <w:tcPr>
            <w:tcW w:w="32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Teva:</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7020" w:type="dxa"/>
            <w:vAlign w:val="bottom"/>
          </w:tcPr>
          <w:p>
            <w:pPr>
              <w:ind w:left="300"/>
              <w:spacing w:after="0"/>
              <w:rPr>
                <w:sz w:val="20"/>
                <w:szCs w:val="20"/>
                <w:color w:val="auto"/>
              </w:rPr>
            </w:pPr>
            <w:r>
              <w:rPr>
                <w:rFonts w:ascii="Arial" w:cs="Arial" w:eastAsia="Arial" w:hAnsi="Arial"/>
                <w:sz w:val="17"/>
                <w:szCs w:val="17"/>
                <w:color w:val="auto"/>
              </w:rPr>
              <w:t>Recognition of upfront payment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13,143</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6,607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6,120</w:t>
            </w:r>
          </w:p>
        </w:tc>
        <w:tc>
          <w:tcPr>
            <w:tcW w:w="100" w:type="dxa"/>
            <w:vAlign w:val="bottom"/>
          </w:tcPr>
          <w:p>
            <w:pPr>
              <w:spacing w:after="0"/>
              <w:rPr>
                <w:sz w:val="17"/>
                <w:szCs w:val="17"/>
                <w:color w:val="auto"/>
              </w:rPr>
            </w:pPr>
          </w:p>
        </w:tc>
      </w:tr>
      <w:tr>
        <w:trPr>
          <w:trHeight w:val="206"/>
        </w:trPr>
        <w:tc>
          <w:tcPr>
            <w:tcW w:w="70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Research funding</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7"/>
                <w:szCs w:val="17"/>
                <w:color w:val="auto"/>
              </w:rPr>
            </w:pPr>
          </w:p>
        </w:tc>
      </w:tr>
      <w:tr>
        <w:trPr>
          <w:trHeight w:val="194"/>
        </w:trPr>
        <w:tc>
          <w:tcPr>
            <w:tcW w:w="7020" w:type="dxa"/>
            <w:vAlign w:val="bottom"/>
          </w:tcPr>
          <w:p>
            <w:pPr>
              <w:spacing w:after="0" w:line="194" w:lineRule="exact"/>
              <w:rPr>
                <w:sz w:val="20"/>
                <w:szCs w:val="20"/>
                <w:color w:val="auto"/>
              </w:rPr>
            </w:pPr>
            <w:r>
              <w:rPr>
                <w:rFonts w:ascii="Arial" w:cs="Arial" w:eastAsia="Arial" w:hAnsi="Arial"/>
                <w:sz w:val="17"/>
                <w:szCs w:val="17"/>
                <w:color w:val="auto"/>
              </w:rPr>
              <w:t>Genentech:</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70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Recognition of upfront payment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3,431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1,659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1,755</w:t>
            </w:r>
          </w:p>
        </w:tc>
        <w:tc>
          <w:tcPr>
            <w:tcW w:w="100" w:type="dxa"/>
            <w:vAlign w:val="bottom"/>
            <w:shd w:val="clear" w:color="auto" w:fill="CCEEFF"/>
          </w:tcPr>
          <w:p>
            <w:pPr>
              <w:spacing w:after="0"/>
              <w:rPr>
                <w:sz w:val="16"/>
                <w:szCs w:val="16"/>
                <w:color w:val="auto"/>
              </w:rPr>
            </w:pPr>
          </w:p>
        </w:tc>
      </w:tr>
      <w:tr>
        <w:trPr>
          <w:trHeight w:val="194"/>
        </w:trPr>
        <w:tc>
          <w:tcPr>
            <w:tcW w:w="7020" w:type="dxa"/>
            <w:vAlign w:val="bottom"/>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93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3,517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4,514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2,257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2,255</w:t>
            </w:r>
          </w:p>
        </w:tc>
        <w:tc>
          <w:tcPr>
            <w:tcW w:w="100" w:type="dxa"/>
            <w:vAlign w:val="bottom"/>
          </w:tcPr>
          <w:p>
            <w:pPr>
              <w:spacing w:after="0"/>
              <w:rPr>
                <w:sz w:val="16"/>
                <w:szCs w:val="16"/>
                <w:color w:val="auto"/>
              </w:rPr>
            </w:pPr>
          </w:p>
        </w:tc>
      </w:tr>
      <w:tr>
        <w:trPr>
          <w:trHeight w:val="194"/>
        </w:trPr>
        <w:tc>
          <w:tcPr>
            <w:tcW w:w="70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5,062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tcPr>
          <w:p>
            <w:pPr>
              <w:spacing w:after="0" w:line="194" w:lineRule="exact"/>
              <w:rPr>
                <w:sz w:val="20"/>
                <w:szCs w:val="20"/>
                <w:color w:val="auto"/>
              </w:rPr>
            </w:pPr>
            <w:r>
              <w:rPr>
                <w:rFonts w:ascii="Arial" w:cs="Arial" w:eastAsia="Arial" w:hAnsi="Arial"/>
                <w:sz w:val="17"/>
                <w:szCs w:val="17"/>
                <w:color w:val="auto"/>
              </w:rPr>
              <w:t>Merck:</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70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Recognition of initial milestone payment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2,145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1,060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tcPr>
          <w:p>
            <w:pPr>
              <w:ind w:left="300"/>
              <w:spacing w:after="0" w:line="194" w:lineRule="exact"/>
              <w:rPr>
                <w:sz w:val="20"/>
                <w:szCs w:val="20"/>
                <w:color w:val="auto"/>
              </w:rPr>
            </w:pPr>
            <w:r>
              <w:rPr>
                <w:rFonts w:ascii="Arial" w:cs="Arial" w:eastAsia="Arial" w:hAnsi="Arial"/>
                <w:sz w:val="17"/>
                <w:szCs w:val="17"/>
                <w:color w:val="auto"/>
              </w:rPr>
              <w:t>Option fee</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2,060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3,206</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2,442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tcPr>
          <w:p>
            <w:pPr>
              <w:ind w:left="300"/>
              <w:spacing w:after="0" w:line="194" w:lineRule="exact"/>
              <w:rPr>
                <w:sz w:val="20"/>
                <w:szCs w:val="20"/>
                <w:color w:val="auto"/>
              </w:rPr>
            </w:pPr>
            <w:r>
              <w:rPr>
                <w:rFonts w:ascii="Arial" w:cs="Arial" w:eastAsia="Arial" w:hAnsi="Arial"/>
                <w:sz w:val="17"/>
                <w:szCs w:val="17"/>
                <w:color w:val="auto"/>
              </w:rPr>
              <w:t>Milestone payment</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w w:val="98"/>
              </w:rPr>
              <w:t>1,038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2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194"/>
        </w:trPr>
        <w:tc>
          <w:tcPr>
            <w:tcW w:w="7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Genome BC:</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7020" w:type="dxa"/>
            <w:vAlign w:val="bottom"/>
          </w:tcPr>
          <w:p>
            <w:pPr>
              <w:ind w:left="300"/>
              <w:spacing w:after="0" w:line="194" w:lineRule="exact"/>
              <w:rPr>
                <w:sz w:val="20"/>
                <w:szCs w:val="20"/>
                <w:color w:val="auto"/>
              </w:rPr>
            </w:pPr>
            <w:r>
              <w:rPr>
                <w:rFonts w:ascii="Arial" w:cs="Arial" w:eastAsia="Arial" w:hAnsi="Arial"/>
                <w:sz w:val="17"/>
                <w:szCs w:val="17"/>
                <w:color w:val="auto"/>
              </w:rPr>
              <w:t>Research funding</w:t>
            </w:r>
          </w:p>
        </w:tc>
        <w:tc>
          <w:tcPr>
            <w:tcW w:w="10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auto"/>
              </w:rPr>
              <w:t>339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665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172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Arial" w:cs="Arial" w:eastAsia="Arial" w:hAnsi="Arial"/>
                <w:sz w:val="17"/>
                <w:szCs w:val="17"/>
                <w:color w:val="auto"/>
              </w:rPr>
              <w:t>168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6"/>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702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 collaboration revenue</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6,915</w:t>
            </w:r>
          </w:p>
        </w:tc>
        <w:tc>
          <w:tcPr>
            <w:tcW w:w="4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u w:val="single" w:color="auto"/>
                <w:color w:val="auto"/>
              </w:rPr>
              <w:t>$</w:t>
            </w: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w w:val="96"/>
              </w:rPr>
              <w:t>14,300</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840" w:type="dxa"/>
            <w:vAlign w:val="bottom"/>
            <w:gridSpan w:val="2"/>
            <w:shd w:val="clear" w:color="auto" w:fill="CCEEFF"/>
          </w:tcPr>
          <w:p>
            <w:pPr>
              <w:jc w:val="right"/>
              <w:ind w:right="320"/>
              <w:spacing w:after="0" w:line="194" w:lineRule="exact"/>
              <w:rPr>
                <w:sz w:val="20"/>
                <w:szCs w:val="20"/>
                <w:color w:val="auto"/>
              </w:rPr>
            </w:pPr>
            <w:r>
              <w:rPr>
                <w:rFonts w:ascii="Arial" w:cs="Arial" w:eastAsia="Arial" w:hAnsi="Arial"/>
                <w:sz w:val="17"/>
                <w:szCs w:val="17"/>
                <w:color w:val="auto"/>
                <w:w w:val="96"/>
              </w:rPr>
              <w:t>27,352</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w w:val="84"/>
              </w:rPr>
              <w:t>$</w:t>
            </w:r>
          </w:p>
        </w:tc>
        <w:tc>
          <w:tcPr>
            <w:tcW w:w="6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w w:val="96"/>
              </w:rPr>
              <w:t>10,985</w:t>
            </w:r>
          </w:p>
        </w:tc>
        <w:tc>
          <w:tcPr>
            <w:tcW w:w="2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p>
        </w:tc>
        <w:tc>
          <w:tcPr>
            <w:tcW w:w="6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6"/>
              </w:rPr>
              <w:t>10,297</w:t>
            </w: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7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38" w:lineRule="exact"/>
        <w:rPr>
          <w:sz w:val="20"/>
          <w:szCs w:val="20"/>
          <w:color w:val="auto"/>
        </w:rPr>
      </w:pPr>
    </w:p>
    <w:p>
      <w:pPr>
        <w:ind w:left="280" w:hanging="277"/>
        <w:spacing w:after="0"/>
        <w:tabs>
          <w:tab w:leader="none" w:pos="28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6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(a) Lease commitments:</w:t>
      </w:r>
    </w:p>
    <w:p>
      <w:pPr>
        <w:spacing w:after="0" w:line="23" w:lineRule="exact"/>
        <w:rPr>
          <w:rFonts w:ascii="Arial" w:cs="Arial" w:eastAsia="Arial" w:hAnsi="Arial"/>
          <w:sz w:val="17"/>
          <w:szCs w:val="17"/>
          <w:b w:val="1"/>
          <w:bCs w:val="1"/>
          <w:color w:val="auto"/>
        </w:rPr>
      </w:pPr>
    </w:p>
    <w:p>
      <w:pPr>
        <w:ind w:right="280"/>
        <w:spacing w:after="0" w:line="241" w:lineRule="auto"/>
        <w:rPr>
          <w:rFonts w:ascii="Arial" w:cs="Arial" w:eastAsia="Arial" w:hAnsi="Arial"/>
          <w:sz w:val="17"/>
          <w:szCs w:val="17"/>
          <w:b w:val="1"/>
          <w:bCs w:val="1"/>
          <w:color w:val="auto"/>
        </w:rPr>
      </w:pPr>
      <w:r>
        <w:rPr>
          <w:rFonts w:ascii="Arial" w:cs="Arial" w:eastAsia="Arial" w:hAnsi="Arial"/>
          <w:sz w:val="17"/>
          <w:szCs w:val="17"/>
          <w:color w:val="auto"/>
        </w:rPr>
        <w:t>The Company entered into an amended lease agreement for research laboratories and office space in Burnaby, British Columbia, Canada for a 120-month term from April 1, 2012 to March 31, 2022, which included an element of free rent and tenant inducement that will be amortized over the term of the lease.</w:t>
      </w:r>
    </w:p>
    <w:p>
      <w:pPr>
        <w:spacing w:after="0" w:line="10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Lease expense for the year ended December 31, 2013 was $962 (2012—$1,017, 2011—$1,601). Lease expense for the six months ended June 30, 2014 was $433 (2013—$425) (unaudited).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444"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760" w:type="dxa"/>
            <w:vAlign w:val="bottom"/>
          </w:tcPr>
          <w:p>
            <w:pPr>
              <w:jc w:val="center"/>
              <w:ind w:right="1196"/>
              <w:spacing w:after="0"/>
              <w:rPr>
                <w:sz w:val="20"/>
                <w:szCs w:val="20"/>
                <w:color w:val="auto"/>
              </w:rPr>
            </w:pPr>
            <w:r>
              <w:rPr>
                <w:rFonts w:ascii="Arial" w:cs="Arial" w:eastAsia="Arial" w:hAnsi="Arial"/>
                <w:sz w:val="17"/>
                <w:szCs w:val="17"/>
                <w:b w:val="1"/>
                <w:bCs w:val="1"/>
                <w:color w:val="auto"/>
                <w:w w:val="98"/>
              </w:rPr>
              <w:t>XENON PHARMACEUTICALS INC.</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760" w:type="dxa"/>
            <w:vAlign w:val="bottom"/>
          </w:tcPr>
          <w:p>
            <w:pPr>
              <w:jc w:val="center"/>
              <w:ind w:right="1196"/>
              <w:spacing w:after="0"/>
              <w:rPr>
                <w:sz w:val="20"/>
                <w:szCs w:val="20"/>
                <w:color w:val="auto"/>
              </w:rPr>
            </w:pPr>
            <w:r>
              <w:rPr>
                <w:rFonts w:ascii="Arial" w:cs="Arial" w:eastAsia="Arial" w:hAnsi="Arial"/>
                <w:sz w:val="17"/>
                <w:szCs w:val="17"/>
                <w:b w:val="1"/>
                <w:bCs w:val="1"/>
                <w:color w:val="auto"/>
                <w:w w:val="98"/>
              </w:rPr>
              <w:t>Notes to Financial Statements</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760" w:type="dxa"/>
            <w:vAlign w:val="bottom"/>
          </w:tcPr>
          <w:p>
            <w:pPr>
              <w:jc w:val="center"/>
              <w:ind w:right="1196"/>
              <w:spacing w:after="0"/>
              <w:rPr>
                <w:sz w:val="20"/>
                <w:szCs w:val="20"/>
                <w:color w:val="auto"/>
              </w:rPr>
            </w:pPr>
            <w:r>
              <w:rPr>
                <w:rFonts w:ascii="Arial" w:cs="Arial" w:eastAsia="Arial" w:hAnsi="Arial"/>
                <w:sz w:val="17"/>
                <w:szCs w:val="17"/>
                <w:color w:val="auto"/>
                <w:w w:val="98"/>
              </w:rPr>
              <w:t>(Expressed in thousands of U.S. dollars except share and per share figures) (continued)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740" w:type="dxa"/>
            <w:vAlign w:val="bottom"/>
            <w:gridSpan w:val="3"/>
          </w:tcPr>
          <w:p>
            <w:pPr>
              <w:spacing w:after="0"/>
              <w:rPr>
                <w:sz w:val="20"/>
                <w:szCs w:val="20"/>
                <w:color w:val="auto"/>
              </w:rPr>
            </w:pPr>
            <w:r>
              <w:rPr>
                <w:rFonts w:ascii="Arial" w:cs="Arial" w:eastAsia="Arial" w:hAnsi="Arial"/>
                <w:sz w:val="17"/>
                <w:szCs w:val="17"/>
                <w:b w:val="1"/>
                <w:bCs w:val="1"/>
                <w:color w:val="auto"/>
              </w:rPr>
              <w:t>15. Commitments and Contingencies (continued):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740" w:type="dxa"/>
            <w:vAlign w:val="bottom"/>
            <w:gridSpan w:val="3"/>
          </w:tcPr>
          <w:p>
            <w:pPr>
              <w:spacing w:after="0"/>
              <w:rPr>
                <w:sz w:val="20"/>
                <w:szCs w:val="20"/>
                <w:color w:val="auto"/>
              </w:rPr>
            </w:pPr>
            <w:r>
              <w:rPr>
                <w:rFonts w:ascii="Arial" w:cs="Arial" w:eastAsia="Arial" w:hAnsi="Arial"/>
                <w:sz w:val="17"/>
                <w:szCs w:val="17"/>
                <w:color w:val="auto"/>
              </w:rPr>
              <w:t>Future minimum annual lease payments under existing operating lease commitments are as follows:</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8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07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PERIOD ENDING DECEMBER 31</w:t>
            </w: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96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2014</w:t>
            </w:r>
          </w:p>
        </w:tc>
        <w:tc>
          <w:tcPr>
            <w:tcW w:w="87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2015</w:t>
            </w:r>
          </w:p>
        </w:tc>
        <w:tc>
          <w:tcPr>
            <w:tcW w:w="8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2016</w:t>
            </w:r>
          </w:p>
        </w:tc>
        <w:tc>
          <w:tcPr>
            <w:tcW w:w="8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1,053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2017</w:t>
            </w:r>
          </w:p>
        </w:tc>
        <w:tc>
          <w:tcPr>
            <w:tcW w:w="8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80" w:type="dxa"/>
            <w:vAlign w:val="bottom"/>
            <w:gridSpan w:val="2"/>
          </w:tcPr>
          <w:p>
            <w:pPr>
              <w:ind w:left="300"/>
              <w:spacing w:after="0" w:line="194" w:lineRule="exact"/>
              <w:rPr>
                <w:sz w:val="20"/>
                <w:szCs w:val="20"/>
                <w:color w:val="auto"/>
              </w:rPr>
            </w:pPr>
            <w:r>
              <w:rPr>
                <w:rFonts w:ascii="Arial" w:cs="Arial" w:eastAsia="Arial" w:hAnsi="Arial"/>
                <w:sz w:val="17"/>
                <w:szCs w:val="17"/>
                <w:color w:val="auto"/>
              </w:rPr>
              <w:t>2018</w:t>
            </w:r>
          </w:p>
        </w:tc>
        <w:tc>
          <w:tcPr>
            <w:tcW w:w="8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Arial" w:cs="Arial" w:eastAsia="Arial" w:hAnsi="Arial"/>
                <w:sz w:val="17"/>
                <w:szCs w:val="17"/>
                <w:color w:val="auto"/>
              </w:rPr>
              <w:t>1,134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72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2019 and thereafter</w:t>
            </w: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720" w:type="dxa"/>
            <w:vAlign w:val="bottom"/>
            <w:gridSpan w:val="2"/>
          </w:tcPr>
          <w:p>
            <w:pPr>
              <w:ind w:left="60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87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 Guarantees and indemnifications:</w:t>
      </w:r>
    </w:p>
    <w:p>
      <w:pPr>
        <w:spacing w:after="0" w:line="24" w:lineRule="exact"/>
        <w:rPr>
          <w:sz w:val="20"/>
          <w:szCs w:val="20"/>
          <w:color w:val="auto"/>
        </w:rPr>
      </w:pPr>
    </w:p>
    <w:p>
      <w:pPr>
        <w:ind w:right="20" w:firstLine="3"/>
        <w:spacing w:after="0"/>
        <w:tabs>
          <w:tab w:leader="none" w:pos="19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 as permitted under Canadian law and in accordance with its articles and by-laws, will enter into indemnification agreements with each of its officers and directors, and certain other Company employees, and will indemnify such persons for certain events or occurrences, subject to certain limits, while such person is or was serving at the Company’s request in such capacity. The term of the indemnification period will last as long as such person may be subject to any proceeding arising out of acts or omissions of such person in such capacity.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maximum amount of potential future indemnification is unlimited; however, the Company currently holds directors’ and officers’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09" w:lineRule="exact"/>
        <w:rPr>
          <w:sz w:val="20"/>
          <w:szCs w:val="20"/>
          <w:color w:val="auto"/>
        </w:rPr>
      </w:pPr>
    </w:p>
    <w:p>
      <w:pPr>
        <w:ind w:right="320" w:firstLine="3"/>
        <w:spacing w:after="0" w:line="241" w:lineRule="auto"/>
        <w:tabs>
          <w:tab w:leader="none" w:pos="2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5"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70"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Income tax expense (recovery) varies from the amounts that would be computed by applying the expected Canadian and provincial statutory income tax rate of 25.75% (2012–25%, 2011 – 26.5%) to loss before income taxes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529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3"/>
                <w:szCs w:val="13"/>
                <w:color w:val="auto"/>
              </w:rPr>
            </w:pPr>
          </w:p>
        </w:tc>
      </w:tr>
      <w:tr>
        <w:trPr>
          <w:trHeight w:val="186"/>
        </w:trPr>
        <w:tc>
          <w:tcPr>
            <w:tcW w:w="86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Computed taxes at Canadian federal and provincial tax rates</w:t>
            </w:r>
          </w:p>
        </w:tc>
        <w:tc>
          <w:tcPr>
            <w:tcW w:w="1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(3,178)</w:t>
            </w:r>
          </w:p>
        </w:tc>
        <w:tc>
          <w:tcPr>
            <w:tcW w:w="1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380"/>
              <w:spacing w:after="0" w:line="186" w:lineRule="exact"/>
              <w:rPr>
                <w:sz w:val="20"/>
                <w:szCs w:val="20"/>
                <w:color w:val="auto"/>
              </w:rPr>
            </w:pPr>
            <w:r>
              <w:rPr>
                <w:rFonts w:ascii="Arial" w:cs="Arial" w:eastAsia="Arial" w:hAnsi="Arial"/>
                <w:sz w:val="17"/>
                <w:szCs w:val="17"/>
                <w:color w:val="auto"/>
              </w:rPr>
              <w:t>(1,075)</w:t>
            </w:r>
          </w:p>
        </w:tc>
        <w:tc>
          <w:tcPr>
            <w:tcW w:w="1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3,098</w:t>
            </w:r>
          </w:p>
        </w:tc>
        <w:tc>
          <w:tcPr>
            <w:tcW w:w="100" w:type="dxa"/>
            <w:vAlign w:val="bottom"/>
            <w:shd w:val="clear" w:color="auto" w:fill="CCEEFF"/>
          </w:tcPr>
          <w:p>
            <w:pPr>
              <w:spacing w:after="0"/>
              <w:rPr>
                <w:sz w:val="16"/>
                <w:szCs w:val="16"/>
                <w:color w:val="auto"/>
              </w:rPr>
            </w:pPr>
          </w:p>
        </w:tc>
      </w:tr>
      <w:tr>
        <w:trPr>
          <w:trHeight w:val="194"/>
        </w:trPr>
        <w:tc>
          <w:tcPr>
            <w:tcW w:w="8600" w:type="dxa"/>
            <w:vAlign w:val="bottom"/>
          </w:tcPr>
          <w:p>
            <w:pPr>
              <w:spacing w:after="0" w:line="194" w:lineRule="exact"/>
              <w:rPr>
                <w:sz w:val="20"/>
                <w:szCs w:val="20"/>
                <w:color w:val="auto"/>
              </w:rPr>
            </w:pPr>
            <w:r>
              <w:rPr>
                <w:rFonts w:ascii="Arial" w:cs="Arial" w:eastAsia="Arial" w:hAnsi="Arial"/>
                <w:sz w:val="17"/>
                <w:szCs w:val="17"/>
                <w:color w:val="auto"/>
              </w:rPr>
              <w:t>Change in valuation allowance</w:t>
            </w:r>
          </w:p>
        </w:tc>
        <w:tc>
          <w:tcPr>
            <w:tcW w:w="120" w:type="dxa"/>
            <w:vAlign w:val="bottom"/>
          </w:tcPr>
          <w:p>
            <w:pPr>
              <w:spacing w:after="0"/>
              <w:rPr>
                <w:sz w:val="16"/>
                <w:szCs w:val="16"/>
                <w:color w:val="auto"/>
              </w:rPr>
            </w:pPr>
          </w:p>
        </w:tc>
        <w:tc>
          <w:tcPr>
            <w:tcW w:w="5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1,910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Arial" w:cs="Arial" w:eastAsia="Arial" w:hAnsi="Arial"/>
                <w:sz w:val="17"/>
                <w:szCs w:val="17"/>
                <w:color w:val="auto"/>
              </w:rPr>
              <w:t>2,710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w w:val="96"/>
              </w:rPr>
              <w:t>(2,029)</w:t>
            </w:r>
          </w:p>
        </w:tc>
      </w:tr>
      <w:tr>
        <w:trPr>
          <w:trHeight w:val="194"/>
        </w:trPr>
        <w:tc>
          <w:tcPr>
            <w:tcW w:w="8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Investment tax credits earned</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(1,804)</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(1,418)</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(529)</w:t>
            </w:r>
          </w:p>
        </w:tc>
      </w:tr>
      <w:tr>
        <w:trPr>
          <w:trHeight w:val="194"/>
        </w:trPr>
        <w:tc>
          <w:tcPr>
            <w:tcW w:w="8600" w:type="dxa"/>
            <w:vAlign w:val="bottom"/>
          </w:tcPr>
          <w:p>
            <w:pPr>
              <w:spacing w:after="0" w:line="194" w:lineRule="exact"/>
              <w:rPr>
                <w:sz w:val="20"/>
                <w:szCs w:val="20"/>
                <w:color w:val="auto"/>
              </w:rPr>
            </w:pPr>
            <w:r>
              <w:rPr>
                <w:rFonts w:ascii="Arial" w:cs="Arial" w:eastAsia="Arial" w:hAnsi="Arial"/>
                <w:sz w:val="17"/>
                <w:szCs w:val="17"/>
                <w:color w:val="auto"/>
              </w:rPr>
              <w:t>Tax attributes expired/utilized</w:t>
            </w:r>
          </w:p>
        </w:tc>
        <w:tc>
          <w:tcPr>
            <w:tcW w:w="120" w:type="dxa"/>
            <w:vAlign w:val="bottom"/>
          </w:tcPr>
          <w:p>
            <w:pPr>
              <w:spacing w:after="0"/>
              <w:rPr>
                <w:sz w:val="16"/>
                <w:szCs w:val="16"/>
                <w:color w:val="auto"/>
              </w:rPr>
            </w:pPr>
          </w:p>
        </w:tc>
        <w:tc>
          <w:tcPr>
            <w:tcW w:w="5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2,720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rPr>
              <w:t>(356)</w:t>
            </w:r>
          </w:p>
        </w:tc>
        <w:tc>
          <w:tcPr>
            <w:tcW w:w="100" w:type="dxa"/>
            <w:vAlign w:val="bottom"/>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Arial" w:cs="Arial" w:eastAsia="Arial" w:hAnsi="Arial"/>
                <w:sz w:val="17"/>
                <w:szCs w:val="17"/>
                <w:color w:val="auto"/>
              </w:rPr>
              <w:t>198</w:t>
            </w:r>
          </w:p>
        </w:tc>
        <w:tc>
          <w:tcPr>
            <w:tcW w:w="100" w:type="dxa"/>
            <w:vAlign w:val="bottom"/>
          </w:tcPr>
          <w:p>
            <w:pPr>
              <w:spacing w:after="0"/>
              <w:rPr>
                <w:sz w:val="16"/>
                <w:szCs w:val="16"/>
                <w:color w:val="auto"/>
              </w:rPr>
            </w:pPr>
          </w:p>
        </w:tc>
      </w:tr>
      <w:tr>
        <w:trPr>
          <w:trHeight w:val="194"/>
        </w:trPr>
        <w:tc>
          <w:tcPr>
            <w:tcW w:w="8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Future tax rate reductions</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249</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w w:val="96"/>
              </w:rPr>
              <w:t>(1,019)</w:t>
            </w:r>
          </w:p>
        </w:tc>
      </w:tr>
      <w:tr>
        <w:trPr>
          <w:trHeight w:val="194"/>
        </w:trPr>
        <w:tc>
          <w:tcPr>
            <w:tcW w:w="8600" w:type="dxa"/>
            <w:vAlign w:val="bottom"/>
          </w:tcPr>
          <w:p>
            <w:pPr>
              <w:spacing w:after="0" w:line="194" w:lineRule="exact"/>
              <w:rPr>
                <w:sz w:val="20"/>
                <w:szCs w:val="20"/>
                <w:color w:val="auto"/>
              </w:rPr>
            </w:pPr>
            <w:r>
              <w:rPr>
                <w:rFonts w:ascii="Arial" w:cs="Arial" w:eastAsia="Arial" w:hAnsi="Arial"/>
                <w:sz w:val="17"/>
                <w:szCs w:val="17"/>
                <w:color w:val="auto"/>
              </w:rPr>
              <w:t>Non-deductible expenditures</w:t>
            </w:r>
          </w:p>
        </w:tc>
        <w:tc>
          <w:tcPr>
            <w:tcW w:w="120" w:type="dxa"/>
            <w:vAlign w:val="bottom"/>
          </w:tcPr>
          <w:p>
            <w:pPr>
              <w:spacing w:after="0"/>
              <w:rPr>
                <w:sz w:val="16"/>
                <w:szCs w:val="16"/>
                <w:color w:val="auto"/>
              </w:rPr>
            </w:pPr>
          </w:p>
        </w:tc>
        <w:tc>
          <w:tcPr>
            <w:tcW w:w="5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113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6"/>
                <w:szCs w:val="16"/>
                <w:color w:val="auto"/>
              </w:rPr>
            </w:pPr>
          </w:p>
        </w:tc>
        <w:tc>
          <w:tcPr>
            <w:tcW w:w="5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(374)</w:t>
            </w:r>
          </w:p>
        </w:tc>
      </w:tr>
      <w:tr>
        <w:trPr>
          <w:trHeight w:val="194"/>
        </w:trPr>
        <w:tc>
          <w:tcPr>
            <w:tcW w:w="8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 reconciling items</w:t>
            </w:r>
          </w:p>
        </w:tc>
        <w:tc>
          <w:tcPr>
            <w:tcW w:w="1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80"/>
              <w:spacing w:after="0" w:line="194" w:lineRule="exact"/>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6"/>
                <w:szCs w:val="16"/>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8600" w:type="dxa"/>
            <w:vAlign w:val="bottom"/>
          </w:tcPr>
          <w:p>
            <w:pPr>
              <w:ind w:left="30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8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Deferred income tax assets and liabilities result from the temporary differences between the amount of assets and liabilities recognized for financial statement and income tax purposes. The significant components of the net deferred income tax assets and liabilities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3"/>
                <w:szCs w:val="13"/>
                <w:color w:val="auto"/>
              </w:rPr>
            </w:pPr>
          </w:p>
        </w:tc>
      </w:tr>
      <w:tr>
        <w:trPr>
          <w:trHeight w:val="174"/>
        </w:trPr>
        <w:tc>
          <w:tcPr>
            <w:tcW w:w="9520" w:type="dxa"/>
            <w:vAlign w:val="bottom"/>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Deferred income tax 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4"/>
        </w:trPr>
        <w:tc>
          <w:tcPr>
            <w:tcW w:w="9520" w:type="dxa"/>
            <w:vAlign w:val="bottom"/>
          </w:tcPr>
          <w:p>
            <w:pPr>
              <w:spacing w:after="0" w:line="194" w:lineRule="exact"/>
              <w:rPr>
                <w:sz w:val="20"/>
                <w:szCs w:val="20"/>
                <w:color w:val="auto"/>
              </w:rPr>
            </w:pPr>
            <w:r>
              <w:rPr>
                <w:rFonts w:ascii="Arial" w:cs="Arial" w:eastAsia="Arial" w:hAnsi="Arial"/>
                <w:sz w:val="17"/>
                <w:szCs w:val="17"/>
                <w:color w:val="auto"/>
              </w:rPr>
              <w:t>Investment tax credits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19,063</w:t>
            </w:r>
          </w:p>
        </w:tc>
        <w:tc>
          <w:tcPr>
            <w:tcW w:w="100" w:type="dxa"/>
            <w:vAlign w:val="bottom"/>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19,833</w:t>
            </w:r>
          </w:p>
        </w:tc>
      </w:tr>
      <w:tr>
        <w:trPr>
          <w:trHeight w:val="194"/>
        </w:trPr>
        <w:tc>
          <w:tcPr>
            <w:tcW w:w="9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Scientific research and experimental development pool</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17,873</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18,592</w:t>
            </w:r>
          </w:p>
        </w:tc>
      </w:tr>
      <w:tr>
        <w:trPr>
          <w:trHeight w:val="194"/>
        </w:trPr>
        <w:tc>
          <w:tcPr>
            <w:tcW w:w="9520" w:type="dxa"/>
            <w:vAlign w:val="bottom"/>
          </w:tcPr>
          <w:p>
            <w:pPr>
              <w:spacing w:after="0" w:line="194" w:lineRule="exact"/>
              <w:rPr>
                <w:sz w:val="20"/>
                <w:szCs w:val="20"/>
                <w:color w:val="auto"/>
              </w:rPr>
            </w:pPr>
            <w:r>
              <w:rPr>
                <w:rFonts w:ascii="Arial" w:cs="Arial" w:eastAsia="Arial" w:hAnsi="Arial"/>
                <w:sz w:val="17"/>
                <w:szCs w:val="17"/>
                <w:color w:val="auto"/>
              </w:rPr>
              <w:t>Deferred revenues</w:t>
            </w: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94" w:lineRule="exact"/>
              <w:rPr>
                <w:sz w:val="20"/>
                <w:szCs w:val="20"/>
                <w:color w:val="auto"/>
              </w:rPr>
            </w:pPr>
            <w:r>
              <w:rPr>
                <w:rFonts w:ascii="Arial" w:cs="Arial" w:eastAsia="Arial" w:hAnsi="Arial"/>
                <w:sz w:val="17"/>
                <w:szCs w:val="17"/>
                <w:color w:val="auto"/>
              </w:rPr>
              <w:t>11,663</w:t>
            </w: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7,230</w:t>
            </w:r>
          </w:p>
        </w:tc>
        <w:tc>
          <w:tcPr>
            <w:tcW w:w="100" w:type="dxa"/>
            <w:vAlign w:val="bottom"/>
          </w:tcPr>
          <w:p>
            <w:pPr>
              <w:spacing w:after="0"/>
              <w:rPr>
                <w:sz w:val="16"/>
                <w:szCs w:val="16"/>
                <w:color w:val="auto"/>
              </w:rPr>
            </w:pPr>
          </w:p>
        </w:tc>
      </w:tr>
      <w:tr>
        <w:trPr>
          <w:trHeight w:val="194"/>
        </w:trPr>
        <w:tc>
          <w:tcPr>
            <w:tcW w:w="9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Non-capital losses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2,122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2,755</w:t>
            </w:r>
          </w:p>
        </w:tc>
        <w:tc>
          <w:tcPr>
            <w:tcW w:w="100" w:type="dxa"/>
            <w:vAlign w:val="bottom"/>
            <w:shd w:val="clear" w:color="auto" w:fill="CCEEFF"/>
          </w:tcPr>
          <w:p>
            <w:pPr>
              <w:spacing w:after="0"/>
              <w:rPr>
                <w:sz w:val="16"/>
                <w:szCs w:val="16"/>
                <w:color w:val="auto"/>
              </w:rPr>
            </w:pPr>
          </w:p>
        </w:tc>
      </w:tr>
      <w:tr>
        <w:trPr>
          <w:trHeight w:val="194"/>
        </w:trPr>
        <w:tc>
          <w:tcPr>
            <w:tcW w:w="9520" w:type="dxa"/>
            <w:vAlign w:val="bottom"/>
          </w:tcPr>
          <w:p>
            <w:pPr>
              <w:spacing w:after="0" w:line="194" w:lineRule="exact"/>
              <w:rPr>
                <w:sz w:val="20"/>
                <w:szCs w:val="20"/>
                <w:color w:val="auto"/>
              </w:rPr>
            </w:pPr>
            <w:r>
              <w:rPr>
                <w:rFonts w:ascii="Arial" w:cs="Arial" w:eastAsia="Arial" w:hAnsi="Arial"/>
                <w:sz w:val="17"/>
                <w:szCs w:val="17"/>
                <w:color w:val="auto"/>
              </w:rPr>
              <w:t>Property, plant and equipment</w:t>
            </w: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2,112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2,386</w:t>
            </w:r>
          </w:p>
        </w:tc>
        <w:tc>
          <w:tcPr>
            <w:tcW w:w="100" w:type="dxa"/>
            <w:vAlign w:val="bottom"/>
          </w:tcPr>
          <w:p>
            <w:pPr>
              <w:spacing w:after="0"/>
              <w:rPr>
                <w:sz w:val="16"/>
                <w:szCs w:val="16"/>
                <w:color w:val="auto"/>
              </w:rPr>
            </w:pPr>
          </w:p>
        </w:tc>
      </w:tr>
      <w:tr>
        <w:trPr>
          <w:trHeight w:val="194"/>
        </w:trPr>
        <w:tc>
          <w:tcPr>
            <w:tcW w:w="95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596</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604</w:t>
            </w:r>
          </w:p>
        </w:tc>
        <w:tc>
          <w:tcPr>
            <w:tcW w:w="100" w:type="dxa"/>
            <w:vAlign w:val="bottom"/>
            <w:shd w:val="clear" w:color="auto" w:fill="CCEEFF"/>
          </w:tcPr>
          <w:p>
            <w:pPr>
              <w:spacing w:after="0"/>
              <w:rPr>
                <w:sz w:val="16"/>
                <w:szCs w:val="16"/>
                <w:color w:val="auto"/>
              </w:rPr>
            </w:pPr>
          </w:p>
        </w:tc>
      </w:tr>
      <w:tr>
        <w:trPr>
          <w:trHeight w:val="194"/>
        </w:trPr>
        <w:tc>
          <w:tcPr>
            <w:tcW w:w="9520" w:type="dxa"/>
            <w:vAlign w:val="bottom"/>
          </w:tcPr>
          <w:p>
            <w:pPr>
              <w:spacing w:after="0" w:line="194" w:lineRule="exact"/>
              <w:rPr>
                <w:sz w:val="20"/>
                <w:szCs w:val="20"/>
                <w:color w:val="auto"/>
              </w:rPr>
            </w:pPr>
            <w:r>
              <w:rPr>
                <w:rFonts w:ascii="Arial" w:cs="Arial" w:eastAsia="Arial" w:hAnsi="Arial"/>
                <w:sz w:val="17"/>
                <w:szCs w:val="17"/>
                <w:color w:val="auto"/>
              </w:rPr>
              <w:t>Less—valuation allowance</w:t>
            </w: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94" w:lineRule="exact"/>
              <w:rPr>
                <w:sz w:val="20"/>
                <w:szCs w:val="20"/>
                <w:color w:val="auto"/>
              </w:rPr>
            </w:pPr>
            <w:r>
              <w:rPr>
                <w:rFonts w:ascii="Arial" w:cs="Arial" w:eastAsia="Arial" w:hAnsi="Arial"/>
                <w:sz w:val="17"/>
                <w:szCs w:val="17"/>
                <w:color w:val="auto"/>
                <w:w w:val="97"/>
              </w:rPr>
              <w:t>(53,429)</w:t>
            </w:r>
          </w:p>
        </w:tc>
        <w:tc>
          <w:tcPr>
            <w:tcW w:w="100" w:type="dxa"/>
            <w:vAlign w:val="bottom"/>
          </w:tcPr>
          <w:p>
            <w:pPr>
              <w:spacing w:after="0"/>
              <w:rPr>
                <w:sz w:val="16"/>
                <w:szCs w:val="16"/>
                <w:color w:val="auto"/>
              </w:rPr>
            </w:pPr>
          </w:p>
        </w:tc>
        <w:tc>
          <w:tcPr>
            <w:tcW w:w="68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w w:val="97"/>
              </w:rPr>
              <w:t>(51,400)</w:t>
            </w:r>
          </w:p>
        </w:tc>
      </w:tr>
      <w:tr>
        <w:trPr>
          <w:trHeight w:val="26"/>
        </w:trPr>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952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Net 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0"/>
        </w:trPr>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9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criteria changes, the valuation allowance is adjusted accordingly. The valuation allowance continues to be applied against deferred income tax assets where the Company has assessed that the realization of such assets does not meet the “more likely than not” criteria.</w:t>
      </w:r>
    </w:p>
    <w:p>
      <w:pPr>
        <w:spacing w:after="0" w:line="10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At December 31, 2013, the Company has unclaimed tax deductions for scientific research and experimental development expenditures of $71,508 (2012 —$71,490) with no expiry.</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At December 31, 2013, the Company has $17,068 (2012—$16,180) of investment tax credits available to offset federal taxes payable and $7,203 (2012 —$6,928) of provincial tax credits available to offset provincial taxes payable in the future.</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At December 31, 2013, the Company has non-capital losses carried forward for tax purposes, which are available to reduce taxable income of future years of approximately $10,596 (2012—$8,489).</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tax credits and loss carry forwards expire over various years to 2033.</w:t>
      </w:r>
    </w:p>
    <w:p>
      <w:pPr>
        <w:spacing w:after="0" w:line="1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4" w:right="2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 (continued):</w:t>
      </w:r>
    </w:p>
    <w:p>
      <w:pPr>
        <w:spacing w:after="0" w:line="8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As of December 31, 2013, the total amount of the Company’s unrecognized tax benefits were $6,350 (2012—$6,350). If recognized in future periods, the unrecognized tax benefits would affect the Company’s effective tax rate.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the Company’s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9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20" w:type="dxa"/>
            <w:vAlign w:val="bottom"/>
            <w:tcBorders>
              <w:bottom w:val="single" w:sz="8" w:color="CCEEFF"/>
            </w:tcBorders>
          </w:tcPr>
          <w:p>
            <w:pPr>
              <w:spacing w:after="0"/>
              <w:rPr>
                <w:sz w:val="13"/>
                <w:szCs w:val="13"/>
                <w:color w:val="auto"/>
              </w:rPr>
            </w:pPr>
          </w:p>
        </w:tc>
        <w:tc>
          <w:tcPr>
            <w:tcW w:w="3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rPr>
              <w:t>2012</w:t>
            </w:r>
          </w:p>
        </w:tc>
        <w:tc>
          <w:tcPr>
            <w:tcW w:w="4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3"/>
                <w:szCs w:val="13"/>
                <w:color w:val="auto"/>
              </w:rPr>
            </w:pPr>
          </w:p>
        </w:tc>
      </w:tr>
      <w:tr>
        <w:trPr>
          <w:trHeight w:val="186"/>
        </w:trPr>
        <w:tc>
          <w:tcPr>
            <w:tcW w:w="64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Balance as of January 1</w:t>
            </w:r>
          </w:p>
        </w:tc>
        <w:tc>
          <w:tcPr>
            <w:tcW w:w="388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$ 1,268</w:t>
            </w: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8"/>
              </w:rPr>
              <w:t>$ 6,350</w:t>
            </w:r>
          </w:p>
        </w:tc>
        <w:tc>
          <w:tcPr>
            <w:tcW w:w="100" w:type="dxa"/>
            <w:vAlign w:val="bottom"/>
            <w:shd w:val="clear" w:color="auto" w:fill="CCEEFF"/>
          </w:tcPr>
          <w:p>
            <w:pPr>
              <w:spacing w:after="0"/>
              <w:rPr>
                <w:sz w:val="16"/>
                <w:szCs w:val="16"/>
                <w:color w:val="auto"/>
              </w:rPr>
            </w:pPr>
          </w:p>
        </w:tc>
      </w:tr>
      <w:tr>
        <w:trPr>
          <w:trHeight w:val="194"/>
        </w:trPr>
        <w:tc>
          <w:tcPr>
            <w:tcW w:w="6420" w:type="dxa"/>
            <w:vAlign w:val="bottom"/>
          </w:tcPr>
          <w:p>
            <w:pPr>
              <w:spacing w:after="0" w:line="194" w:lineRule="exact"/>
              <w:rPr>
                <w:sz w:val="20"/>
                <w:szCs w:val="20"/>
                <w:color w:val="auto"/>
              </w:rPr>
            </w:pPr>
            <w:r>
              <w:rPr>
                <w:rFonts w:ascii="Arial" w:cs="Arial" w:eastAsia="Arial" w:hAnsi="Arial"/>
                <w:sz w:val="17"/>
                <w:szCs w:val="17"/>
                <w:color w:val="auto"/>
              </w:rPr>
              <w:t>Increases related to current year positions</w:t>
            </w:r>
          </w:p>
        </w:tc>
        <w:tc>
          <w:tcPr>
            <w:tcW w:w="33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Arial" w:cs="Arial" w:eastAsia="Arial" w:hAnsi="Arial"/>
                <w:sz w:val="17"/>
                <w:szCs w:val="17"/>
                <w:color w:val="auto"/>
              </w:rPr>
              <w:t>5,082</w:t>
            </w:r>
          </w:p>
        </w:tc>
        <w:tc>
          <w:tcPr>
            <w:tcW w:w="440" w:type="dxa"/>
            <w:vAlign w:val="bottom"/>
          </w:tcPr>
          <w:p>
            <w:pPr>
              <w:spacing w:after="0"/>
              <w:rPr>
                <w:sz w:val="16"/>
                <w:szCs w:val="16"/>
                <w:color w:val="auto"/>
              </w:rPr>
            </w:pPr>
          </w:p>
        </w:tc>
        <w:tc>
          <w:tcPr>
            <w:tcW w:w="6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r>
      <w:tr>
        <w:trPr>
          <w:trHeight w:val="26"/>
        </w:trPr>
        <w:tc>
          <w:tcPr>
            <w:tcW w:w="64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6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Balance as of December 31</w:t>
            </w:r>
          </w:p>
        </w:tc>
        <w:tc>
          <w:tcPr>
            <w:tcW w:w="3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8"/>
              </w:rPr>
              <w:t>$ 6,350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$ 6,350</w:t>
            </w:r>
          </w:p>
        </w:tc>
      </w:tr>
      <w:tr>
        <w:trPr>
          <w:trHeight w:val="20"/>
        </w:trPr>
        <w:tc>
          <w:tcPr>
            <w:tcW w:w="6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64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11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The Company recognizes potential accrued interest and penalties related to unrecognized tax benefits within the income tax provision. Interest and penalties have not been accrued at December 31, 2013 as none would be owing on the unrecognized tax benefits due to the availability of non-capital losses to shelter any potential taxable income arising thereon.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currently expect any significant increases or decreases to these unrecognized tax benefits within 12 months of the reporting date.</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Company currently files an income tax return in Canada, the jurisdiction in which it is subject to tax. In jurisdictions in which the Company does not believe it is subject to tax and therefore does not file income tax returns, the Company can provide no certainty that tax authorities in those jurisdictions will not subject one or more tax years (since the inception of the Company) to examination.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claims, the Company is not aware of any other material income tax examination currently in progress by any taxing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Parties: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Genworks Inc. (“Genworks”), is controlled by a director of the Company who is the president and principal beneficial shareholder of Genworks. Genworks provides certain scientific consulting services to the Company pursuant to a consulting agreement. The Company did not incur any cash consulting fees to Genworks for the six months ended June 30, 2013 and 2014 (unaudited) and for the year ended December 31, 2013 (2012—$307, 2011—$279).</w:t>
      </w:r>
    </w:p>
    <w:p>
      <w:pPr>
        <w:spacing w:after="0" w:line="90"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On January 1, 2012, the Company granted Genworks an option to purchase 10,288 of its common shares at an exercise price of CAD$3.74 per share and on January 1, 2013, the Company granted Genworks an option to purchase 30,864 of its common shares at an exercise price of CAD$2.67 per share. Pursuant to a performance bonus awarded to Genworks in acknowledgment of services conducted prior to September 1, 2012 relating to the Company’s sublicense agreement with uniQure, in the event that the Company receives royalty payments from uniQure satisfying certain pre-specified thresholds, Genworks has a right to receive a portion of such royalty payments, totaling up to CAD$600. As of September 1, 2012, no further fees or bonuses are payable to Genworks under such consulting agreement.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No amounts have been accrued as of June 30, 2014 and December 31, 2013 (December 31, 2012—$167) relating to services provided by Genworks.</w:t>
      </w:r>
    </w:p>
    <w:p>
      <w:pPr>
        <w:spacing w:after="0" w:line="114"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One of the Company’s directors is a former equityholder and former director of Medpace, Inc. (“Medpace”). The Company did not incur any contract research organization fees to Medpace for the six months ended June 30,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4" w:right="23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XENON PHARMACEUTICALS INC.</w:t>
      </w:r>
    </w:p>
    <w:p>
      <w:pPr>
        <w:spacing w:after="0" w:line="76"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Financial Statements</w:t>
      </w:r>
    </w:p>
    <w:p>
      <w:pPr>
        <w:spacing w:after="0" w:line="1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(Expressed in thousands of U.S. dollars except share and per share figures) (continued)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Related Parties (continued):</w:t>
      </w:r>
    </w:p>
    <w:p>
      <w:pPr>
        <w:spacing w:after="0" w:line="8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and 2014 (unaudited) and for the year ended December 31, 2013 (2012 - $151, 2011 - $876). Previously incurred contract research organization fees were paid to Medpace in consideration of certain clinical development services provided by Medpace by individuals other than the Company’s director. None of these fees were paid directly to the Company’s director. The Company is not currently a party to a consulting agreement with Medpace. No amounts have been accrued as of June 30, 2014 and December 31, 2013 (December 31, 2012 - $0) relating to services provided by Medpace.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 Milestone payment (unaudited):</w:t>
      </w:r>
    </w:p>
    <w:p>
      <w:pPr>
        <w:spacing w:after="0" w:line="50" w:lineRule="exact"/>
        <w:rPr>
          <w:sz w:val="20"/>
          <w:szCs w:val="20"/>
          <w:color w:val="auto"/>
        </w:rPr>
      </w:pPr>
    </w:p>
    <w:p>
      <w:pPr>
        <w:jc w:val="both"/>
        <w:ind w:right="380"/>
        <w:spacing w:after="0" w:line="241" w:lineRule="auto"/>
        <w:rPr>
          <w:sz w:val="20"/>
          <w:szCs w:val="20"/>
          <w:color w:val="auto"/>
        </w:rPr>
      </w:pPr>
      <w:r>
        <w:rPr>
          <w:rFonts w:ascii="Arial" w:cs="Arial" w:eastAsia="Arial" w:hAnsi="Arial"/>
          <w:sz w:val="17"/>
          <w:szCs w:val="17"/>
          <w:color w:val="auto"/>
        </w:rPr>
        <w:t>In August 2014, the Company received an $8,000 milestone payment under its collaborative research and license agreement with Genentech for the approval of the GDC-0276 Clinical Trial Application from Health Canada. This milestone payment will be recognized as revenue in the third quarter of 2014, the period in which it was achieved.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(b) Share consolidation:</w:t>
      </w:r>
    </w:p>
    <w:p>
      <w:pPr>
        <w:spacing w:after="0" w:line="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October 1, 2014, the Company effected a 1 for 4.86 reverse share split of its common and Series A, B and E redeemable convertible preferred shares. At the time of the consolidation, there were no outstanding Series C and D preferred shares and therefore such series were not included in the consolidation. Accordingly, (i) every 4.86 common shares have been combined into one common share, (ii) every 4.86 redeemable Series A, B and E convertible preferred shares have been combined into one redeemable convertible preferred share, (iii) the number of common shares into which each outstanding subscription right is exchangeable into common shares have been proportionately decreased on a 1 for 4.86 basis, (iv) the number of common shares into which each outstanding option to purchase common shares is exercisable have been proportionately decreased on a 1 for 4.86 basis, and (v) the exercise price for each such outstanding option to purchase common shares has been proportionately increased on a 1 for 4.86 basis. All of the share numbers, share prices, and exercise prices in these financial statements have been adjusted, on a retroactive basis, to reflect this 1 for 4.86 reverse share split.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444" w:right="23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2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52970"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29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270510</wp:posOffset>
            </wp:positionV>
            <wp:extent cx="72529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60"/>
        <w:spacing w:after="0"/>
        <w:rPr>
          <w:sz w:val="20"/>
          <w:szCs w:val="20"/>
          <w:color w:val="auto"/>
        </w:rPr>
      </w:pPr>
      <w:r>
        <w:rPr>
          <w:rFonts w:ascii="Arial" w:cs="Arial" w:eastAsia="Arial" w:hAnsi="Arial"/>
          <w:sz w:val="31"/>
          <w:szCs w:val="31"/>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303530</wp:posOffset>
            </wp:positionV>
            <wp:extent cx="2564765" cy="6064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64765"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Arial" w:cs="Arial" w:eastAsia="Arial" w:hAnsi="Arial"/>
          <w:sz w:val="31"/>
          <w:szCs w:val="31"/>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639445</wp:posOffset>
            </wp:positionV>
            <wp:extent cx="22536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181610</wp:posOffset>
            </wp:positionV>
            <wp:extent cx="22536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Joint Book-Running Managers</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31"/>
          <w:szCs w:val="31"/>
          <w:b w:val="1"/>
          <w:bCs w:val="1"/>
          <w:color w:val="auto"/>
        </w:rPr>
        <w:t>Jefferies</w:t>
      </w:r>
    </w:p>
    <w:p>
      <w:pPr>
        <w:spacing w:after="0" w:line="43" w:lineRule="exact"/>
        <w:rPr>
          <w:sz w:val="20"/>
          <w:szCs w:val="20"/>
          <w:color w:val="auto"/>
        </w:rPr>
      </w:pPr>
    </w:p>
    <w:p>
      <w:pPr>
        <w:jc w:val="center"/>
        <w:ind w:right="-1220"/>
        <w:spacing w:after="0"/>
        <w:rPr>
          <w:sz w:val="20"/>
          <w:szCs w:val="20"/>
          <w:color w:val="auto"/>
        </w:rPr>
      </w:pPr>
      <w:r>
        <w:rPr>
          <w:rFonts w:ascii="Arial" w:cs="Arial" w:eastAsia="Arial" w:hAnsi="Arial"/>
          <w:sz w:val="30"/>
          <w:szCs w:val="30"/>
          <w:b w:val="1"/>
          <w:bCs w:val="1"/>
          <w:color w:val="auto"/>
        </w:rPr>
        <w:t>Wells Fargo Securities</w:t>
      </w: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Co-Manager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31"/>
          <w:szCs w:val="31"/>
          <w:b w:val="1"/>
          <w:bCs w:val="1"/>
          <w:color w:val="auto"/>
        </w:rPr>
        <w:t>Canaccord Genuity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November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242570</wp:posOffset>
            </wp:positionV>
            <wp:extent cx="72529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259080</wp:posOffset>
            </wp:positionV>
            <wp:extent cx="7252970"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sectPr>
      <w:pgSz w:w="11900" w:h="16838" w:orient="portrait"/>
      <w:cols w:equalWidth="0" w:num="1">
        <w:col w:w="10219"/>
      </w:cols>
      <w:pgMar w:left="240" w:top="44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n"/>
      <w:numFmt w:val="bullet"/>
      <w:start w:val="1"/>
    </w:lvl>
  </w:abstractNum>
  <w:abstractNum w:abstractNumId="2">
    <w:nsid w:val="61574095"/>
    <w:multiLevelType w:val="hybridMultilevel"/>
    <w:lvl w:ilvl="0">
      <w:lvlJc w:val="left"/>
      <w:lvlText w:val="n"/>
      <w:numFmt w:val="bullet"/>
      <w:start w:val="1"/>
    </w:lvl>
  </w:abstractNum>
  <w:abstractNum w:abstractNumId="3">
    <w:nsid w:val="7E0C57B1"/>
    <w:multiLevelType w:val="hybridMultilevel"/>
    <w:lvl w:ilvl="0">
      <w:lvlJc w:val="left"/>
      <w:lvlText w:val="n"/>
      <w:numFmt w:val="bullet"/>
      <w:start w:val="1"/>
    </w:lvl>
  </w:abstractNum>
  <w:abstractNum w:abstractNumId="4">
    <w:nsid w:val="77AE35EB"/>
    <w:multiLevelType w:val="hybridMultilevel"/>
    <w:lvl w:ilvl="0">
      <w:lvlJc w:val="left"/>
      <w:lvlText w:val="n"/>
      <w:numFmt w:val="bullet"/>
      <w:start w:val="1"/>
    </w:lvl>
  </w:abstractNum>
  <w:abstractNum w:abstractNumId="5">
    <w:nsid w:val="579BE4F1"/>
    <w:multiLevelType w:val="hybridMultilevel"/>
    <w:lvl w:ilvl="0">
      <w:lvlJc w:val="left"/>
      <w:lvlText w:val="n"/>
      <w:numFmt w:val="bullet"/>
      <w:start w:val="1"/>
    </w:lvl>
  </w:abstractNum>
  <w:abstractNum w:abstractNumId="6">
    <w:nsid w:val="310C50B3"/>
    <w:multiLevelType w:val="hybridMultilevel"/>
    <w:lvl w:ilvl="0">
      <w:lvlJc w:val="left"/>
      <w:lvlText w:val="n"/>
      <w:numFmt w:val="bullet"/>
      <w:start w:val="1"/>
    </w:lvl>
  </w:abstractNum>
  <w:abstractNum w:abstractNumId="7">
    <w:nsid w:val="5FF87E05"/>
    <w:multiLevelType w:val="hybridMultilevel"/>
    <w:lvl w:ilvl="0">
      <w:lvlJc w:val="left"/>
      <w:lvlText w:val="n"/>
      <w:numFmt w:val="bullet"/>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n"/>
      <w:numFmt w:val="bullet"/>
      <w:start w:val="1"/>
    </w:lvl>
  </w:abstractNum>
  <w:abstractNum w:abstractNumId="10">
    <w:nsid w:val="1DBABF00"/>
    <w:multiLevelType w:val="hybridMultilevel"/>
    <w:lvl w:ilvl="0">
      <w:lvlJc w:val="left"/>
      <w:lvlText w:val="n"/>
      <w:numFmt w:val="bullet"/>
      <w:start w:val="1"/>
    </w:lvl>
  </w:abstractNum>
  <w:abstractNum w:abstractNumId="11">
    <w:nsid w:val="4AD084E9"/>
    <w:multiLevelType w:val="hybridMultilevel"/>
    <w:lvl w:ilvl="0">
      <w:lvlJc w:val="left"/>
      <w:lvlText w:val="n"/>
      <w:numFmt w:val="bullet"/>
      <w:start w:val="1"/>
    </w:lvl>
  </w:abstractNum>
  <w:abstractNum w:abstractNumId="12">
    <w:nsid w:val="1F48EAA1"/>
    <w:multiLevelType w:val="hybridMultilevel"/>
    <w:lvl w:ilvl="0">
      <w:lvlJc w:val="left"/>
      <w:lvlText w:val="n"/>
      <w:numFmt w:val="bullet"/>
      <w:start w:val="1"/>
    </w:lvl>
  </w:abstractNum>
  <w:abstractNum w:abstractNumId="13">
    <w:nsid w:val="1381823A"/>
    <w:multiLevelType w:val="hybridMultilevel"/>
    <w:lvl w:ilvl="0">
      <w:lvlJc w:val="left"/>
      <w:lvlText w:val="n"/>
      <w:numFmt w:val="bullet"/>
      <w:start w:val="1"/>
    </w:lvl>
  </w:abstractNum>
  <w:abstractNum w:abstractNumId="14">
    <w:nsid w:val="5DB70AE5"/>
    <w:multiLevelType w:val="hybridMultilevel"/>
    <w:lvl w:ilvl="0">
      <w:lvlJc w:val="left"/>
      <w:lvlText w:val="n"/>
      <w:numFmt w:val="bullet"/>
      <w:start w:val="1"/>
    </w:lvl>
  </w:abstractNum>
  <w:abstractNum w:abstractNumId="15">
    <w:nsid w:val="100F8FCA"/>
    <w:multiLevelType w:val="hybridMultilevel"/>
    <w:lvl w:ilvl="0">
      <w:lvlJc w:val="left"/>
      <w:lvlText w:val="n"/>
      <w:numFmt w:val="bullet"/>
      <w:start w:val="1"/>
    </w:lvl>
  </w:abstractNum>
  <w:abstractNum w:abstractNumId="16">
    <w:nsid w:val="6590700B"/>
    <w:multiLevelType w:val="hybridMultilevel"/>
    <w:lvl w:ilvl="0">
      <w:lvlJc w:val="left"/>
      <w:lvlText w:val="n"/>
      <w:numFmt w:val="bullet"/>
      <w:start w:val="1"/>
    </w:lvl>
  </w:abstractNum>
  <w:abstractNum w:abstractNumId="17">
    <w:nsid w:val="15014ACB"/>
    <w:multiLevelType w:val="hybridMultilevel"/>
    <w:lvl w:ilvl="0">
      <w:lvlJc w:val="left"/>
      <w:lvlText w:val="n"/>
      <w:numFmt w:val="bullet"/>
      <w:start w:val="1"/>
    </w:lvl>
  </w:abstractNum>
  <w:abstractNum w:abstractNumId="18">
    <w:nsid w:val="5F5E7FD0"/>
    <w:multiLevelType w:val="hybridMultilevel"/>
    <w:lvl w:ilvl="0">
      <w:lvlJc w:val="left"/>
      <w:lvlText w:val="n"/>
      <w:numFmt w:val="bullet"/>
      <w:start w:val="1"/>
    </w:lvl>
  </w:abstractNum>
  <w:abstractNum w:abstractNumId="19">
    <w:nsid w:val="98A3148"/>
    <w:multiLevelType w:val="hybridMultilevel"/>
    <w:lvl w:ilvl="0">
      <w:lvlJc w:val="left"/>
      <w:lvlText w:val="n"/>
      <w:numFmt w:val="bullet"/>
      <w:start w:val="1"/>
    </w:lvl>
  </w:abstractNum>
  <w:abstractNum w:abstractNumId="20">
    <w:nsid w:val="799D0247"/>
    <w:multiLevelType w:val="hybridMultilevel"/>
    <w:lvl w:ilvl="0">
      <w:lvlJc w:val="left"/>
      <w:lvlText w:val="n"/>
      <w:numFmt w:val="bullet"/>
      <w:start w:val="1"/>
    </w:lvl>
  </w:abstractNum>
  <w:abstractNum w:abstractNumId="21">
    <w:nsid w:val="6B94764"/>
    <w:multiLevelType w:val="hybridMultilevel"/>
    <w:lvl w:ilvl="0">
      <w:lvlJc w:val="left"/>
      <w:lvlText w:val="n"/>
      <w:numFmt w:val="bullet"/>
      <w:start w:val="1"/>
    </w:lvl>
  </w:abstractNum>
  <w:abstractNum w:abstractNumId="22">
    <w:nsid w:val="42C296BD"/>
    <w:multiLevelType w:val="hybridMultilevel"/>
    <w:lvl w:ilvl="0">
      <w:lvlJc w:val="left"/>
      <w:lvlText w:val="n"/>
      <w:numFmt w:val="bullet"/>
      <w:start w:val="1"/>
    </w:lvl>
  </w:abstractNum>
  <w:abstractNum w:abstractNumId="23">
    <w:nsid w:val="168E121F"/>
    <w:multiLevelType w:val="hybridMultilevel"/>
    <w:lvl w:ilvl="0">
      <w:lvlJc w:val="left"/>
      <w:lvlText w:val="n"/>
      <w:numFmt w:val="bullet"/>
      <w:start w:val="1"/>
    </w:lvl>
  </w:abstractNum>
  <w:abstractNum w:abstractNumId="24">
    <w:nsid w:val="1EBA5D23"/>
    <w:multiLevelType w:val="hybridMultilevel"/>
    <w:lvl w:ilvl="0">
      <w:lvlJc w:val="left"/>
      <w:lvlText w:val="n"/>
      <w:numFmt w:val="bullet"/>
      <w:start w:val="1"/>
    </w:lvl>
  </w:abstractNum>
  <w:abstractNum w:abstractNumId="25">
    <w:nsid w:val="661E3F1E"/>
    <w:multiLevelType w:val="hybridMultilevel"/>
    <w:lvl w:ilvl="0">
      <w:lvlJc w:val="left"/>
      <w:lvlText w:val="n"/>
      <w:numFmt w:val="bullet"/>
      <w:start w:val="1"/>
    </w:lvl>
  </w:abstractNum>
  <w:abstractNum w:abstractNumId="26">
    <w:nsid w:val="5DC79EA8"/>
    <w:multiLevelType w:val="hybridMultilevel"/>
    <w:lvl w:ilvl="0">
      <w:lvlJc w:val="left"/>
      <w:lvlText w:val="n"/>
      <w:numFmt w:val="bullet"/>
      <w:start w:val="1"/>
    </w:lvl>
  </w:abstractNum>
  <w:abstractNum w:abstractNumId="27">
    <w:nsid w:val="540A471C"/>
    <w:multiLevelType w:val="hybridMultilevel"/>
    <w:lvl w:ilvl="0">
      <w:lvlJc w:val="left"/>
      <w:lvlText w:val="n"/>
      <w:numFmt w:val="bullet"/>
      <w:start w:val="1"/>
    </w:lvl>
  </w:abstractNum>
  <w:abstractNum w:abstractNumId="28">
    <w:nsid w:val="7BD3EE7B"/>
    <w:multiLevelType w:val="hybridMultilevel"/>
    <w:lvl w:ilvl="0">
      <w:lvlJc w:val="left"/>
      <w:lvlText w:val="n"/>
      <w:numFmt w:val="bullet"/>
      <w:start w:val="1"/>
    </w:lvl>
  </w:abstractNum>
  <w:abstractNum w:abstractNumId="29">
    <w:nsid w:val="51D9C564"/>
    <w:multiLevelType w:val="hybridMultilevel"/>
    <w:lvl w:ilvl="0">
      <w:lvlJc w:val="left"/>
      <w:lvlText w:val="n"/>
      <w:numFmt w:val="bullet"/>
      <w:start w:val="1"/>
    </w:lvl>
  </w:abstractNum>
  <w:abstractNum w:abstractNumId="30">
    <w:nsid w:val="613EFDC5"/>
    <w:multiLevelType w:val="hybridMultilevel"/>
    <w:lvl w:ilvl="0">
      <w:lvlJc w:val="left"/>
      <w:lvlText w:val="n"/>
      <w:numFmt w:val="bullet"/>
      <w:start w:val="1"/>
    </w:lvl>
  </w:abstractNum>
  <w:abstractNum w:abstractNumId="31">
    <w:nsid w:val="BF72B14"/>
    <w:multiLevelType w:val="hybridMultilevel"/>
    <w:lvl w:ilvl="0">
      <w:lvlJc w:val="left"/>
      <w:lvlText w:val="n"/>
      <w:numFmt w:val="bullet"/>
      <w:start w:val="1"/>
    </w:lvl>
  </w:abstractNum>
  <w:abstractNum w:abstractNumId="32">
    <w:nsid w:val="11447B73"/>
    <w:multiLevelType w:val="hybridMultilevel"/>
    <w:lvl w:ilvl="0">
      <w:lvlJc w:val="left"/>
      <w:lvlText w:val="n"/>
      <w:numFmt w:val="bullet"/>
      <w:start w:val="1"/>
    </w:lvl>
  </w:abstractNum>
  <w:abstractNum w:abstractNumId="33">
    <w:nsid w:val="42963E5A"/>
    <w:multiLevelType w:val="hybridMultilevel"/>
    <w:lvl w:ilvl="0">
      <w:lvlJc w:val="left"/>
      <w:lvlText w:val="n"/>
      <w:numFmt w:val="bullet"/>
      <w:start w:val="1"/>
    </w:lvl>
  </w:abstractNum>
  <w:abstractNum w:abstractNumId="34">
    <w:nsid w:val="A0382C5"/>
    <w:multiLevelType w:val="hybridMultilevel"/>
    <w:lvl w:ilvl="0">
      <w:lvlJc w:val="left"/>
      <w:lvlText w:val="n"/>
      <w:numFmt w:val="bullet"/>
      <w:start w:val="1"/>
    </w:lvl>
  </w:abstractNum>
  <w:abstractNum w:abstractNumId="35">
    <w:nsid w:val="8F2B15E"/>
    <w:multiLevelType w:val="hybridMultilevel"/>
    <w:lvl w:ilvl="0">
      <w:lvlJc w:val="left"/>
      <w:lvlText w:val="n"/>
      <w:numFmt w:val="bullet"/>
      <w:start w:val="1"/>
    </w:lvl>
  </w:abstractNum>
  <w:abstractNum w:abstractNumId="36">
    <w:nsid w:val="1A32234B"/>
    <w:multiLevelType w:val="hybridMultilevel"/>
    <w:lvl w:ilvl="0">
      <w:lvlJc w:val="left"/>
      <w:lvlText w:val="n"/>
      <w:numFmt w:val="bullet"/>
      <w:start w:val="1"/>
    </w:lvl>
  </w:abstractNum>
  <w:abstractNum w:abstractNumId="37">
    <w:nsid w:val="3B0FD379"/>
    <w:multiLevelType w:val="hybridMultilevel"/>
    <w:lvl w:ilvl="0">
      <w:lvlJc w:val="left"/>
      <w:lvlText w:val="n"/>
      <w:numFmt w:val="bullet"/>
      <w:start w:val="1"/>
    </w:lvl>
  </w:abstractNum>
  <w:abstractNum w:abstractNumId="38">
    <w:nsid w:val="68EB2F63"/>
    <w:multiLevelType w:val="hybridMultilevel"/>
    <w:lvl w:ilvl="0">
      <w:lvlJc w:val="left"/>
      <w:lvlText w:val="n"/>
      <w:numFmt w:val="bullet"/>
      <w:start w:val="1"/>
    </w:lvl>
  </w:abstractNum>
  <w:abstractNum w:abstractNumId="39">
    <w:nsid w:val="4962813B"/>
    <w:multiLevelType w:val="hybridMultilevel"/>
    <w:lvl w:ilvl="0">
      <w:lvlJc w:val="left"/>
      <w:lvlText w:val="n"/>
      <w:numFmt w:val="bullet"/>
      <w:start w:val="1"/>
    </w:lvl>
  </w:abstractNum>
  <w:abstractNum w:abstractNumId="40">
    <w:nsid w:val="60B6DF70"/>
    <w:multiLevelType w:val="hybridMultilevel"/>
    <w:lvl w:ilvl="0">
      <w:lvlJc w:val="left"/>
      <w:lvlText w:val="n"/>
      <w:numFmt w:val="bullet"/>
      <w:start w:val="1"/>
    </w:lvl>
  </w:abstractNum>
  <w:abstractNum w:abstractNumId="41">
    <w:nsid w:val="6A5EE64"/>
    <w:multiLevelType w:val="hybridMultilevel"/>
    <w:lvl w:ilvl="0">
      <w:lvlJc w:val="left"/>
      <w:lvlText w:val="n"/>
      <w:numFmt w:val="bullet"/>
      <w:start w:val="1"/>
    </w:lvl>
  </w:abstractNum>
  <w:abstractNum w:abstractNumId="42">
    <w:nsid w:val="14330624"/>
    <w:multiLevelType w:val="hybridMultilevel"/>
    <w:lvl w:ilvl="0">
      <w:lvlJc w:val="left"/>
      <w:lvlText w:val="n"/>
      <w:numFmt w:val="bullet"/>
      <w:start w:val="1"/>
    </w:lvl>
  </w:abstractNum>
  <w:abstractNum w:abstractNumId="43">
    <w:nsid w:val="7FFFCA11"/>
    <w:multiLevelType w:val="hybridMultilevel"/>
    <w:lvl w:ilvl="0">
      <w:lvlJc w:val="left"/>
      <w:lvlText w:val="n"/>
      <w:numFmt w:val="bullet"/>
      <w:start w:val="1"/>
    </w:lvl>
  </w:abstractNum>
  <w:abstractNum w:abstractNumId="44">
    <w:nsid w:val="1A27709E"/>
    <w:multiLevelType w:val="hybridMultilevel"/>
    <w:lvl w:ilvl="0">
      <w:lvlJc w:val="left"/>
      <w:lvlText w:val="n"/>
      <w:numFmt w:val="bullet"/>
      <w:start w:val="1"/>
    </w:lvl>
  </w:abstractNum>
  <w:abstractNum w:abstractNumId="45">
    <w:nsid w:val="71EA1109"/>
    <w:multiLevelType w:val="hybridMultilevel"/>
    <w:lvl w:ilvl="0">
      <w:lvlJc w:val="left"/>
      <w:lvlText w:val="(%1)"/>
      <w:numFmt w:val="decimal"/>
      <w:start w:val="1"/>
    </w:lvl>
  </w:abstractNum>
  <w:abstractNum w:abstractNumId="46">
    <w:nsid w:val="100F59DC"/>
    <w:multiLevelType w:val="hybridMultilevel"/>
    <w:lvl w:ilvl="0">
      <w:lvlJc w:val="left"/>
      <w:lvlText w:val="n"/>
      <w:numFmt w:val="bullet"/>
      <w:start w:val="1"/>
    </w:lvl>
  </w:abstractNum>
  <w:abstractNum w:abstractNumId="47">
    <w:nsid w:val="7FB7E0AA"/>
    <w:multiLevelType w:val="hybridMultilevel"/>
    <w:lvl w:ilvl="0">
      <w:lvlJc w:val="left"/>
      <w:lvlText w:val="n"/>
      <w:numFmt w:val="bullet"/>
      <w:start w:val="1"/>
    </w:lvl>
  </w:abstractNum>
  <w:abstractNum w:abstractNumId="48">
    <w:nsid w:val="6EB5BD4"/>
    <w:multiLevelType w:val="hybridMultilevel"/>
    <w:lvl w:ilvl="0">
      <w:lvlJc w:val="left"/>
      <w:lvlText w:val="n"/>
      <w:numFmt w:val="bullet"/>
      <w:start w:val="1"/>
    </w:lvl>
  </w:abstractNum>
  <w:abstractNum w:abstractNumId="49">
    <w:nsid w:val="6F6DD9AC"/>
    <w:multiLevelType w:val="hybridMultilevel"/>
    <w:lvl w:ilvl="0">
      <w:lvlJc w:val="left"/>
      <w:lvlText w:val="n"/>
      <w:numFmt w:val="bullet"/>
      <w:start w:val="1"/>
    </w:lvl>
  </w:abstractNum>
  <w:abstractNum w:abstractNumId="50">
    <w:nsid w:val="94211F2"/>
    <w:multiLevelType w:val="hybridMultilevel"/>
    <w:lvl w:ilvl="0">
      <w:lvlJc w:val="left"/>
      <w:lvlText w:val="n"/>
      <w:numFmt w:val="bullet"/>
      <w:start w:val="1"/>
    </w:lvl>
  </w:abstractNum>
  <w:abstractNum w:abstractNumId="51">
    <w:nsid w:val="885E1B"/>
    <w:multiLevelType w:val="hybridMultilevel"/>
    <w:lvl w:ilvl="0">
      <w:lvlJc w:val="left"/>
      <w:lvlText w:val="n"/>
      <w:numFmt w:val="bullet"/>
      <w:start w:val="1"/>
    </w:lvl>
  </w:abstractNum>
  <w:abstractNum w:abstractNumId="52">
    <w:nsid w:val="76272110"/>
    <w:multiLevelType w:val="hybridMultilevel"/>
    <w:lvl w:ilvl="0">
      <w:lvlJc w:val="left"/>
      <w:lvlText w:val="n"/>
      <w:numFmt w:val="bullet"/>
      <w:start w:val="1"/>
    </w:lvl>
  </w:abstractNum>
  <w:abstractNum w:abstractNumId="53">
    <w:nsid w:val="4C04A8AF"/>
    <w:multiLevelType w:val="hybridMultilevel"/>
    <w:lvl w:ilvl="0">
      <w:lvlJc w:val="left"/>
      <w:lvlText w:val="n"/>
      <w:numFmt w:val="bullet"/>
      <w:start w:val="1"/>
    </w:lvl>
  </w:abstractNum>
  <w:abstractNum w:abstractNumId="54">
    <w:nsid w:val="1716703B"/>
    <w:multiLevelType w:val="hybridMultilevel"/>
    <w:lvl w:ilvl="0">
      <w:lvlJc w:val="left"/>
      <w:lvlText w:val="n"/>
      <w:numFmt w:val="bullet"/>
      <w:start w:val="1"/>
    </w:lvl>
  </w:abstractNum>
  <w:abstractNum w:abstractNumId="55">
    <w:nsid w:val="14E17E33"/>
    <w:multiLevelType w:val="hybridMultilevel"/>
    <w:lvl w:ilvl="0">
      <w:lvlJc w:val="left"/>
      <w:lvlText w:val="n"/>
      <w:numFmt w:val="bullet"/>
      <w:start w:val="1"/>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n"/>
      <w:numFmt w:val="bullet"/>
      <w:start w:val="1"/>
    </w:lvl>
  </w:abstractNum>
  <w:abstractNum w:abstractNumId="58">
    <w:nsid w:val="68EBC550"/>
    <w:multiLevelType w:val="hybridMultilevel"/>
    <w:lvl w:ilvl="0">
      <w:lvlJc w:val="left"/>
      <w:lvlText w:val="n"/>
      <w:numFmt w:val="bullet"/>
      <w:start w:val="1"/>
    </w:lvl>
  </w:abstractNum>
  <w:abstractNum w:abstractNumId="59">
    <w:nsid w:val="2DF6D648"/>
    <w:multiLevelType w:val="hybridMultilevel"/>
    <w:lvl w:ilvl="0">
      <w:lvlJc w:val="left"/>
      <w:lvlText w:val="n"/>
      <w:numFmt w:val="bullet"/>
      <w:start w:val="1"/>
    </w:lvl>
  </w:abstractNum>
  <w:abstractNum w:abstractNumId="60">
    <w:nsid w:val="46B7D447"/>
    <w:multiLevelType w:val="hybridMultilevel"/>
    <w:lvl w:ilvl="0">
      <w:lvlJc w:val="left"/>
      <w:lvlText w:val="n"/>
      <w:numFmt w:val="bullet"/>
      <w:start w:val="1"/>
    </w:lvl>
  </w:abstractNum>
  <w:abstractNum w:abstractNumId="61">
    <w:nsid w:val="4A2AC315"/>
    <w:multiLevelType w:val="hybridMultilevel"/>
    <w:lvl w:ilvl="0">
      <w:lvlJc w:val="left"/>
      <w:lvlText w:val="n"/>
      <w:numFmt w:val="bullet"/>
      <w:start w:val="1"/>
    </w:lvl>
  </w:abstractNum>
  <w:abstractNum w:abstractNumId="62">
    <w:nsid w:val="39EE015C"/>
    <w:multiLevelType w:val="hybridMultilevel"/>
    <w:lvl w:ilvl="0">
      <w:lvlJc w:val="left"/>
      <w:lvlText w:val="n"/>
      <w:numFmt w:val="bullet"/>
      <w:start w:val="1"/>
    </w:lvl>
  </w:abstractNum>
  <w:abstractNum w:abstractNumId="63">
    <w:nsid w:val="57FC4FBB"/>
    <w:multiLevelType w:val="hybridMultilevel"/>
    <w:lvl w:ilvl="0">
      <w:lvlJc w:val="left"/>
      <w:lvlText w:val="n"/>
      <w:numFmt w:val="bullet"/>
      <w:start w:val="1"/>
    </w:lvl>
  </w:abstractNum>
  <w:abstractNum w:abstractNumId="64">
    <w:nsid w:val="CC1016F"/>
    <w:multiLevelType w:val="hybridMultilevel"/>
    <w:lvl w:ilvl="0">
      <w:lvlJc w:val="left"/>
      <w:lvlText w:val="n"/>
      <w:numFmt w:val="bullet"/>
      <w:start w:val="1"/>
    </w:lvl>
  </w:abstractNum>
  <w:abstractNum w:abstractNumId="65">
    <w:nsid w:val="43F18422"/>
    <w:multiLevelType w:val="hybridMultilevel"/>
    <w:lvl w:ilvl="0">
      <w:lvlJc w:val="left"/>
      <w:lvlText w:val="n"/>
      <w:numFmt w:val="bullet"/>
      <w:start w:val="1"/>
    </w:lvl>
  </w:abstractNum>
  <w:abstractNum w:abstractNumId="66">
    <w:nsid w:val="60EF0119"/>
    <w:multiLevelType w:val="hybridMultilevel"/>
    <w:lvl w:ilvl="0">
      <w:lvlJc w:val="left"/>
      <w:lvlText w:val="n"/>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n"/>
      <w:numFmt w:val="bullet"/>
      <w:start w:val="1"/>
    </w:lvl>
  </w:abstractNum>
  <w:abstractNum w:abstractNumId="71">
    <w:nsid w:val="5FB8370B"/>
    <w:multiLevelType w:val="hybridMultilevel"/>
    <w:lvl w:ilvl="0">
      <w:lvlJc w:val="left"/>
      <w:lvlText w:val="n"/>
      <w:numFmt w:val="bullet"/>
      <w:start w:val="1"/>
    </w:lvl>
  </w:abstractNum>
  <w:abstractNum w:abstractNumId="72">
    <w:nsid w:val="50801EE1"/>
    <w:multiLevelType w:val="hybridMultilevel"/>
    <w:lvl w:ilvl="0">
      <w:lvlJc w:val="left"/>
      <w:lvlText w:val="n"/>
      <w:numFmt w:val="bullet"/>
      <w:start w:val="1"/>
    </w:lvl>
  </w:abstractNum>
  <w:abstractNum w:abstractNumId="73">
    <w:nsid w:val="488AC1A"/>
    <w:multiLevelType w:val="hybridMultilevel"/>
    <w:lvl w:ilvl="0">
      <w:lvlJc w:val="left"/>
      <w:lvlText w:val="n"/>
      <w:numFmt w:val="bullet"/>
      <w:start w:val="1"/>
    </w:lvl>
  </w:abstractNum>
  <w:abstractNum w:abstractNumId="74">
    <w:nsid w:val="5FB8011C"/>
    <w:multiLevelType w:val="hybridMultilevel"/>
    <w:lvl w:ilvl="0">
      <w:lvlJc w:val="left"/>
      <w:lvlText w:val="n"/>
      <w:numFmt w:val="bullet"/>
      <w:start w:val="1"/>
    </w:lvl>
  </w:abstractNum>
  <w:abstractNum w:abstractNumId="75">
    <w:nsid w:val="6AA78F7F"/>
    <w:multiLevelType w:val="hybridMultilevel"/>
    <w:lvl w:ilvl="0">
      <w:lvlJc w:val="left"/>
      <w:lvlText w:val="n"/>
      <w:numFmt w:val="bullet"/>
      <w:start w:val="1"/>
    </w:lvl>
  </w:abstractNum>
  <w:abstractNum w:abstractNumId="76">
    <w:nsid w:val="7672BD23"/>
    <w:multiLevelType w:val="hybridMultilevel"/>
    <w:lvl w:ilvl="0">
      <w:lvlJc w:val="left"/>
      <w:lvlText w:val="(%1)"/>
      <w:numFmt w:val="lowerRoman"/>
      <w:start w:val="2"/>
    </w:lvl>
  </w:abstractNum>
  <w:abstractNum w:abstractNumId="77">
    <w:nsid w:val="6FC75AF8"/>
    <w:multiLevelType w:val="hybridMultilevel"/>
    <w:lvl w:ilvl="0">
      <w:lvlJc w:val="left"/>
      <w:lvlText w:val="(%1)"/>
      <w:numFmt w:val="lowerLetter"/>
      <w:start w:val="2"/>
    </w:lvl>
  </w:abstractNum>
  <w:abstractNum w:abstractNumId="78">
    <w:nsid w:val="6A5F7029"/>
    <w:multiLevelType w:val="hybridMultilevel"/>
    <w:lvl w:ilvl="0">
      <w:lvlJc w:val="left"/>
      <w:lvlText w:val="n"/>
      <w:numFmt w:val="bullet"/>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n"/>
      <w:numFmt w:val="bullet"/>
      <w:start w:val="1"/>
    </w:lvl>
  </w:abstractNum>
  <w:abstractNum w:abstractNumId="81">
    <w:nsid w:val="73A1821B"/>
    <w:multiLevelType w:val="hybridMultilevel"/>
    <w:lvl w:ilvl="0">
      <w:lvlJc w:val="left"/>
      <w:lvlText w:val="n"/>
      <w:numFmt w:val="bullet"/>
      <w:start w:val="1"/>
    </w:lvl>
  </w:abstractNum>
  <w:abstractNum w:abstractNumId="82">
    <w:nsid w:val="7DE67713"/>
    <w:multiLevelType w:val="hybridMultilevel"/>
    <w:lvl w:ilvl="0">
      <w:lvlJc w:val="left"/>
      <w:lvlText w:val="n"/>
      <w:numFmt w:val="bullet"/>
      <w:start w:val="1"/>
    </w:lvl>
  </w:abstractNum>
  <w:abstractNum w:abstractNumId="83">
    <w:nsid w:val="555C55B5"/>
    <w:multiLevelType w:val="hybridMultilevel"/>
    <w:lvl w:ilvl="0">
      <w:lvlJc w:val="left"/>
      <w:lvlText w:val="n"/>
      <w:numFmt w:val="bullet"/>
      <w:start w:val="1"/>
    </w:lvl>
  </w:abstractNum>
  <w:abstractNum w:abstractNumId="84">
    <w:nsid w:val="3FA62ACA"/>
    <w:multiLevelType w:val="hybridMultilevel"/>
    <w:lvl w:ilvl="0">
      <w:lvlJc w:val="left"/>
      <w:lvlText w:val="(%1)"/>
      <w:numFmt w:val="decimal"/>
      <w:start w:val="1"/>
    </w:lvl>
    <w:lvl w:ilvl="1">
      <w:lvlJc w:val="left"/>
      <w:lvlText w:val="(%2)"/>
      <w:numFmt w:val="lowerRoman"/>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1"/>
    </w:lvl>
    <w:lvl w:ilvl="1">
      <w:lvlJc w:val="left"/>
      <w:lvlText w:val="(%2)"/>
      <w:numFmt w:val="decimal"/>
      <w:start w:val="1"/>
    </w:lvl>
  </w:abstractNum>
  <w:abstractNum w:abstractNumId="87">
    <w:nsid w:val="71C91298"/>
    <w:multiLevelType w:val="hybridMultilevel"/>
    <w:lvl w:ilvl="0">
      <w:lvlJc w:val="left"/>
      <w:lvlText w:val="(%1)"/>
      <w:numFmt w:val="decimal"/>
      <w:start w:val="3"/>
    </w:lvl>
    <w:lvl w:ilvl="1">
      <w:lvlJc w:val="left"/>
      <w:lvlText w:val="(%2)"/>
      <w:numFmt w:val="decimal"/>
      <w:start w:val="4"/>
    </w:lvl>
  </w:abstractNum>
  <w:abstractNum w:abstractNumId="88">
    <w:nsid w:val="9DAF632"/>
    <w:multiLevelType w:val="hybridMultilevel"/>
    <w:lvl w:ilvl="0">
      <w:lvlJc w:val="left"/>
      <w:lvlText w:val="n"/>
      <w:numFmt w:val="bullet"/>
      <w:start w:val="1"/>
    </w:lvl>
  </w:abstractNum>
  <w:abstractNum w:abstractNumId="89">
    <w:nsid w:val="53299938"/>
    <w:multiLevelType w:val="hybridMultilevel"/>
    <w:lvl w:ilvl="0">
      <w:lvlJc w:val="left"/>
      <w:lvlText w:val="(%1)"/>
      <w:numFmt w:val="decimal"/>
      <w:start w:val="1"/>
    </w:lvl>
  </w:abstractNum>
  <w:abstractNum w:abstractNumId="90">
    <w:nsid w:val="1FBFE8E0"/>
    <w:multiLevelType w:val="hybridMultilevel"/>
    <w:lvl w:ilvl="0">
      <w:lvlJc w:val="left"/>
      <w:lvlText w:val="(%1)"/>
      <w:numFmt w:val="decimal"/>
      <w:start w:val="1"/>
    </w:lvl>
  </w:abstractNum>
  <w:abstractNum w:abstractNumId="91">
    <w:nsid w:val="5092CA79"/>
    <w:multiLevelType w:val="hybridMultilevel"/>
    <w:lvl w:ilvl="0">
      <w:lvlJc w:val="left"/>
      <w:lvlText w:val="(%1)"/>
      <w:numFmt w:val="decimal"/>
      <w:start w:val="1"/>
    </w:lvl>
  </w:abstractNum>
  <w:abstractNum w:abstractNumId="92">
    <w:nsid w:val="1D545C4D"/>
    <w:multiLevelType w:val="hybridMultilevel"/>
    <w:lvl w:ilvl="0">
      <w:lvlJc w:val="left"/>
      <w:lvlText w:val="(%1)"/>
      <w:numFmt w:val="lowerRoman"/>
      <w:start w:val="2"/>
    </w:lvl>
  </w:abstractNum>
  <w:abstractNum w:abstractNumId="93">
    <w:nsid w:val="59ADEA3D"/>
    <w:multiLevelType w:val="hybridMultilevel"/>
    <w:lvl w:ilvl="0">
      <w:lvlJc w:val="left"/>
      <w:lvlText w:val="(%1)"/>
      <w:numFmt w:val="decimal"/>
      <w:start w:val="1"/>
    </w:lvl>
  </w:abstractNum>
  <w:abstractNum w:abstractNumId="94">
    <w:nsid w:val="288F1A34"/>
    <w:multiLevelType w:val="hybridMultilevel"/>
    <w:lvl w:ilvl="0">
      <w:lvlJc w:val="left"/>
      <w:lvlText w:val="n"/>
      <w:numFmt w:val="bullet"/>
      <w:start w:val="1"/>
    </w:lvl>
  </w:abstractNum>
  <w:abstractNum w:abstractNumId="95">
    <w:nsid w:val="2A155DBC"/>
    <w:multiLevelType w:val="hybridMultilevel"/>
    <w:lvl w:ilvl="0">
      <w:lvlJc w:val="left"/>
      <w:lvlText w:val="n"/>
      <w:numFmt w:val="bullet"/>
      <w:start w:val="1"/>
    </w:lvl>
  </w:abstractNum>
  <w:abstractNum w:abstractNumId="96">
    <w:nsid w:val="1D9F6E5F"/>
    <w:multiLevelType w:val="hybridMultilevel"/>
    <w:lvl w:ilvl="0">
      <w:lvlJc w:val="left"/>
      <w:lvlText w:val="n"/>
      <w:numFmt w:val="bullet"/>
      <w:start w:val="1"/>
    </w:lvl>
  </w:abstractNum>
  <w:abstractNum w:abstractNumId="97">
    <w:nsid w:val="97E1B4E"/>
    <w:multiLevelType w:val="hybridMultilevel"/>
    <w:lvl w:ilvl="0">
      <w:lvlJc w:val="left"/>
      <w:lvlText w:val="(%1)"/>
      <w:numFmt w:val="decimal"/>
    </w:lvl>
    <w:lvl w:ilvl="1">
      <w:lvlJc w:val="left"/>
      <w:lvlText w:val="*"/>
      <w:numFmt w:val="bullet"/>
      <w:start w:val="1"/>
    </w:lvl>
  </w:abstractNum>
  <w:abstractNum w:abstractNumId="98">
    <w:nsid w:val="51088277"/>
    <w:multiLevelType w:val="hybridMultilevel"/>
    <w:lvl w:ilvl="0">
      <w:lvlJc w:val="left"/>
      <w:lvlText w:val="(%1)"/>
      <w:numFmt w:val="decimal"/>
      <w:start w:val="10"/>
    </w:lvl>
  </w:abstractNum>
  <w:abstractNum w:abstractNumId="99">
    <w:nsid w:val="1CA0C5FA"/>
    <w:multiLevelType w:val="hybridMultilevel"/>
    <w:lvl w:ilvl="0">
      <w:lvlJc w:val="left"/>
      <w:lvlText w:val="(%1)"/>
      <w:numFmt w:val="decimal"/>
      <w:start w:val="17"/>
    </w:lvl>
  </w:abstractNum>
  <w:abstractNum w:abstractNumId="100">
    <w:nsid w:val="53584BCB"/>
    <w:multiLevelType w:val="hybridMultilevel"/>
    <w:lvl w:ilvl="0">
      <w:lvlJc w:val="left"/>
      <w:lvlText w:val="n"/>
      <w:numFmt w:val="bullet"/>
      <w:start w:val="1"/>
    </w:lvl>
  </w:abstractNum>
  <w:abstractNum w:abstractNumId="101">
    <w:nsid w:val="415E286C"/>
    <w:multiLevelType w:val="hybridMultilevel"/>
    <w:lvl w:ilvl="0">
      <w:lvlJc w:val="left"/>
      <w:lvlText w:val="n"/>
      <w:numFmt w:val="bullet"/>
      <w:start w:val="1"/>
    </w:lvl>
  </w:abstractNum>
  <w:abstractNum w:abstractNumId="102">
    <w:nsid w:val="7C58FD05"/>
    <w:multiLevelType w:val="hybridMultilevel"/>
    <w:lvl w:ilvl="0">
      <w:lvlJc w:val="left"/>
      <w:lvlText w:val="(%1)"/>
      <w:numFmt w:val="lowerLetter"/>
      <w:start w:val="3"/>
    </w:lvl>
  </w:abstractNum>
  <w:abstractNum w:abstractNumId="103">
    <w:nsid w:val="23D86AAC"/>
    <w:multiLevelType w:val="hybridMultilevel"/>
    <w:lvl w:ilvl="0">
      <w:lvlJc w:val="left"/>
      <w:lvlText w:val="n"/>
      <w:numFmt w:val="bullet"/>
      <w:start w:val="1"/>
    </w:lvl>
  </w:abstractNum>
  <w:abstractNum w:abstractNumId="104">
    <w:nsid w:val="45E6D486"/>
    <w:multiLevelType w:val="hybridMultilevel"/>
    <w:lvl w:ilvl="0">
      <w:lvlJc w:val="left"/>
      <w:lvlText w:val="n"/>
      <w:numFmt w:val="bullet"/>
      <w:start w:val="1"/>
    </w:lvl>
  </w:abstractNum>
  <w:abstractNum w:abstractNumId="105">
    <w:nsid w:val="5C10FE21"/>
    <w:multiLevelType w:val="hybridMultilevel"/>
    <w:lvl w:ilvl="0">
      <w:lvlJc w:val="left"/>
      <w:lvlText w:val="n"/>
      <w:numFmt w:val="bullet"/>
      <w:start w:val="1"/>
    </w:lvl>
  </w:abstractNum>
  <w:abstractNum w:abstractNumId="106">
    <w:nsid w:val="E7FFA2B"/>
    <w:multiLevelType w:val="hybridMultilevel"/>
    <w:lvl w:ilvl="0">
      <w:lvlJc w:val="left"/>
      <w:lvlText w:val="n"/>
      <w:numFmt w:val="bullet"/>
      <w:start w:val="1"/>
    </w:lvl>
  </w:abstractNum>
  <w:abstractNum w:abstractNumId="107">
    <w:nsid w:val="3C5991AA"/>
    <w:multiLevelType w:val="hybridMultilevel"/>
    <w:lvl w:ilvl="0">
      <w:lvlJc w:val="left"/>
      <w:lvlText w:val="(%1)"/>
      <w:numFmt w:val="lowerLetter"/>
      <w:start w:val="2"/>
    </w:lvl>
  </w:abstractNum>
  <w:abstractNum w:abstractNumId="108">
    <w:nsid w:val="4BD8591A"/>
    <w:multiLevelType w:val="hybridMultilevel"/>
    <w:lvl w:ilvl="0">
      <w:lvlJc w:val="left"/>
      <w:lvlText w:val="n"/>
      <w:numFmt w:val="bullet"/>
      <w:start w:val="1"/>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decimal"/>
      <w:start w:val="2"/>
    </w:lvl>
  </w:abstractNum>
  <w:abstractNum w:abstractNumId="113">
    <w:nsid w:val="379E21B5"/>
    <w:multiLevelType w:val="hybridMultilevel"/>
    <w:lvl w:ilvl="0">
      <w:lvlJc w:val="left"/>
      <w:lvlText w:val="n"/>
      <w:numFmt w:val="bullet"/>
      <w:start w:val="1"/>
    </w:lvl>
  </w:abstractNum>
  <w:abstractNum w:abstractNumId="114">
    <w:nsid w:val="69E373"/>
    <w:multiLevelType w:val="hybridMultilevel"/>
    <w:lvl w:ilvl="0">
      <w:lvlJc w:val="left"/>
      <w:lvlText w:val="n"/>
      <w:numFmt w:val="bullet"/>
      <w:start w:val="1"/>
    </w:lvl>
  </w:abstractNum>
  <w:abstractNum w:abstractNumId="115">
    <w:nsid w:val="2C27173B"/>
    <w:multiLevelType w:val="hybridMultilevel"/>
    <w:lvl w:ilvl="0">
      <w:lvlJc w:val="left"/>
      <w:lvlText w:val="n"/>
      <w:numFmt w:val="bullet"/>
      <w:start w:val="1"/>
    </w:lvl>
  </w:abstractNum>
  <w:abstractNum w:abstractNumId="116">
    <w:nsid w:val="4C9B0904"/>
    <w:multiLevelType w:val="hybridMultilevel"/>
    <w:lvl w:ilvl="0">
      <w:lvlJc w:val="left"/>
      <w:lvlText w:val="n"/>
      <w:numFmt w:val="bullet"/>
      <w:start w:val="1"/>
    </w:lvl>
  </w:abstractNum>
  <w:abstractNum w:abstractNumId="117">
    <w:nsid w:val="6AA7B75C"/>
    <w:multiLevelType w:val="hybridMultilevel"/>
    <w:lvl w:ilvl="0">
      <w:lvlJc w:val="left"/>
      <w:lvlText w:val="(%1)"/>
      <w:numFmt w:val="lowerLetter"/>
      <w:start w:val="5"/>
    </w:lvl>
  </w:abstractNum>
  <w:abstractNum w:abstractNumId="118">
    <w:nsid w:val="1DF029D3"/>
    <w:multiLevelType w:val="hybridMultilevel"/>
    <w:lvl w:ilvl="0">
      <w:lvlJc w:val="left"/>
      <w:lvlText w:val="%1."/>
      <w:numFmt w:val="decimal"/>
      <w:start w:val="15"/>
    </w:lvl>
  </w:abstractNum>
  <w:abstractNum w:abstractNumId="119">
    <w:nsid w:val="5675FF36"/>
    <w:multiLevelType w:val="hybridMultilevel"/>
    <w:lvl w:ilvl="0">
      <w:lvlJc w:val="left"/>
      <w:lvlText w:val="(%1)"/>
      <w:numFmt w:val="lowerRoman"/>
      <w:start w:val="1"/>
    </w:lvl>
  </w:abstractNum>
  <w:abstractNum w:abstractNumId="120">
    <w:nsid w:val="3DD1509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2019-12-08T08:28:18Z</dcterms:created>
  <dcterms:modified xsi:type="dcterms:W3CDTF">2019-12-08T08:28:18Z</dcterms:modified>
</cp:coreProperties>
</file>