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3976370</wp:posOffset>
            </wp:positionH>
            <wp:positionV relativeFrom="paragraph">
              <wp:posOffset>-7620</wp:posOffset>
            </wp:positionV>
            <wp:extent cx="809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XENON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625" w:right="279" w:bottom="1440" w:gutter="0" w:footer="0" w:header="0"/>
        </w:sectPr>
      </w:pPr>
    </w:p>
    <w:p>
      <w:pPr>
        <w:spacing w:after="0" w:line="259"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Canada</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98-0661854</w:t>
      </w:r>
    </w:p>
    <w:p>
      <w:pPr>
        <w:spacing w:after="0" w:line="31" w:lineRule="exact"/>
        <w:rPr>
          <w:sz w:val="24"/>
          <w:szCs w:val="24"/>
          <w:color w:val="auto"/>
        </w:rPr>
      </w:pPr>
    </w:p>
    <w:p>
      <w:pPr>
        <w:sectPr>
          <w:pgSz w:w="11900" w:h="16838" w:orient="portrait"/>
          <w:cols w:equalWidth="0" w:num="2">
            <w:col w:w="7480" w:space="720"/>
            <w:col w:w="3180"/>
          </w:cols>
          <w:pgMar w:left="240" w:top="625" w:right="279" w:bottom="1440" w:gutter="0" w:footer="0" w:header="0"/>
          <w:type w:val="continuous"/>
        </w:sectPr>
      </w:pPr>
    </w:p>
    <w:p>
      <w:pPr>
        <w:spacing w:after="0" w:line="12"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4"/>
          <w:szCs w:val="14"/>
          <w:b w:val="1"/>
          <w:bCs w:val="1"/>
          <w:color w:val="auto"/>
        </w:rPr>
        <w:t>(I.R.S. Employer</w:t>
      </w:r>
    </w:p>
    <w:p>
      <w:pPr>
        <w:jc w:val="center"/>
        <w:ind w:right="2040"/>
        <w:spacing w:after="0"/>
        <w:rPr>
          <w:sz w:val="20"/>
          <w:szCs w:val="20"/>
          <w:color w:val="auto"/>
        </w:rPr>
      </w:pPr>
      <w:r>
        <w:rPr>
          <w:rFonts w:ascii="Arial" w:cs="Arial" w:eastAsia="Arial" w:hAnsi="Arial"/>
          <w:sz w:val="13"/>
          <w:szCs w:val="13"/>
          <w:b w:val="1"/>
          <w:bCs w:val="1"/>
          <w:color w:val="auto"/>
        </w:rPr>
        <w:t>Identification Number)</w:t>
      </w:r>
    </w:p>
    <w:p>
      <w:pPr>
        <w:spacing w:after="0" w:line="95" w:lineRule="exact"/>
        <w:rPr>
          <w:sz w:val="24"/>
          <w:szCs w:val="24"/>
          <w:color w:val="auto"/>
        </w:rPr>
      </w:pPr>
    </w:p>
    <w:p>
      <w:pPr>
        <w:sectPr>
          <w:pgSz w:w="11900" w:h="16838" w:orient="portrait"/>
          <w:cols w:equalWidth="0" w:num="2">
            <w:col w:w="7200" w:space="720"/>
            <w:col w:w="3460"/>
          </w:cols>
          <w:pgMar w:left="240" w:top="625"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200-3650 Gilmore Way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Burnaby, British Columbia V5G 4W8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Canada</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(604) 484-3300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625" w:right="279" w:bottom="1440" w:gutter="0" w:footer="0" w:header="0"/>
          <w:type w:val="continuous"/>
        </w:sectPr>
      </w:pPr>
    </w:p>
    <w:p>
      <w:pPr>
        <w:spacing w:after="0" w:line="260"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625" w:right="279" w:bottom="1440" w:gutter="0" w:footer="0" w:header="0"/>
          <w:type w:val="continuous"/>
        </w:sectPr>
      </w:pPr>
    </w:p>
    <w:p>
      <w:pPr>
        <w:spacing w:after="0" w:line="8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620" w:space="520"/>
            <w:col w:w="5400" w:space="720"/>
            <w:col w:w="1840" w:space="720"/>
            <w:col w:w="560"/>
          </w:cols>
          <w:pgMar w:left="240" w:top="625" w:right="2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600"/>
            <w:col w:w="160" w:space="380"/>
            <w:col w:w="4860" w:space="720"/>
            <w:col w:w="1960" w:space="600"/>
            <w:col w:w="560"/>
          </w:cols>
          <w:pgMar w:left="240" w:top="625" w:right="279" w:bottom="1440" w:gutter="0" w:footer="0" w:header="0"/>
          <w:type w:val="continuous"/>
        </w:sect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52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2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The number of registrant’s common shares outstanding as of October 28, 2016 was 17,893,304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25" w:right="27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SEPTEMBER 30, 2016</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290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28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40" w:type="dxa"/>
            <w:vAlign w:val="bottom"/>
          </w:tcPr>
          <w:p>
            <w:pPr>
              <w:spacing w:after="0"/>
              <w:rPr>
                <w:sz w:val="24"/>
                <w:szCs w:val="24"/>
                <w:color w:val="auto"/>
              </w:rPr>
            </w:pPr>
          </w:p>
        </w:tc>
        <w:tc>
          <w:tcPr>
            <w:tcW w:w="97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Balance Sheets as of September 30, 2016 and December 31, 2015</w:t>
              </w:r>
            </w:hyperlink>
          </w:p>
        </w:tc>
        <w:tc>
          <w:tcPr>
            <w:tcW w:w="4600" w:type="dxa"/>
            <w:vAlign w:val="bottom"/>
            <w:gridSpan w:val="5"/>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5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Statements of Operations and Comprehensive Loss for the three and nine months ended September 30, 2016 and 2015</w:t>
              </w:r>
            </w:hyperlink>
          </w:p>
        </w:tc>
        <w:tc>
          <w:tcPr>
            <w:tcW w:w="82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Statement of Shareholders’ Equity for the nine months ended September 30, 2016</w:t>
              </w:r>
            </w:hyperlink>
          </w:p>
        </w:tc>
        <w:tc>
          <w:tcPr>
            <w:tcW w:w="3440" w:type="dxa"/>
            <w:vAlign w:val="bottom"/>
            <w:gridSpan w:val="4"/>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Statements of Cash Flows for the nine months ended September 30, 2016 and 2015</w:t>
              </w:r>
            </w:hyperlink>
          </w:p>
        </w:tc>
        <w:tc>
          <w:tcPr>
            <w:tcW w:w="3340" w:type="dxa"/>
            <w:vAlign w:val="bottom"/>
            <w:gridSpan w:val="3"/>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Financial Statements</w:t>
              </w:r>
            </w:hyperlink>
          </w:p>
        </w:tc>
        <w:tc>
          <w:tcPr>
            <w:tcW w:w="7180" w:type="dxa"/>
            <w:vAlign w:val="bottom"/>
            <w:gridSpan w:val="7"/>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440" w:type="dxa"/>
            <w:vAlign w:val="bottom"/>
          </w:tcPr>
          <w:p>
            <w:pPr>
              <w:spacing w:after="0"/>
              <w:rPr>
                <w:sz w:val="24"/>
                <w:szCs w:val="24"/>
                <w:color w:val="auto"/>
              </w:rPr>
            </w:pPr>
          </w:p>
        </w:tc>
        <w:tc>
          <w:tcPr>
            <w:tcW w:w="974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6520" w:type="dxa"/>
            <w:vAlign w:val="bottom"/>
            <w:tcBorders>
              <w:top w:val="single" w:sz="8" w:color="0000EE"/>
            </w:tcBorders>
            <w:gridSpan w:val="15"/>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2680" w:type="dxa"/>
            <w:vAlign w:val="bottom"/>
            <w:gridSpan w:val="2"/>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4.</w:t>
              </w:r>
            </w:hyperlink>
          </w:p>
        </w:tc>
        <w:tc>
          <w:tcPr>
            <w:tcW w:w="438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4820" w:type="dxa"/>
            <w:vAlign w:val="bottom"/>
            <w:gridSpan w:val="6"/>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6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1018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240" w:type="dxa"/>
            <w:vAlign w:val="bottom"/>
            <w:tcBorders>
              <w:top w:val="single" w:sz="8" w:color="0000EE"/>
            </w:tcBorders>
            <w:gridSpan w:val="2"/>
          </w:tcPr>
          <w:p>
            <w:pPr>
              <w:spacing w:after="0"/>
              <w:rPr>
                <w:sz w:val="24"/>
                <w:szCs w:val="24"/>
                <w:color w:val="auto"/>
              </w:rPr>
            </w:pPr>
          </w:p>
        </w:tc>
        <w:tc>
          <w:tcPr>
            <w:tcW w:w="7600" w:type="dxa"/>
            <w:vAlign w:val="bottom"/>
            <w:gridSpan w:val="10"/>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4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8140" w:type="dxa"/>
            <w:vAlign w:val="bottom"/>
            <w:gridSpan w:val="13"/>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44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6.</w:t>
              </w:r>
            </w:hyperlink>
          </w:p>
        </w:tc>
        <w:tc>
          <w:tcPr>
            <w:tcW w:w="9200" w:type="dxa"/>
            <w:vAlign w:val="bottom"/>
            <w:gridSpan w:val="17"/>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4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580" w:type="dxa"/>
            <w:vAlign w:val="bottom"/>
            <w:gridSpan w:val="1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1018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40" w:type="dxa"/>
            <w:vAlign w:val="bottom"/>
            <w:gridSpan w:val="15"/>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 INDEX</w:t>
              </w:r>
            </w:hyperlink>
          </w:p>
        </w:tc>
        <w:tc>
          <w:tcPr>
            <w:tcW w:w="8840" w:type="dxa"/>
            <w:vAlign w:val="bottom"/>
            <w:gridSpan w:val="15"/>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4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this Quarterly Report on Form 10-Q, “we,” “our,” “us,” “Xenon,” and “the Company” refer to Xenon Pharmaceuticals Inc. “Xenon,” the Xenon logo and “Extreme Genetics”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54,135</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Prepaid expenses, long term</w:t>
            </w:r>
          </w:p>
        </w:tc>
        <w:tc>
          <w:tcPr>
            <w:tcW w:w="1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73,371</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Accounts payable and accrued expenses (note 6)</w:t>
            </w:r>
          </w:p>
        </w:tc>
        <w:tc>
          <w:tcPr>
            <w:tcW w:w="1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1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Deferred tenant inducements</w:t>
            </w:r>
          </w:p>
        </w:tc>
        <w:tc>
          <w:tcPr>
            <w:tcW w:w="1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shares, without par value; unlimited shares authorized; issued and</w:t>
            </w:r>
          </w:p>
        </w:tc>
        <w:tc>
          <w:tcPr>
            <w:tcW w:w="1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outstanding: 17,892,933 (December 31, 2015 - 14,385,336)</w:t>
            </w:r>
          </w:p>
        </w:tc>
        <w:tc>
          <w:tcPr>
            <w:tcW w:w="1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172,886</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(136,704)</w:t>
            </w: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3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(990)</w:t>
            </w:r>
          </w:p>
        </w:tc>
        <w:tc>
          <w:tcPr>
            <w:tcW w:w="4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69,309</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73,371</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Collaboration agreements (note 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69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p>
      <w:pPr>
        <w:spacing w:after="0" w:line="104" w:lineRule="exact"/>
        <w:rPr>
          <w:sz w:val="20"/>
          <w:szCs w:val="20"/>
          <w:color w:val="auto"/>
        </w:rPr>
      </w:pPr>
    </w:p>
    <w:p>
      <w:pPr>
        <w:jc w:val="center"/>
        <w:ind w:left="61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13970</wp:posOffset>
            </wp:positionV>
            <wp:extent cx="16205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3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13970</wp:posOffset>
            </wp:positionV>
            <wp:extent cx="16294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16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1" w:lineRule="exact"/>
        <w:rPr>
          <w:sz w:val="20"/>
          <w:szCs w:val="20"/>
          <w:color w:val="auto"/>
        </w:rPr>
      </w:pPr>
    </w:p>
    <w:p>
      <w:pPr>
        <w:sectPr>
          <w:pgSz w:w="11900" w:h="16838" w:orient="portrait"/>
          <w:cols w:equalWidth="0" w:num="2">
            <w:col w:w="8340" w:space="600"/>
            <w:col w:w="2480"/>
          </w:cols>
          <w:pgMar w:left="240" w:top="13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Collaboration revenue (note 8)</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4,293</w:t>
            </w:r>
          </w:p>
        </w:tc>
        <w:tc>
          <w:tcPr>
            <w:tcW w:w="1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12,347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Royalties</w:t>
            </w:r>
          </w:p>
        </w:tc>
        <w:tc>
          <w:tcPr>
            <w:tcW w:w="1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10,889</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8,219</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19,108</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(6,758)</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Foreign exchange gain (loss)</w:t>
            </w:r>
          </w:p>
        </w:tc>
        <w:tc>
          <w:tcPr>
            <w:tcW w:w="1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3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(3,137)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(5,502)</w:t>
            </w:r>
          </w:p>
        </w:tc>
      </w:tr>
      <w:tr>
        <w:trPr>
          <w:trHeight w:val="223"/>
        </w:trPr>
        <w:tc>
          <w:tcPr>
            <w:tcW w:w="20" w:type="dxa"/>
            <w:vAlign w:val="bottom"/>
          </w:tcPr>
          <w:p>
            <w:pPr>
              <w:spacing w:after="0"/>
              <w:rPr>
                <w:sz w:val="19"/>
                <w:szCs w:val="19"/>
                <w:color w:val="auto"/>
              </w:rPr>
            </w:pPr>
          </w:p>
        </w:tc>
        <w:tc>
          <w:tcPr>
            <w:tcW w:w="49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per common share (note 4):</w:t>
            </w:r>
          </w:p>
        </w:tc>
        <w:tc>
          <w:tcPr>
            <w:tcW w:w="1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 and diluted</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(0.83)</w:t>
            </w: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Weighted-average common shares outstanding (note 4):</w:t>
            </w: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Basic and diluted</w:t>
            </w:r>
          </w:p>
        </w:tc>
        <w:tc>
          <w:tcPr>
            <w:tcW w:w="1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15,268,964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14,298,612</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14,690,357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14,251,006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80" w:type="dxa"/>
            <w:vAlign w:val="bottom"/>
            <w:gridSpan w:val="5"/>
            <w:vMerge w:val="restart"/>
          </w:tcPr>
          <w:p>
            <w:pPr>
              <w:ind w:left="960"/>
              <w:spacing w:after="0"/>
              <w:rPr>
                <w:sz w:val="20"/>
                <w:szCs w:val="20"/>
                <w:color w:val="auto"/>
              </w:rPr>
            </w:pPr>
            <w:r>
              <w:rPr>
                <w:rFonts w:ascii="Arial" w:cs="Arial" w:eastAsia="Arial" w:hAnsi="Arial"/>
                <w:sz w:val="14"/>
                <w:szCs w:val="14"/>
                <w:b w:val="1"/>
                <w:bCs w:val="1"/>
                <w:color w:val="auto"/>
              </w:rPr>
              <w:t>Common shares</w:t>
            </w:r>
          </w:p>
        </w:tc>
        <w:tc>
          <w:tcPr>
            <w:tcW w:w="3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paid-in</w:t>
            </w:r>
          </w:p>
        </w:tc>
        <w:tc>
          <w:tcPr>
            <w:tcW w:w="15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Accumulated deficit</w:t>
            </w: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5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 xml:space="preserve">loss </w:t>
            </w:r>
            <w:r>
              <w:rPr>
                <w:rFonts w:ascii="Arial" w:cs="Arial" w:eastAsia="Arial" w:hAnsi="Arial"/>
                <w:sz w:val="12"/>
                <w:szCs w:val="12"/>
                <w:b w:val="1"/>
                <w:bCs w:val="1"/>
                <w:color w:val="auto"/>
                <w:w w:val="85"/>
              </w:rPr>
              <w:t>(1)</w:t>
            </w:r>
          </w:p>
        </w:tc>
        <w:tc>
          <w:tcPr>
            <w:tcW w:w="38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680"/>
              <w:spacing w:after="0" w:line="155" w:lineRule="exact"/>
              <w:rPr>
                <w:sz w:val="20"/>
                <w:szCs w:val="20"/>
                <w:color w:val="auto"/>
              </w:rPr>
            </w:pPr>
            <w:r>
              <w:rPr>
                <w:rFonts w:ascii="Arial" w:cs="Arial" w:eastAsia="Arial" w:hAnsi="Arial"/>
                <w:sz w:val="14"/>
                <w:szCs w:val="14"/>
                <w:i w:val="1"/>
                <w:iCs w:val="1"/>
                <w:color w:val="auto"/>
              </w:rPr>
              <w:t>Shares</w:t>
            </w: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i w:val="1"/>
                <w:iCs w:val="1"/>
                <w:color w:val="auto"/>
              </w:rPr>
              <w:t>Amount</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2014</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14,181,333</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147,157</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30,346</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(103,734)</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w:t>
            </w:r>
          </w:p>
        </w:tc>
        <w:tc>
          <w:tcPr>
            <w:tcW w:w="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72,779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for the year</w:t>
            </w: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Stock option compensation</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w:t>
            </w: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Issued pursuant to exercise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204,003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(992)</w:t>
            </w:r>
          </w:p>
        </w:tc>
        <w:tc>
          <w:tcPr>
            <w:tcW w:w="4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 upon</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reclassification of stock options</w:t>
            </w:r>
          </w:p>
        </w:tc>
        <w:tc>
          <w:tcPr>
            <w:tcW w:w="136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Balance as of</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December 31, 2015</w:t>
            </w:r>
          </w:p>
        </w:tc>
        <w:tc>
          <w:tcPr>
            <w:tcW w:w="1360" w:type="dxa"/>
            <w:vAlign w:val="bottom"/>
          </w:tcPr>
          <w:p>
            <w:pPr>
              <w:jc w:val="right"/>
              <w:spacing w:after="0"/>
              <w:rPr>
                <w:sz w:val="20"/>
                <w:szCs w:val="20"/>
                <w:color w:val="auto"/>
              </w:rPr>
            </w:pPr>
            <w:r>
              <w:rPr>
                <w:rFonts w:ascii="Arial" w:cs="Arial" w:eastAsia="Arial" w:hAnsi="Arial"/>
                <w:sz w:val="18"/>
                <w:szCs w:val="18"/>
                <w:color w:val="auto"/>
              </w:rPr>
              <w:t>14,385,336</w:t>
            </w:r>
          </w:p>
        </w:tc>
        <w:tc>
          <w:tcPr>
            <w:tcW w:w="120" w:type="dxa"/>
            <w:vAlign w:val="bottom"/>
          </w:tcPr>
          <w:p>
            <w:pPr>
              <w:spacing w:after="0"/>
              <w:rPr>
                <w:sz w:val="20"/>
                <w:szCs w:val="20"/>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148,634</w:t>
            </w:r>
          </w:p>
        </w:tc>
        <w:tc>
          <w:tcPr>
            <w:tcW w:w="1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33,083</w:t>
            </w:r>
          </w:p>
        </w:tc>
        <w:tc>
          <w:tcPr>
            <w:tcW w:w="10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(119,693)</w:t>
            </w:r>
          </w:p>
        </w:tc>
        <w:tc>
          <w:tcPr>
            <w:tcW w:w="3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61,034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(16,993)</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net of issuance costs (note 7a)</w:t>
            </w:r>
          </w:p>
        </w:tc>
        <w:tc>
          <w:tcPr>
            <w:tcW w:w="1360" w:type="dxa"/>
            <w:vAlign w:val="bottom"/>
          </w:tcPr>
          <w:p>
            <w:pPr>
              <w:jc w:val="right"/>
              <w:spacing w:after="0"/>
              <w:rPr>
                <w:sz w:val="20"/>
                <w:szCs w:val="20"/>
                <w:color w:val="auto"/>
              </w:rPr>
            </w:pPr>
            <w:r>
              <w:rPr>
                <w:rFonts w:ascii="Arial" w:cs="Arial" w:eastAsia="Arial" w:hAnsi="Arial"/>
                <w:sz w:val="18"/>
                <w:szCs w:val="18"/>
                <w:color w:val="auto"/>
              </w:rPr>
              <w:t>3,450,000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Stock option compensation</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w:t>
            </w: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Issued pursuant to exercise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57,597</w:t>
            </w:r>
          </w:p>
        </w:tc>
        <w:tc>
          <w:tcPr>
            <w:tcW w:w="120" w:type="dxa"/>
            <w:vAlign w:val="bottom"/>
          </w:tcPr>
          <w:p>
            <w:pPr>
              <w:spacing w:after="0"/>
              <w:rPr>
                <w:sz w:val="20"/>
                <w:szCs w:val="20"/>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4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 upon</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reclassification of stock options</w:t>
            </w: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(286)</w:t>
            </w: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as of</w:t>
            </w: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September 30, 2016</w:t>
            </w:r>
          </w:p>
        </w:tc>
        <w:tc>
          <w:tcPr>
            <w:tcW w:w="1360" w:type="dxa"/>
            <w:vAlign w:val="bottom"/>
          </w:tcPr>
          <w:p>
            <w:pPr>
              <w:jc w:val="right"/>
              <w:spacing w:after="0"/>
              <w:rPr>
                <w:sz w:val="20"/>
                <w:szCs w:val="20"/>
                <w:color w:val="auto"/>
              </w:rPr>
            </w:pPr>
            <w:r>
              <w:rPr>
                <w:rFonts w:ascii="Arial" w:cs="Arial" w:eastAsia="Arial" w:hAnsi="Arial"/>
                <w:sz w:val="18"/>
                <w:szCs w:val="18"/>
                <w:color w:val="auto"/>
              </w:rPr>
              <w:t>17,892,933</w:t>
            </w:r>
          </w:p>
        </w:tc>
        <w:tc>
          <w:tcPr>
            <w:tcW w:w="120" w:type="dxa"/>
            <w:vAlign w:val="bottom"/>
          </w:tcPr>
          <w:p>
            <w:pPr>
              <w:spacing w:after="0"/>
              <w:rPr>
                <w:sz w:val="20"/>
                <w:szCs w:val="20"/>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172,886</w:t>
            </w:r>
          </w:p>
        </w:tc>
        <w:tc>
          <w:tcPr>
            <w:tcW w:w="1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34,117</w:t>
            </w:r>
          </w:p>
        </w:tc>
        <w:tc>
          <w:tcPr>
            <w:tcW w:w="10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(136,704)</w:t>
            </w:r>
          </w:p>
        </w:tc>
        <w:tc>
          <w:tcPr>
            <w:tcW w:w="3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20" w:right="280" w:hanging="512"/>
        <w:spacing w:after="0" w:line="293"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accumulated other comprehensive loss is entirely related to historical cumulative translation adjustments from the application of U.S. dollar reporting when the functional currency of the Company was the Canadian dollar.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(16,993)</w:t>
            </w:r>
          </w:p>
        </w:tc>
        <w:tc>
          <w:tcPr>
            <w:tcW w:w="114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Items not involving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Deferred tenant inducements</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Unrealized foreign exchange (gain) loss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(2,011)</w:t>
            </w: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(272)</w:t>
            </w: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(14,897)</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(12,856)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(251)</w:t>
            </w: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Purchase of marketable securities</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(15,365)</w:t>
            </w:r>
          </w:p>
        </w:tc>
        <w:tc>
          <w:tcPr>
            <w:tcW w:w="1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marketable securities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(15,616)</w:t>
            </w: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Issuance of common shares pursuant to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Issuance of common shares, net of issuance costs (note 7a)</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23,916</w:t>
            </w:r>
          </w:p>
        </w:tc>
        <w:tc>
          <w:tcPr>
            <w:tcW w:w="1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(4,516)</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58,651</w:t>
            </w:r>
          </w:p>
        </w:tc>
        <w:tc>
          <w:tcPr>
            <w:tcW w:w="1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Interest received</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14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transactions: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Fair value of options exercised on a cashless basis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31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rFonts w:ascii="Arial" w:cs="Arial" w:eastAsia="Arial" w:hAnsi="Arial"/>
          <w:sz w:val="18"/>
          <w:szCs w:val="18"/>
          <w:b w:val="1"/>
          <w:bCs w:val="1"/>
          <w:color w:val="auto"/>
        </w:rPr>
      </w:pPr>
    </w:p>
    <w:p>
      <w:pPr>
        <w:ind w:left="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Xenon Pharmaceuticals Inc. (the “Company”), incorporated in 1996 under the British Columbia Business Corporations Act and continued federally in 2000 under the Canada Business Corporation Act, is a clinical-stage biopharmaceutical company discovering and developing a pipeline of differentiated therapeutics for orphan indications that it intends to commercialize on its own, and for larger market indications that it intends to partner with global pharmaceutical companies.</w:t>
      </w:r>
    </w:p>
    <w:p>
      <w:pPr>
        <w:spacing w:after="0" w:line="290"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These financial statements are presented in U.S. dollars.</w:t>
      </w:r>
    </w:p>
    <w:p>
      <w:pPr>
        <w:spacing w:after="0" w:line="117" w:lineRule="exact"/>
        <w:rPr>
          <w:rFonts w:ascii="Arial" w:cs="Arial" w:eastAsia="Arial" w:hAnsi="Arial"/>
          <w:sz w:val="18"/>
          <w:szCs w:val="18"/>
          <w:b w:val="1"/>
          <w:bCs w:val="1"/>
          <w:color w:val="auto"/>
        </w:rPr>
      </w:pPr>
    </w:p>
    <w:p>
      <w:pPr>
        <w:ind w:left="5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financial statements have been prepared in accordance with United States generally accepted accounting principles (“U.S. GAAP”) and pursuant to the rules and regulations of the United States Securities and Exchange Commission (“SEC”) for interim financial information. Accordingly, these financial statements do not include all of the information and footnotes required for complete financial statements and should be read in conjunction with the audited financial statements and notes for the year ended December 31, 2015 and included in the Company’s 2015 Annual Report on Form 10-K filed with the SEC on March 8, 2016.</w:t>
      </w:r>
    </w:p>
    <w:p>
      <w:pPr>
        <w:spacing w:after="0" w:line="64" w:lineRule="exact"/>
        <w:rPr>
          <w:rFonts w:ascii="Arial" w:cs="Arial" w:eastAsia="Arial" w:hAnsi="Arial"/>
          <w:sz w:val="18"/>
          <w:szCs w:val="18"/>
          <w:b w:val="1"/>
          <w:bCs w:val="1"/>
          <w:color w:val="auto"/>
        </w:rPr>
      </w:pPr>
    </w:p>
    <w:p>
      <w:pPr>
        <w:ind w:left="5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These unaudited interim financial statements reflect all adjustments, consisting of normal recurring adjustments, which, in the opinion of management, are necessary for a fair presentation of results for the interim periods presented. The results of operations for the three and nine month periods ended September 30, 2016 and 2015 are not necessarily indicative of results that can be expected for a full year. These unaudited interim financial statements follow the same significant accounting policies as those described in the notes to the audited financial statements of the Company included in the Company’s 2015 Annual Report on Form 10-K for the year ended December 31, 2015, except as described below.</w:t>
      </w:r>
    </w:p>
    <w:p>
      <w:pPr>
        <w:spacing w:after="0" w:line="262"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Future changes in accounting policies:</w:t>
      </w:r>
    </w:p>
    <w:p>
      <w:pPr>
        <w:spacing w:after="0" w:line="121" w:lineRule="exact"/>
        <w:rPr>
          <w:rFonts w:ascii="Arial" w:cs="Arial" w:eastAsia="Arial" w:hAnsi="Arial"/>
          <w:sz w:val="18"/>
          <w:szCs w:val="18"/>
          <w:b w:val="1"/>
          <w:bCs w:val="1"/>
          <w:color w:val="auto"/>
        </w:rPr>
      </w:pPr>
    </w:p>
    <w:p>
      <w:pPr>
        <w:ind w:left="52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May 2014, the Financial Accounting Standards Board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In August 2015, the FASB issued an update deferring the effective date of the new revenue standard by one year. The new guidance will be effective for public entities for fiscal years and interim periods within those years, beginning after December 15, 2017 instead of the originally contemplated effective date of December 15, 2016.</w:t>
      </w:r>
    </w:p>
    <w:p>
      <w:pPr>
        <w:spacing w:after="0" w:line="73" w:lineRule="exact"/>
        <w:rPr>
          <w:rFonts w:ascii="Arial" w:cs="Arial" w:eastAsia="Arial" w:hAnsi="Arial"/>
          <w:sz w:val="18"/>
          <w:szCs w:val="18"/>
          <w:b w:val="1"/>
          <w:bCs w:val="1"/>
          <w:color w:val="auto"/>
        </w:rPr>
      </w:pPr>
    </w:p>
    <w:p>
      <w:pPr>
        <w:ind w:left="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March, April and May 2016, the FASB issued amendments to the new revenue standard to clarify the implementation guidance on principal versus agent considerations and identifying performance obligations and licensing as well as to address certain narrow-scope improvements and practical expedients at transition with the same effective date as the new revenue standard. The Company is currently evaluating the new guidance to determine the impact it will have on the Company’s financial statements.</w:t>
      </w:r>
    </w:p>
    <w:p>
      <w:pPr>
        <w:spacing w:after="0" w:line="78" w:lineRule="exact"/>
        <w:rPr>
          <w:rFonts w:ascii="Arial" w:cs="Arial" w:eastAsia="Arial" w:hAnsi="Arial"/>
          <w:sz w:val="18"/>
          <w:szCs w:val="18"/>
          <w:b w:val="1"/>
          <w:bCs w:val="1"/>
          <w:color w:val="auto"/>
        </w:rPr>
      </w:pPr>
    </w:p>
    <w:p>
      <w:pPr>
        <w:ind w:left="52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February 2016, the FASB issued amendments to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The Company is currently evaluating the new guidance to determine the impact it will have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7" w:name="page8"/>
    <w:bookmarkEnd w:id="7"/>
    <w:p>
      <w:pPr>
        <w:ind w:left="512"/>
        <w:spacing w:after="0" w:line="286" w:lineRule="auto"/>
        <w:rPr>
          <w:sz w:val="20"/>
          <w:szCs w:val="20"/>
          <w:color w:val="auto"/>
        </w:rPr>
      </w:pPr>
      <w:r>
        <w:rPr>
          <w:rFonts w:ascii="Arial" w:cs="Arial" w:eastAsia="Arial" w:hAnsi="Arial"/>
          <w:sz w:val="16"/>
          <w:szCs w:val="16"/>
          <w:color w:val="auto"/>
        </w:rPr>
        <w:t>In March 2016, the FASB issued amendments to stock-based compensation accounting to simplify several aspects of the accounting for share-based payment transactions, including the income tax consequences, classification of awards as either equity or liabilities, and classification of the statement of cash flows. The amendments stipulate (a) all excess tax benefits and tax deficiencies should be recognized as income tax expense or benefit in the statement of operations and the tax effects of exercised or vested awards should be treated as discrete items in the reporting period in which they occur,</w:t>
      </w:r>
    </w:p>
    <w:p>
      <w:pPr>
        <w:spacing w:after="0" w:line="2" w:lineRule="exact"/>
        <w:rPr>
          <w:sz w:val="20"/>
          <w:szCs w:val="20"/>
          <w:color w:val="auto"/>
        </w:rPr>
      </w:pPr>
    </w:p>
    <w:p>
      <w:pPr>
        <w:ind w:left="512" w:right="80"/>
        <w:spacing w:after="0" w:line="268" w:lineRule="auto"/>
        <w:rPr>
          <w:sz w:val="20"/>
          <w:szCs w:val="20"/>
          <w:color w:val="auto"/>
        </w:rPr>
      </w:pPr>
      <w:r>
        <w:rPr>
          <w:rFonts w:ascii="Arial" w:cs="Arial" w:eastAsia="Arial" w:hAnsi="Arial"/>
          <w:sz w:val="17"/>
          <w:szCs w:val="17"/>
          <w:color w:val="auto"/>
        </w:rPr>
        <w:t>(b) excess tax benefits should be classified along with other tax cash flows as an operating activity, (c) an entity can make an entity-wide accounting policy election to either estimate the number of awards that are expected to vest (current GAAP) or account for forfeitures when they occur, (d) the threshold to qualify for equity classification permits withholding up to the maximum statutory tax rates in the applicable jurisdictions, and (e) cash paid by an employee when directly withholding shares for tax withholding purposes should be classified as financing activity. These amendments will be effective for public entities for fiscal years and interim periods within those years, beginning on or after December 15, 2016 and early adoption is permitted. The Company has early adopted all of the provisions of this update effective January 1, 2016. The Company has elected to recognize forfeitures as they occur and the impact of that change in accounting policy as well as the impact of the remaining provisions did not have a material impact on the Company’s financial statements.</w:t>
      </w:r>
    </w:p>
    <w:p>
      <w:pPr>
        <w:spacing w:after="0" w:line="288" w:lineRule="exact"/>
        <w:rPr>
          <w:sz w:val="20"/>
          <w:szCs w:val="20"/>
          <w:color w:val="auto"/>
        </w:rPr>
      </w:pPr>
    </w:p>
    <w:p>
      <w:pPr>
        <w:ind w:left="512" w:hanging="512"/>
        <w:spacing w:after="0"/>
        <w:tabs>
          <w:tab w:leader="none" w:pos="5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121" w:lineRule="exact"/>
        <w:rPr>
          <w:rFonts w:ascii="Arial" w:cs="Arial" w:eastAsia="Arial" w:hAnsi="Arial"/>
          <w:sz w:val="18"/>
          <w:szCs w:val="18"/>
          <w:b w:val="1"/>
          <w:bCs w:val="1"/>
          <w:color w:val="auto"/>
        </w:rPr>
      </w:pPr>
    </w:p>
    <w:p>
      <w:pPr>
        <w:ind w:left="512" w:righ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Basic net income (loss) per common share is computed by dividing the net income (loss) by the weighted average number of common shares outstanding for the period. Diluted net income (loss) per common share is computed by adjusting the numerator and denominator of the basic net income (loss) per share calculation for the potential impact of dilutive securities.</w:t>
      </w:r>
    </w:p>
    <w:p>
      <w:pPr>
        <w:spacing w:after="0" w:line="73" w:lineRule="exact"/>
        <w:rPr>
          <w:rFonts w:ascii="Arial" w:cs="Arial" w:eastAsia="Arial" w:hAnsi="Arial"/>
          <w:sz w:val="18"/>
          <w:szCs w:val="18"/>
          <w:b w:val="1"/>
          <w:bCs w:val="1"/>
          <w:color w:val="auto"/>
        </w:rPr>
      </w:pPr>
    </w:p>
    <w:p>
      <w:pPr>
        <w:ind w:left="512"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three and nine months ended September 30, 2016 and 2015, all stock options were anti-dilutive and were excluded from the diluted weighted average common shares outstanding for those periods.</w:t>
      </w:r>
    </w:p>
    <w:p>
      <w:pPr>
        <w:spacing w:after="0" w:line="274" w:lineRule="exact"/>
        <w:rPr>
          <w:rFonts w:ascii="Arial" w:cs="Arial" w:eastAsia="Arial" w:hAnsi="Arial"/>
          <w:sz w:val="18"/>
          <w:szCs w:val="18"/>
          <w:b w:val="1"/>
          <w:bCs w:val="1"/>
          <w:color w:val="auto"/>
        </w:rPr>
      </w:pPr>
    </w:p>
    <w:p>
      <w:pPr>
        <w:ind w:left="512" w:hanging="512"/>
        <w:spacing w:after="0"/>
        <w:tabs>
          <w:tab w:leader="none" w:pos="5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We measure certain financial instruments and other items at fair value.</w:t>
      </w:r>
    </w:p>
    <w:p>
      <w:pPr>
        <w:spacing w:after="0" w:line="117" w:lineRule="exact"/>
        <w:rPr>
          <w:rFonts w:ascii="Arial" w:cs="Arial" w:eastAsia="Arial" w:hAnsi="Arial"/>
          <w:sz w:val="18"/>
          <w:szCs w:val="18"/>
          <w:b w:val="1"/>
          <w:bCs w:val="1"/>
          <w:color w:val="auto"/>
        </w:rPr>
      </w:pPr>
    </w:p>
    <w:p>
      <w:pPr>
        <w:jc w:val="both"/>
        <w:ind w:left="512"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To determine the fair value, we use the fair value hierarchy for inputs used to measure fair value of financial assets and liabilities. This hierarchy prioritizes the inputs to valuation techniques used to measure fair value into three levels: Level 1 (highest priority), Level 2, and Level 3 (lowest priority).</w:t>
      </w:r>
    </w:p>
    <w:p>
      <w:pPr>
        <w:spacing w:after="0" w:line="73" w:lineRule="exact"/>
        <w:rPr>
          <w:rFonts w:ascii="Arial" w:cs="Arial" w:eastAsia="Arial" w:hAnsi="Arial"/>
          <w:sz w:val="18"/>
          <w:szCs w:val="18"/>
          <w:b w:val="1"/>
          <w:bCs w:val="1"/>
          <w:color w:val="auto"/>
        </w:rPr>
      </w:pPr>
    </w:p>
    <w:p>
      <w:pPr>
        <w:ind w:left="892" w:hanging="379"/>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Unadjusted quoted prices in active markets for identical instruments.</w:t>
      </w:r>
    </w:p>
    <w:p>
      <w:pPr>
        <w:spacing w:after="0" w:line="117" w:lineRule="exact"/>
        <w:rPr>
          <w:rFonts w:ascii="Arial" w:cs="Arial" w:eastAsia="Arial" w:hAnsi="Arial"/>
          <w:sz w:val="18"/>
          <w:szCs w:val="18"/>
          <w:color w:val="auto"/>
        </w:rPr>
      </w:pPr>
    </w:p>
    <w:p>
      <w:pPr>
        <w:ind w:left="892" w:right="100" w:hanging="379"/>
        <w:spacing w:after="0" w:line="302" w:lineRule="auto"/>
        <w:tabs>
          <w:tab w:leader="none" w:pos="892"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Inputs other than quoted prices included within Level 1 that are observable for the asset or liability, either directly or indirectly. Level 2</w:t>
      </w:r>
      <w:r>
        <w:rPr>
          <w:rFonts w:ascii="Arial" w:cs="Arial" w:eastAsia="Arial" w:hAnsi="Arial"/>
          <w:sz w:val="16"/>
          <w:szCs w:val="16"/>
          <w:i w:val="1"/>
          <w:iCs w:val="1"/>
          <w:color w:val="auto"/>
        </w:rPr>
        <w:t xml:space="preserve"> </w:t>
      </w:r>
      <w:r>
        <w:rPr>
          <w:rFonts w:ascii="Arial" w:cs="Arial" w:eastAsia="Arial" w:hAnsi="Arial"/>
          <w:sz w:val="16"/>
          <w:szCs w:val="16"/>
          <w:color w:val="auto"/>
        </w:rPr>
        <w:t>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6" w:lineRule="exact"/>
        <w:rPr>
          <w:rFonts w:ascii="Arial" w:cs="Arial" w:eastAsia="Arial" w:hAnsi="Arial"/>
          <w:sz w:val="16"/>
          <w:szCs w:val="16"/>
          <w:color w:val="auto"/>
        </w:rPr>
      </w:pPr>
    </w:p>
    <w:p>
      <w:pPr>
        <w:ind w:left="892" w:right="40" w:hanging="379"/>
        <w:spacing w:after="0" w:line="277"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are unobservable and reflect the Company’s assumptions as to what market participants would use in pricing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develops these inputs based on the best information available.</w:t>
      </w:r>
    </w:p>
    <w:p>
      <w:pPr>
        <w:spacing w:after="0" w:line="62" w:lineRule="exact"/>
        <w:rPr>
          <w:sz w:val="20"/>
          <w:szCs w:val="20"/>
          <w:color w:val="auto"/>
        </w:rPr>
      </w:pPr>
    </w:p>
    <w:p>
      <w:pPr>
        <w:ind w:left="512" w:right="80"/>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62" w:lineRule="exact"/>
        <w:rPr>
          <w:sz w:val="20"/>
          <w:szCs w:val="20"/>
          <w:color w:val="auto"/>
        </w:rPr>
      </w:pPr>
    </w:p>
    <w:p>
      <w:pPr>
        <w:ind w:left="512" w:right="100"/>
        <w:spacing w:after="0" w:line="259" w:lineRule="auto"/>
        <w:rPr>
          <w:sz w:val="20"/>
          <w:szCs w:val="20"/>
          <w:color w:val="auto"/>
        </w:rPr>
      </w:pPr>
      <w:r>
        <w:rPr>
          <w:rFonts w:ascii="Arial" w:cs="Arial" w:eastAsia="Arial" w:hAnsi="Arial"/>
          <w:sz w:val="18"/>
          <w:szCs w:val="18"/>
          <w:color w:val="auto"/>
        </w:rPr>
        <w:t>The Company’s Level 1 assets include cash and cash equivalents and marketable securities with quoted prices in active markets. The carrying amount of accounts receivables, accounts payable and accrued expenses approximates fair value due to the nature and short-term of those instruments. Liability classified stock options have been valued using a Black-Scholes pricing model to estimate fair value using Level 3 inputs as defined above, as quoted prices are not readily available.</w:t>
      </w: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67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w:t>
            </w:r>
          </w:p>
        </w:tc>
        <w:tc>
          <w:tcPr>
            <w:tcW w:w="68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6"/>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Employee compensation, benefits, and related accruals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contracted research</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900" w:hanging="379"/>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Financing:</w:t>
      </w:r>
    </w:p>
    <w:p>
      <w:pPr>
        <w:spacing w:after="0" w:line="225" w:lineRule="exact"/>
        <w:rPr>
          <w:rFonts w:ascii="Arial" w:cs="Arial" w:eastAsia="Arial" w:hAnsi="Arial"/>
          <w:sz w:val="18"/>
          <w:szCs w:val="18"/>
          <w:color w:val="auto"/>
        </w:rPr>
      </w:pPr>
    </w:p>
    <w:p>
      <w:pPr>
        <w:ind w:left="900" w:right="20"/>
        <w:spacing w:after="0" w:line="264" w:lineRule="auto"/>
        <w:rPr>
          <w:rFonts w:ascii="Arial" w:cs="Arial" w:eastAsia="Arial" w:hAnsi="Arial"/>
          <w:sz w:val="18"/>
          <w:szCs w:val="18"/>
          <w:color w:val="auto"/>
        </w:rPr>
      </w:pPr>
      <w:r>
        <w:rPr>
          <w:rFonts w:ascii="Arial" w:cs="Arial" w:eastAsia="Arial" w:hAnsi="Arial"/>
          <w:sz w:val="18"/>
          <w:szCs w:val="18"/>
          <w:color w:val="auto"/>
        </w:rPr>
        <w:t>On September 13, 2016, the Company completed an underwritten public offering of 3,450,000 of its common shares at a public offering price of $7.50 per common share. The Company received approximately $24.3 million of proceeds, net of underwriting discounts and commissions but before offering expenses.</w:t>
      </w:r>
    </w:p>
    <w:p>
      <w:pPr>
        <w:spacing w:after="0" w:line="181" w:lineRule="exact"/>
        <w:rPr>
          <w:rFonts w:ascii="Arial" w:cs="Arial" w:eastAsia="Arial" w:hAnsi="Arial"/>
          <w:sz w:val="18"/>
          <w:szCs w:val="18"/>
          <w:color w:val="auto"/>
        </w:rPr>
      </w:pPr>
    </w:p>
    <w:p>
      <w:pPr>
        <w:ind w:left="900" w:hanging="379"/>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following table presents stock option activity for the period: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9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14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9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1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1,983,674</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1,745,018</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1,721,472</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1,484,218</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22,044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321,444</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384,538</w:t>
            </w:r>
          </w:p>
        </w:tc>
        <w:tc>
          <w:tcPr>
            <w:tcW w:w="8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r>
              <w:rPr>
                <w:rFonts w:ascii="Arial" w:cs="Arial" w:eastAsia="Arial" w:hAnsi="Arial"/>
                <w:sz w:val="15"/>
                <w:szCs w:val="15"/>
                <w:color w:val="auto"/>
              </w:rPr>
              <w:t>(1)</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(42,012)</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(110,039)</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(72,541)</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(209,850)</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Forfeited and expired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(4,753)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(11,422)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(21,732)</w:t>
            </w: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1,958,953</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1,637,174</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1,958,953</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1,637,174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Exercisable, end of period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1,200,614</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1,052,955</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1,200,614</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1,052,955</w:t>
            </w: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hanging="519"/>
        <w:spacing w:after="0" w:line="312" w:lineRule="auto"/>
        <w:tabs>
          <w:tab w:leader="none" w:pos="1040" w:val="left"/>
        </w:tabs>
        <w:numPr>
          <w:ilvl w:val="0"/>
          <w:numId w:val="7"/>
        </w:numPr>
        <w:rPr>
          <w:rFonts w:ascii="Arial" w:cs="Arial" w:eastAsia="Arial" w:hAnsi="Arial"/>
          <w:sz w:val="14"/>
          <w:szCs w:val="14"/>
          <w:color w:val="auto"/>
        </w:rPr>
      </w:pPr>
      <w:r>
        <w:rPr>
          <w:rFonts w:ascii="Arial" w:cs="Arial" w:eastAsia="Arial" w:hAnsi="Arial"/>
          <w:sz w:val="16"/>
          <w:szCs w:val="16"/>
          <w:color w:val="auto"/>
        </w:rPr>
        <w:t>During the nine months ended September 30, 2016, 30,176 stock options were exercised for the same number of common shares for cash (nine months ended September 30, 2015 – 62,469). In the same period, the Company issued 27,421 common shares (nine months ended September 30, 2015 – 100,465) for the cashless exercise of 42,365 stock options (nine months ended September 30, 2015 – 147,381).</w:t>
      </w:r>
    </w:p>
    <w:p>
      <w:pPr>
        <w:spacing w:after="0" w:line="39"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The fair value of each option granted to employees and non-employees is estimated using the Black-Scholes option-pricing model with the following weighted-average assumptions: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900" w:type="dxa"/>
            <w:vAlign w:val="bottom"/>
          </w:tcPr>
          <w:p>
            <w:pPr>
              <w:spacing w:after="0"/>
              <w:rPr>
                <w:sz w:val="14"/>
                <w:szCs w:val="14"/>
                <w:color w:val="auto"/>
              </w:rPr>
            </w:pPr>
          </w:p>
        </w:tc>
        <w:tc>
          <w:tcPr>
            <w:tcW w:w="20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39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Average risk-free interest rate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Average expected term (in years)</w:t>
            </w:r>
          </w:p>
        </w:tc>
        <w:tc>
          <w:tcPr>
            <w:tcW w:w="960" w:type="dxa"/>
            <w:vAlign w:val="bottom"/>
          </w:tcPr>
          <w:p>
            <w:pPr>
              <w:jc w:val="right"/>
              <w:ind w:right="118"/>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9"/>
                <w:szCs w:val="19"/>
                <w:color w:val="auto"/>
              </w:rPr>
            </w:pPr>
          </w:p>
        </w:tc>
        <w:tc>
          <w:tcPr>
            <w:tcW w:w="960" w:type="dxa"/>
            <w:vAlign w:val="bottom"/>
          </w:tcPr>
          <w:p>
            <w:pPr>
              <w:jc w:val="right"/>
              <w:ind w:right="118"/>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0"/>
        </w:trPr>
        <w:tc>
          <w:tcPr>
            <w:tcW w:w="3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The weighted-average fair value of options granted during the nine months ended September 30, 2016 was $4.93 (nine months ended September 30, 2015 – $11.50) per option</w:t>
      </w:r>
      <w:r>
        <w:rPr>
          <w:rFonts w:ascii="Arial" w:cs="Arial" w:eastAsia="Arial" w:hAnsi="Arial"/>
          <w:sz w:val="14"/>
          <w:szCs w:val="14"/>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891" w:right="319" w:bottom="1440" w:gutter="0" w:footer="0" w:header="0"/>
        </w:sectPr>
      </w:pPr>
    </w:p>
    <w:bookmarkStart w:id="9" w:name="page10"/>
    <w:bookmarkEnd w:id="9"/>
    <w:p>
      <w:pPr>
        <w:ind w:left="512" w:hanging="512"/>
        <w:spacing w:after="0"/>
        <w:tabs>
          <w:tab w:leader="none" w:pos="5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21" w:lineRule="exact"/>
        <w:rPr>
          <w:rFonts w:ascii="Arial" w:cs="Arial" w:eastAsia="Arial" w:hAnsi="Arial"/>
          <w:sz w:val="18"/>
          <w:szCs w:val="18"/>
          <w:b w:val="1"/>
          <w:bCs w:val="1"/>
          <w:color w:val="auto"/>
        </w:rPr>
      </w:pPr>
    </w:p>
    <w:p>
      <w:pPr>
        <w:ind w:left="512"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entered into a number of collaboration agreements with multiple deliverables under which it may have received non-refundable upfront payments. The Company generally recognizes revenue from upfront payments ratably over the term of its estimated period of performance of research under its collaboration agreements in the event that such arrangements represent a single unit of accounting.</w:t>
      </w:r>
    </w:p>
    <w:p>
      <w:pPr>
        <w:spacing w:after="0" w:line="57" w:lineRule="exact"/>
        <w:rPr>
          <w:rFonts w:ascii="Arial" w:cs="Arial" w:eastAsia="Arial" w:hAnsi="Arial"/>
          <w:sz w:val="18"/>
          <w:szCs w:val="18"/>
          <w:b w:val="1"/>
          <w:bCs w:val="1"/>
          <w:color w:val="auto"/>
        </w:rPr>
      </w:pPr>
    </w:p>
    <w:p>
      <w:pPr>
        <w:ind w:left="51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collaborations may also include contractual milestone payments, which relate to the achievement of prespecified research, development, regulatory and commercialization events. The milestone events coincide with the progression of product candidates from research and development, to regulatory approval and through to commercialization. The process of successfully discovering a new product candidate, having it selected by the collaborator for development and having it approved and ultimately sold for a profit is highly uncertain. As such, the milestone payments that the Company may earn from its collaborators involve a significant degree of risk to achieve.</w:t>
      </w:r>
    </w:p>
    <w:p>
      <w:pPr>
        <w:spacing w:after="0" w:line="64"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is a summary of the revenue recognized from the Company’s collaborations for the three and nine months ended September 30,</w:t>
      </w:r>
    </w:p>
    <w:p>
      <w:pPr>
        <w:spacing w:after="0" w:line="46"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2016 and 2015:</w:t>
      </w:r>
    </w:p>
    <w:p>
      <w:pPr>
        <w:spacing w:after="0" w:line="204" w:lineRule="exact"/>
        <w:rPr>
          <w:sz w:val="20"/>
          <w:szCs w:val="20"/>
          <w:color w:val="auto"/>
        </w:rPr>
      </w:pPr>
    </w:p>
    <w:tbl>
      <w:tblPr>
        <w:tblLayout w:type="fixed"/>
        <w:tblInd w:w="1712"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9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00" w:type="dxa"/>
            <w:vAlign w:val="bottom"/>
          </w:tcPr>
          <w:p>
            <w:pPr>
              <w:spacing w:after="0"/>
              <w:rPr>
                <w:sz w:val="14"/>
                <w:szCs w:val="14"/>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4100" w:type="dxa"/>
            <w:vAlign w:val="bottom"/>
            <w:tcBorders>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560" w:type="dxa"/>
            <w:vAlign w:val="bottom"/>
          </w:tcPr>
          <w:p>
            <w:pPr>
              <w:jc w:val="right"/>
              <w:ind w:right="381"/>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2,940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8,724</w:t>
            </w: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Genentech:</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Recognition of upfront payment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383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2,730</w:t>
            </w: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 payment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collaboration revenue</w:t>
            </w:r>
          </w:p>
        </w:tc>
        <w:tc>
          <w:tcPr>
            <w:tcW w:w="5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412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12,347</w:t>
            </w:r>
          </w:p>
        </w:tc>
        <w:tc>
          <w:tcPr>
            <w:tcW w:w="8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12" w:hanging="512"/>
        <w:spacing w:after="0"/>
        <w:tabs>
          <w:tab w:leader="none" w:pos="5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892" w:hanging="379"/>
        <w:spacing w:after="0"/>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Priority access agreement with Medpace Inc. (“Medpace”):</w:t>
      </w:r>
    </w:p>
    <w:p>
      <w:pPr>
        <w:spacing w:after="0" w:line="117" w:lineRule="exact"/>
        <w:rPr>
          <w:rFonts w:ascii="Arial" w:cs="Arial" w:eastAsia="Arial" w:hAnsi="Arial"/>
          <w:sz w:val="18"/>
          <w:szCs w:val="18"/>
          <w:color w:val="auto"/>
        </w:rPr>
      </w:pPr>
    </w:p>
    <w:p>
      <w:pPr>
        <w:ind w:left="892"/>
        <w:spacing w:after="0" w:line="272" w:lineRule="auto"/>
        <w:rPr>
          <w:rFonts w:ascii="Arial" w:cs="Arial" w:eastAsia="Arial" w:hAnsi="Arial"/>
          <w:sz w:val="18"/>
          <w:szCs w:val="18"/>
          <w:color w:val="auto"/>
        </w:rPr>
      </w:pPr>
      <w:r>
        <w:rPr>
          <w:rFonts w:ascii="Arial" w:cs="Arial" w:eastAsia="Arial" w:hAnsi="Arial"/>
          <w:sz w:val="17"/>
          <w:szCs w:val="17"/>
          <w:color w:val="auto"/>
        </w:rPr>
        <w:t>In August 2015, the Company entered into a priority access agreement with Medpace for the provision of certain clinical development services. Under the terms of the agreement, the Company has committed to using Medpace non-exclusively for clinical development services over the five year term of the agreement. In consideration for priority access to Medpace resources and preferred service rates, the Company has committed to $7,000 of services over the term of the agreement, $3,000 of which was paid in the year ended December 31, 2015. Of the amounts paid by the Company in 2015 in connection with the priority access agreement, $2,013 has been recorded as expenses to date for services rendered, $508 has been recorded as current prepaid expenses (December 31, 2015 – $1,010) and $479 as long-term prepaid expenses (December 31, 2015 – $1,094) for the provision of future services as at September 30, 2016.</w:t>
      </w:r>
    </w:p>
    <w:p>
      <w:pPr>
        <w:spacing w:after="0" w:line="177" w:lineRule="exact"/>
        <w:rPr>
          <w:rFonts w:ascii="Arial" w:cs="Arial" w:eastAsia="Arial" w:hAnsi="Arial"/>
          <w:sz w:val="18"/>
          <w:szCs w:val="18"/>
          <w:color w:val="auto"/>
        </w:rPr>
      </w:pPr>
    </w:p>
    <w:p>
      <w:pPr>
        <w:ind w:left="892" w:hanging="379"/>
        <w:spacing w:after="0"/>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Guarantees and indemnifications:</w:t>
      </w:r>
    </w:p>
    <w:p>
      <w:pPr>
        <w:spacing w:after="0" w:line="117" w:lineRule="exact"/>
        <w:rPr>
          <w:rFonts w:ascii="Arial" w:cs="Arial" w:eastAsia="Arial" w:hAnsi="Arial"/>
          <w:sz w:val="18"/>
          <w:szCs w:val="18"/>
          <w:color w:val="auto"/>
        </w:rPr>
      </w:pPr>
    </w:p>
    <w:p>
      <w:pPr>
        <w:ind w:left="892" w:right="220"/>
        <w:spacing w:after="0" w:line="264" w:lineRule="auto"/>
        <w:rPr>
          <w:rFonts w:ascii="Arial" w:cs="Arial" w:eastAsia="Arial" w:hAnsi="Arial"/>
          <w:sz w:val="18"/>
          <w:szCs w:val="18"/>
          <w:color w:val="auto"/>
        </w:rPr>
      </w:pPr>
      <w:r>
        <w:rPr>
          <w:rFonts w:ascii="Arial" w:cs="Arial" w:eastAsia="Arial" w:hAnsi="Arial"/>
          <w:sz w:val="18"/>
          <w:szCs w:val="18"/>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73" w:lineRule="exact"/>
        <w:rPr>
          <w:rFonts w:ascii="Arial" w:cs="Arial" w:eastAsia="Arial" w:hAnsi="Arial"/>
          <w:sz w:val="18"/>
          <w:szCs w:val="18"/>
          <w:color w:val="auto"/>
        </w:rPr>
      </w:pPr>
    </w:p>
    <w:p>
      <w:pPr>
        <w:ind w:left="892" w:right="140"/>
        <w:spacing w:after="0" w:line="257" w:lineRule="auto"/>
        <w:rPr>
          <w:rFonts w:ascii="Arial" w:cs="Arial" w:eastAsia="Arial" w:hAnsi="Arial"/>
          <w:sz w:val="18"/>
          <w:szCs w:val="18"/>
          <w:color w:val="auto"/>
        </w:rPr>
      </w:pPr>
      <w:r>
        <w:rPr>
          <w:rFonts w:ascii="Arial" w:cs="Arial" w:eastAsia="Arial" w:hAnsi="Arial"/>
          <w:sz w:val="18"/>
          <w:szCs w:val="18"/>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89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i w:val="1"/>
          <w:iCs w:val="1"/>
          <w:color w:val="auto"/>
        </w:rPr>
        <w:t>This section should be read in conjunction with our unaudited interim financial statements and related notes included in Part I, Item 1 of this report and our audited financial statements and related notes thereto and management’s discussion and analysis of financial condition and results of operations for the year ended December 31, 2015 included in our Annual Report on Form 10-K filed with the U.S. Securities and Exchange Commission on March 8, 2016 and with the securities commissions in British Columbia, Alberta and Ontario on March 8,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77"/>
        <w:spacing w:after="0" w:line="272"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p>
    <w:p>
      <w:pPr>
        <w:spacing w:after="0" w:line="286"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using our Extreme Genetics discovery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orphan or more common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receive milestones, royalties and sublicensing fees under our collaborations, and the timing of such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find families to support our Extreme Genetics discovery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discover genes and drug targets;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Glybera and future products,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and our and our collaborators’ ability to obtain and maintain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11" w:name="page12"/>
    <w:bookmarkEnd w:id="11"/>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the success of competing therapies that are or become available;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333"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Unless otherwise noted, all dollar amounts in this report are expressed in United States dollars.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built a core enabling discovery platform for the discovery of validated drug targets by studying rare human diseases with extreme traits, including diseases caused by mutations in ion channels, known as channelopathies. We have an integrated platform that includes in-house capabilities for human genetics, small molecule drug discovery, as well as preclinical and clinical development.</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pharmaceutical partners include Teva Pharmaceutical Industries, Ltd., or Teva (through its subsidiary, Ivax International GmbH), Genentech, a member of the Roche Group, and Merck &amp; Co., Inc., or Merck (through its affiliate, Essex Chemie AG). Our pharmaceutical collaborations have generated in aggregate over $160.0 million in non-equity funding to date with the potential to provide us with over $1.0 billion in future milestone payments, as well as royalties and co-promotion income on product sales.</w:t>
      </w:r>
    </w:p>
    <w:p>
      <w:pPr>
        <w:spacing w:after="0" w:line="18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business was founded on our proprietary discovery platform, which we refer to as Extreme Genetics. Extreme Genetics involves the study of families where individuals exhibit inherited severe traits, or phenotypes. By identifying and characterizing single-gene defects responsible for these phenotypes, we gain insights into human disease biology to better select targets for therapeutic intervention. We believe that our Extreme Genetics discovery platform enhances the likelihood of discovering a drug target that has a major effect in humans. From these discoveries, we can gain an improved understanding of how a drug that modulates the target might act when given to a human. Our Extreme Genetics discovery platform has yielded the first approved gene therapy product in the European Union, or the EU, and we are advancing a broad proprietary development pipeline and multiple pharmaceutical partnerships:</w:t>
      </w:r>
    </w:p>
    <w:p>
      <w:pPr>
        <w:spacing w:after="0" w:line="81" w:lineRule="exact"/>
        <w:rPr>
          <w:sz w:val="20"/>
          <w:szCs w:val="20"/>
          <w:color w:val="auto"/>
        </w:rPr>
      </w:pPr>
    </w:p>
    <w:p>
      <w:pPr>
        <w:ind w:left="1040" w:right="40" w:hanging="519"/>
        <w:spacing w:after="0" w:line="259"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Glybera, developed by our licensee uniQure Biopharma B.V., or uniQure, for the treatment of the orphan disorder lipoprotein lipase deficiency, or LPLD, is the first gene therapy product approved in the EU. In November 2015, the first patient treated with Glybera as a commercially-available gene therapy was announced by uniQure and enabled by its commercialization partner in the EU, Chiesi Farmaceutici S.p.A., or Chiesi, which has sole control over commercialization in the EU;</w:t>
      </w:r>
    </w:p>
    <w:p>
      <w:pPr>
        <w:spacing w:after="0" w:line="78" w:lineRule="exact"/>
        <w:rPr>
          <w:rFonts w:ascii="Arial" w:cs="Arial" w:eastAsia="Arial" w:hAnsi="Arial"/>
          <w:sz w:val="18"/>
          <w:szCs w:val="18"/>
          <w:color w:val="auto"/>
        </w:rPr>
      </w:pPr>
    </w:p>
    <w:p>
      <w:pPr>
        <w:ind w:left="1040" w:right="40" w:hanging="519"/>
        <w:spacing w:after="0" w:line="279"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TV-45070 (formerly XEN402) is a product candidate being developed in collaboration with Teva for the treatment of pain. Teva is currently conducting a randomized, double-blind, placebo-controlled Phase 2b clinical trial in patients with post-herpetic neuralgia, or PHN, with topline results expected in the first half of 2017. TV-45070 is a topically applied small-molecule inhibitor of the sodium channel Nav1.7 and other sodium channels, including those that are expressed in the pain-sensing peripheral nervous system;</w:t>
      </w:r>
    </w:p>
    <w:p>
      <w:pPr>
        <w:spacing w:after="0" w:line="63" w:lineRule="exact"/>
        <w:rPr>
          <w:rFonts w:ascii="Arial" w:cs="Arial" w:eastAsia="Arial" w:hAnsi="Arial"/>
          <w:sz w:val="17"/>
          <w:szCs w:val="17"/>
          <w:color w:val="auto"/>
        </w:rPr>
      </w:pPr>
    </w:p>
    <w:p>
      <w:pPr>
        <w:ind w:left="1040" w:right="180" w:hanging="519"/>
        <w:spacing w:after="0" w:line="286"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GDC-0276 and GDC-0310 are both oral, selective Nav1.7 small-molecule inhibitors being developed in collaboration with Genentech for the potential treatment of pain. Genentech intends to initiate a Phase 2 clinical trial in the first half of 2017. Xenon and Genentech also have an active research collaboration focused on other orally selective small molecule inhibitors of Nav1.7;</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12" w:name="page13"/>
    <w:bookmarkEnd w:id="12"/>
    <w:p>
      <w:pPr>
        <w:ind w:left="1040" w:hanging="519"/>
        <w:spacing w:after="0" w:line="31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XEN801, a topical stearoyl Co-A desaturase-1, or SCD1, inhibitor, is being developed for the treatment of acne. SCD1 is an enzyme involved in lipid synthesis that is expressed in sebaceous glands in the skin. Enrollment is now complete in the XEN801 Phase 2 clinical trial, which was initiated in February 2016 in patients with moderate to severe facial acne. We anticipate topline results in the first quarter of 2017; and</w:t>
      </w:r>
    </w:p>
    <w:p>
      <w:pPr>
        <w:spacing w:after="0" w:line="38" w:lineRule="exact"/>
        <w:rPr>
          <w:rFonts w:ascii="Arial" w:cs="Arial" w:eastAsia="Arial" w:hAnsi="Arial"/>
          <w:sz w:val="16"/>
          <w:szCs w:val="16"/>
          <w:color w:val="auto"/>
        </w:rPr>
      </w:pPr>
    </w:p>
    <w:p>
      <w:pPr>
        <w:ind w:left="1040" w:right="18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proprietary preclinical programs continue to advance, including a Nav1.6 sodium channel inhibitor for the treatment of rare and severe forms of childhood epilepsy disorders. We expect to identify a development candidate in 2016 and file an investigational new drug, or IND, application for our Nav1.6 inhibitor in mid-2017.</w:t>
      </w:r>
    </w:p>
    <w:p>
      <w:pPr>
        <w:spacing w:after="0" w:line="181" w:lineRule="exact"/>
        <w:rPr>
          <w:sz w:val="20"/>
          <w:szCs w:val="20"/>
          <w:color w:val="auto"/>
        </w:rPr>
      </w:pPr>
    </w:p>
    <w:p>
      <w:pPr>
        <w:jc w:val="both"/>
        <w:ind w:right="340" w:firstLine="571"/>
        <w:spacing w:after="0" w:line="286" w:lineRule="auto"/>
        <w:rPr>
          <w:sz w:val="20"/>
          <w:szCs w:val="20"/>
          <w:color w:val="auto"/>
        </w:rPr>
      </w:pPr>
      <w:r>
        <w:rPr>
          <w:rFonts w:ascii="Arial" w:cs="Arial" w:eastAsia="Arial" w:hAnsi="Arial"/>
          <w:sz w:val="17"/>
          <w:szCs w:val="17"/>
          <w:color w:val="auto"/>
        </w:rPr>
        <w:t>We have funded our operations through the sale of equity securities, funding received from our licensees and collaborators and, to a lesser extent, government funding. For the nine months ended September 30, 2016, we recognized revenues, consisting primarily of funding from our collaborators of approximately $1.4 million. This compares to $12.3 million for the nine months ended September 30, 2015.</w:t>
      </w:r>
    </w:p>
    <w:p>
      <w:pPr>
        <w:spacing w:after="0" w:line="166"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Though our revenue from our collaboration and license agreements resulted in net income of $13.0 million for the year ended December 31, 2014 and $12.0 million for the year ended December 31, 2013, we do not expect to have sustained profitability for the foreseeable future. We had a net loss of $17.0 million for the nine months ended September 30, 2016 and an accumulated deficit of $136.7 million as of September 30, 2016, from expenses incurred in connection with our research programs and from general and administrative costs associated with our operations.</w:t>
      </w:r>
    </w:p>
    <w:p>
      <w:pPr>
        <w:spacing w:after="0" w:line="17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Other than royalties we are eligible to receive from sales of Glybera under our license to uniQure, which we do not expect to be significant in the near-term, we have not generated any royalty revenue from product sales, and do not otherwise anticipate generating revenue from product sales for the foreseeable future, if ever.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93"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at least the next 12 to 24 months. We anticipate that our expenses will increase substantially as we:</w:t>
      </w:r>
    </w:p>
    <w:p>
      <w:pPr>
        <w:spacing w:after="0" w:line="62"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milestone and other payments under our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hire and retain skilled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On September 13, 2016, we completed an underwritten public offering of 3,450,000 of our common shares at a public offering price of $7.50 per common share. We received approximately $24.3 million of proceeds, net of underwriting discounts and commissions but before offering expenses. The public offering also included the sale of 1,150,000 common shares at a public offering price of $7.50 per common share by certain of our existing securityholders, resulting in approximately $8.1 million of proceeds to the selling securityholders, net of underwriting discounts and commissions but before offering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To date, our revenue has been primarily derived from collaboration and licensing agreements as well as, to a lesser extent, government funding. In addition, we have received nominal royalties from sales of Glybera under our license to uniQure as well as a diagnostic license. Other than royalties we are eligible to receive from sales of Glybera, which we do not expect to be significant in the near-term, we have not generated any royalty revenue from product sales, and do not otherwise anticipate generating revenue from product sales for the foreseeable future, if ever.</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7" w:right="279" w:bottom="1440" w:gutter="0" w:footer="0" w:header="0"/>
        </w:sectPr>
      </w:pPr>
    </w:p>
    <w:bookmarkStart w:id="13" w:name="page14"/>
    <w:bookmarkEnd w:id="13"/>
    <w:p>
      <w:pPr>
        <w:ind w:right="40" w:firstLine="518"/>
        <w:spacing w:after="0" w:line="258" w:lineRule="auto"/>
        <w:rPr>
          <w:sz w:val="20"/>
          <w:szCs w:val="20"/>
          <w:color w:val="auto"/>
        </w:rPr>
      </w:pPr>
      <w:r>
        <w:rPr>
          <w:rFonts w:ascii="Arial" w:cs="Arial" w:eastAsia="Arial" w:hAnsi="Arial"/>
          <w:sz w:val="18"/>
          <w:szCs w:val="18"/>
          <w:color w:val="auto"/>
        </w:rPr>
        <w:t>The following table is a summary of revenue recognized from our current collaboration agreements for the three and nine months ended September 30, 2016 and 2015 (in thousands):</w:t>
      </w: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80" w:type="dxa"/>
            <w:vAlign w:val="bottom"/>
            <w:gridSpan w:val="5"/>
          </w:tcPr>
          <w:p>
            <w:pPr>
              <w:jc w:val="right"/>
              <w:ind w:right="313"/>
              <w:spacing w:after="0" w:line="141" w:lineRule="exact"/>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6"/>
          </w:tcPr>
          <w:p>
            <w:pPr>
              <w:jc w:val="center"/>
              <w:ind w:right="320"/>
              <w:spacing w:after="0" w:line="141" w:lineRule="exact"/>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80" w:type="dxa"/>
            <w:vAlign w:val="bottom"/>
            <w:gridSpan w:val="5"/>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20" w:type="dxa"/>
            <w:vAlign w:val="bottom"/>
          </w:tcPr>
          <w:p>
            <w:pPr>
              <w:spacing w:after="0"/>
              <w:rPr>
                <w:sz w:val="13"/>
                <w:szCs w:val="13"/>
                <w:color w:val="auto"/>
              </w:rPr>
            </w:pPr>
          </w:p>
        </w:tc>
        <w:tc>
          <w:tcPr>
            <w:tcW w:w="362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1720" w:type="dxa"/>
            <w:vAlign w:val="bottom"/>
            <w:gridSpan w:val="2"/>
          </w:tcPr>
          <w:p>
            <w:pPr>
              <w:jc w:val="right"/>
              <w:ind w:right="46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2,940</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8,724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Genentech:</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Recognition of upfront payment</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 payment</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Total collaboration revenue</w:t>
            </w:r>
          </w:p>
        </w:tc>
        <w:tc>
          <w:tcPr>
            <w:tcW w:w="10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412</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the terms of our collaborative development and license agreement with Teva, we received an upfront payment of $41.0 million. We determined that the various deliverables under this agreement should be considered as a single unit of accounting. As such, the $41.0 million upfront payment was recognized as revenue ratably over the expected period of research performance which was the three-year period from December 2012 through December 2015.</w:t>
      </w:r>
    </w:p>
    <w:p>
      <w:pPr>
        <w:spacing w:after="0" w:line="18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Pursuant to the terms of our March 2014 agreement with Genentech, we received an upfront payment of $1.5 million. We determined that the various deliverables under this agreement should be considered as a single unit of accounting. As such, the $1.5 million upfront payment was recognized as revenue ratably over the expected period of research performance, which was the two-year period from March 2014 to March 2016. In September 2015, we recognized a $0.25 million milestone payment for the identification of a novel pain target under this agreement.</w:t>
      </w:r>
    </w:p>
    <w:p>
      <w:pPr>
        <w:spacing w:after="0" w:line="17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our other internal and partnered products are in various stages of clinical and preclinical development, we do not expect to generate any revenue from product sales other than from our share of revenue related to our agreement with uniQure, which we do not expect to be significant in the near-term, for at least the next several years. We expect that revenue for the next several years will be derived from our agreement with uniQure and our eligibility to receive a share of the compensation received by uniQure relating to the technology or products licensed by us to uniQure; full-time equivalents, or FTE, funding from current and future collaboration agreements;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8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expect that any revenue we generate will fluctuate quarter to quarter as a function of the timing and amount of milestones and other payments from our existing collaborations and any future collaborations.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is a summary of our deferred revenue for our collaboration and licensing agreements as of September 30, 2016 and December 31, 2015 (in thousands):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September 30, 2016</w:t>
            </w:r>
          </w:p>
        </w:tc>
        <w:tc>
          <w:tcPr>
            <w:tcW w:w="1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2015</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Genentech - deferred revenue</w:t>
            </w:r>
          </w:p>
        </w:tc>
        <w:tc>
          <w:tcPr>
            <w:tcW w:w="5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 of September 30, 2016, we have recognized all deferred revenues from upfront payments received under our existing collaboration and licensing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operating expenses for the three and nine months ended September 30, 2016 and 2015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20,782</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19,108</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Research and development expenses represent costs incurred to further research and development of our proprietary product candidates, as well as to conduct research on our product candidates in collaboration with Teva and Genentech.</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salary, related benefits and stock-based compensation for employees engaged in scientific research and development, third-party contract costs relating to research, formulation, manufacturing, preclinical studies and clinical trial activities, third-party license and collaboration fees, laboratory consumables and allocated facility-related costs.</w:t>
      </w:r>
    </w:p>
    <w:p>
      <w:pPr>
        <w:spacing w:after="0" w:line="18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Project-specific expenses reflect costs directly attributable to our clinical development candidates and our preclinical candidates once nominated and selected for further development. All remaining research and development expenses are reflected in early-stage discovery programs.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73"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We expense all research and development costs as incurred. We expect that our research and development expenses will increase in the future as we advance our proprietary product candidates through clinical development,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license and collaboration fees and laboratory consumables.</w:t>
      </w:r>
    </w:p>
    <w:p>
      <w:pPr>
        <w:spacing w:after="0" w:line="15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0" w:firstLine="518"/>
        <w:spacing w:after="0" w:line="257" w:lineRule="auto"/>
        <w:rPr>
          <w:sz w:val="20"/>
          <w:szCs w:val="20"/>
          <w:color w:val="auto"/>
        </w:rPr>
      </w:pPr>
      <w:r>
        <w:rPr>
          <w:rFonts w:ascii="Arial" w:cs="Arial" w:eastAsia="Arial" w:hAnsi="Arial"/>
          <w:sz w:val="18"/>
          <w:szCs w:val="18"/>
          <w:color w:val="auto"/>
        </w:rPr>
        <w:t>General and administrative expenses consist primarily of salary, related benefits and stock-based compensation of our executive, finance, legal, business development and administrative functions, travel expenses, allocated facility-related costs not otherwise included in research and development expenses, director compensation, director’s and officer’s insurance premiums, investor relations costs and professional fees for auditing, tax and legal services, including legal expenses for intellectual property protection. General and administrative expenses also include fair value adjustments of certain liability classified stock option awards.</w:t>
      </w:r>
    </w:p>
    <w:p>
      <w:pPr>
        <w:spacing w:after="0" w:line="188"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We expect that general and administrative expenses will increase in the future as we expand our operating activities to support increased research and development activities, and the potential build of commercial infrastructure for our option for co-promotion of TV-45070 in the U.S., if and when regulatory approval is received.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income earned on our cash and investment balances. Our interest income has not been significant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levels of cash and investment balances and low interest earned on such balances. We anticipate that our interest income will continue to fluctuate depending on timing of payments from collaborative partners, our cash and investment balances, and interest rates.</w:t>
      </w:r>
    </w:p>
    <w:p>
      <w:pPr>
        <w:spacing w:after="0" w:line="166"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i w:val="1"/>
          <w:iCs w:val="1"/>
          <w:color w:val="auto"/>
        </w:rPr>
        <w:t xml:space="preserve">Foreign Exchange Gain (Loss). </w:t>
      </w:r>
      <w:r>
        <w:rPr>
          <w:rFonts w:ascii="Arial" w:cs="Arial" w:eastAsia="Arial" w:hAnsi="Arial"/>
          <w:sz w:val="17"/>
          <w:szCs w:val="17"/>
          <w:color w:val="auto"/>
        </w:rPr>
        <w:t>Net foreign exchange gains and losses consisted of gains and losses from the impact of foreign exchange fluctuations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our monetary assets and liabilities that are denominated in currencies other than the U.S. dollar (principally the Canadian dollar). See “Quantitative and Qualitative Disclosures About Market Risk – Foreign Currency Exchange Risk” below for additional information.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conformity with generally accepted accounting principles in the U.S., or U.S. GAAP. The preparation of our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8"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w:t>
      </w:r>
    </w:p>
    <w:p>
      <w:pPr>
        <w:spacing w:after="0" w:line="39"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There have been no material changes in our critical accounting policies and significant judgements and estimates during the nine months ended September 30, 2016, as compared to those disclosed in “Management’s Discussion and Analysis of Financial Conditions and Results of Operations - Critical Accounting Policies and Significant Judgments and Estimates” included in our 2015 Annual Report on Form 10-K filed with the U.S. Securities and Exchange Commission, or SEC, on March 8, 2016. We believe that the accounting policies discussed in the Annual Report are critical to understanding our historical and future performance, as these policies relate to the more significant areas involving management’s judgments and estimates.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2016 and 2015</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following table summarizes the results of our operations for the three and nine months ended September 30, 2016 and 2015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7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2016 vs. 2015</w:t>
            </w:r>
          </w:p>
        </w:tc>
        <w:tc>
          <w:tcPr>
            <w:tcW w:w="20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2016 vs. 2015</w:t>
            </w:r>
          </w:p>
        </w:tc>
      </w:tr>
      <w:tr>
        <w:trPr>
          <w:trHeight w:val="156"/>
        </w:trPr>
        <w:tc>
          <w:tcPr>
            <w:tcW w:w="4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50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Increase/(Decrease)</w:t>
            </w: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Increase/(Decrease)</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Royalties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(2,869)</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(5,502)</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7,528</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Revenue decreased by $3.9 million and $11.0 million in the three and nine months ended September 30, 2016 as compared to the three and nine months ended September 30, 2015, respectively. In 2015, we recognized revenues relating to the upfront payment from the collaborative agreement with Teva which was fully recognized by December 2015 as well as revenue related to the upfront payment from the March 2014 collaborative agreement with Genentech which was fully recognized by March 2016. The remaining decrease as compared to the same periods in 2015 was due to less FTE funding from Genentech as we shifted resources from supporting our collaborations to our proprietary programs.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summarizes research and development expenses for the three and nine months ended September 30, 2016 and 2015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17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2016 vs. 2015</w:t>
            </w:r>
          </w:p>
        </w:tc>
        <w:tc>
          <w:tcPr>
            <w:tcW w:w="200" w:type="dxa"/>
            <w:vAlign w:val="bottom"/>
          </w:tcPr>
          <w:p>
            <w:pPr>
              <w:spacing w:after="0"/>
              <w:rPr>
                <w:sz w:val="14"/>
                <w:szCs w:val="14"/>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2016 vs. 2015</w:t>
            </w:r>
          </w:p>
        </w:tc>
      </w:tr>
      <w:tr>
        <w:trPr>
          <w:trHeight w:val="156"/>
        </w:trPr>
        <w:tc>
          <w:tcPr>
            <w:tcW w:w="4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1640" w:type="dxa"/>
            <w:vAlign w:val="bottom"/>
            <w:gridSpan w:val="4"/>
          </w:tcPr>
          <w:p>
            <w:pPr>
              <w:ind w:left="220"/>
              <w:spacing w:after="0" w:line="155" w:lineRule="exact"/>
              <w:rPr>
                <w:sz w:val="20"/>
                <w:szCs w:val="20"/>
                <w:color w:val="auto"/>
              </w:rPr>
            </w:pPr>
            <w:r>
              <w:rPr>
                <w:rFonts w:ascii="Arial" w:cs="Arial" w:eastAsia="Arial" w:hAnsi="Arial"/>
                <w:sz w:val="14"/>
                <w:szCs w:val="14"/>
                <w:b w:val="1"/>
                <w:bCs w:val="1"/>
                <w:color w:val="auto"/>
              </w:rPr>
              <w:t>Increase/(Decrease)</w:t>
            </w: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Increase/(Decrease)</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expenses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XEN801 expenses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discovery program expenses</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5,744</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15,432</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10,889</w:t>
            </w:r>
          </w:p>
        </w:tc>
        <w:tc>
          <w:tcPr>
            <w:tcW w:w="2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Research and development expenses increased by $2.2 million and $4.5 million in the three and nine months ended September 30, 2016 as compared to the three and nine months ended September 30, 2015, respectively. These increases were primarily attributable to increased spending on our preclinical and discovery programs, mostly related to our Nav1.6 sodium channel inhibitor program, as well as additional expenses for our XEN801 program which entered Phase 2 clinical development in February 2016. These increases were partially offset by a decrease in Genentech collaboration expenses.</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following table summarizes general and administrative expenses for the three and nine months ended September 30, 2016 and 2015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171"/>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2016 vs. 2015</w:t>
            </w:r>
          </w:p>
        </w:tc>
        <w:tc>
          <w:tcPr>
            <w:tcW w:w="200" w:type="dxa"/>
            <w:vAlign w:val="bottom"/>
          </w:tcPr>
          <w:p>
            <w:pPr>
              <w:spacing w:after="0"/>
              <w:rPr>
                <w:sz w:val="14"/>
                <w:szCs w:val="14"/>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2016 vs. 2015</w:t>
            </w:r>
          </w:p>
        </w:tc>
      </w:tr>
      <w:tr>
        <w:trPr>
          <w:trHeight w:val="156"/>
        </w:trPr>
        <w:tc>
          <w:tcPr>
            <w:tcW w:w="4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40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3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Increase/(Decrease)</w:t>
            </w: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1,779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5,350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General and administrative expenses increased by $0.5 million and decreased by $2.9 million in the three and nine months ended September 30, 2016 as compared to the three and nine months ended September 30, 2015, respectively. For the nine months ended September 30, 2015, we recognized a $1.7 million expense due to the fair value adjustment upon the reclassification of stock option awards granted to directors and certain consultants to liability classification. For the three months ended September 30, 2015, we recognized a recovery of $1.0 million due to the decrease in fair value of our liability classified stock options resulting from the decline in our common share price from the preceding quarter.</w:t>
      </w:r>
    </w:p>
    <w:p>
      <w:pPr>
        <w:spacing w:after="0" w:line="17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remaining change is due to one-time severance costs resulting from an internal reorganization and acceleration of stock based compensation expense for certain consultants that occurred in 2015.</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 summarizes our other income (expense) for the three and nine months ended September 30, 2016 and 2015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r>
      <w:tr>
        <w:trPr>
          <w:trHeight w:val="171"/>
        </w:trPr>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2016 vs. 2015</w:t>
            </w:r>
          </w:p>
        </w:tc>
        <w:tc>
          <w:tcPr>
            <w:tcW w:w="200" w:type="dxa"/>
            <w:vAlign w:val="bottom"/>
          </w:tcPr>
          <w:p>
            <w:pPr>
              <w:spacing w:after="0"/>
              <w:rPr>
                <w:sz w:val="14"/>
                <w:szCs w:val="1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2016 vs. 2015</w:t>
            </w:r>
          </w:p>
        </w:tc>
      </w:tr>
      <w:tr>
        <w:trPr>
          <w:trHeight w:val="156"/>
        </w:trPr>
        <w:tc>
          <w:tcPr>
            <w:tcW w:w="4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42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3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Increase/(Decrease)</w:t>
            </w: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2,362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(5,057</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Other income (expense) changed by $2.6 million and $7.4 million in the three and nine months ended September 30, 2016 as compared to the three and nine months ended September 30, 2015, respectively. The change in other income (expense) was primarily driven by the change in foreign exchange gain (loss) arising largely from the translation of cash and cash equivalents and marketable securities denominated in Canadian dollars to U.S. dollars. We recorded foreign exchange losses of $0.5 million and $3.1 million due to a 2% and 6% decrease in the value of the Canadian dollar during the three month periods ended September 30, 2016 and 2015, respectively. During the nine month period ended September 30, 2016, we recorded a foreign exchange gain of $2.0 million as compared to a $5.5 million foreign exchange loss for the same period in 2015, largely due to a 6% increase as compared to a 13% decrease in the value of the Canadian dollar during the nine month periods ended September 30, 2016 and 2015,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date, we have financed our operations primarily through funding received from collaboration and license agreements, private placements of our common and preferred shares and public offerings of our common shares as well as through the receipt of government funding. As of September 30, 2016, we had cash and cash equivalents and marketable securities of $69.5 million. In September 2016, we completed an underwritten public offering of 3,450,000 of our common shares at a public offering price of $7.50 per common share. We received approximately $24.3 million of proceeds, net of underwriting discounts and commissions but before offering expenses.</w:t>
      </w:r>
    </w:p>
    <w:p>
      <w:pPr>
        <w:spacing w:after="0" w:line="18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have incurred significant operating losses since inception. We had a $17.0 million net loss for the nine months ended September 30, 2016 and an accumulated deficit of $136.7 million from inception through September 30, 2016.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studies for our product candidates; initiate additional preclinical, clinical or other studies for our product candidates, including under our collaboration agreements; change or add additional manufacturers or suppliers; seek regulatory and marketing approvals for any of our product candidates that successfully complete clinical studies; seek to identify and validate additional product candidates; acquire or in-license other product candidates and technologies; make milestone or other payments under our in-license agreements including, without limitation, our agreements with the University of British Columbia, or UBC, and the Memorial University of Newfoundland, or MUN;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as a public company and our product development and planned future commercialization efforts; and experience any delays or encounter issues with any of the above.</w:t>
      </w:r>
    </w:p>
    <w:p>
      <w:pPr>
        <w:spacing w:after="0" w:line="1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Until such time as we can generate substantial product revenue, if ever, we expect to finance our cash needs through a combination of collaboration agreements and equity or debt financings. Except for any obligations of our collaborators to reimburse us for research and development expenses or to make milestone payments under our agreements with them, we do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common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Glybera, and our future products, if any.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ind w:firstLine="518"/>
        <w:spacing w:after="0" w:line="257"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2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2016 and 2015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34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(14,897)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(15,616)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10,337</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23,916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For the nine months ended September 30, 2016, net cash used in operating activities totaled $14.9 million, compared to $12.9 million for the same period in 2015. The change was primarily related to a $4.5 million increase in research and development expenses and a $1.6 million decrease in FTE funding from Genentech, partially offset by a $1.7 million prepayment in August 2015 to Medpace, Inc. for future clinical development services and working capital changes for the first nine months of 2016.</w:t>
      </w: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 the nine months ended September 30, 2016, net cash used in investing activities totaled $15.6 million, compared to net cash provided by investing activities of $10.3 million for the same period in 2015. The change was driven primarily by the purchase of marketable securities in the nine months ended September 30, 2016 compared to the redemption of marketable securities for the same period in 2015.</w:t>
      </w:r>
    </w:p>
    <w:p>
      <w:pPr>
        <w:spacing w:after="0" w:line="2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 the nine months ended September 30, 2016, net cash provided by financing activities totaled $23.9 million, compared to $0.2 million for the same period in 2015. The change was primarily related to $23.8 million of net proceeds from the issuance of common shares in an underwritten public offering completed in September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Our future significant contractual obligations as of December 31, 2015 were reported in our Annual Report on Form 10-K, filed with the SEC on March 8, 2016.</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2016, there have been no material changes from the contractual commitments previously disclosed in the Annual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in the last three fiscal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As of October 28, 2016, we had 17,893,304 common shares issued and outstanding and outstanding options to purchase an additional 1,958,327 common shares.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May 2014, the Financial Accounting Standards Board, or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In August 2015, the FASB issued an update deferring the effective date of the new revenue standard by one year. The new guidance will be effective for public entities for fiscal years and interim periods within those years, beginning after December 15, 2017 instead of the originally contemplated effective date of December 15, 2016.</w:t>
      </w:r>
    </w:p>
    <w:p>
      <w:pPr>
        <w:spacing w:after="0" w:line="5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March, April and May 2016, the FASB issued amendments to the new revenue standard to clarify the implementation guidance on principal versus agent considerations and identifying performance obligations and licensing as well as to address certain narrow-scope improvements and practical expedients at transition with the same effective date as the new revenue standard. We are currently evaluating the new guidance to determine the impact it will have on our financial statements.</w:t>
      </w:r>
    </w:p>
    <w:p>
      <w:pPr>
        <w:spacing w:after="0" w:line="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February 2016, the FASB issued amendments to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We are currently evaluating the new guidance to determine the impact it will have on our financial statements.</w:t>
      </w:r>
    </w:p>
    <w:p>
      <w:pPr>
        <w:spacing w:after="0" w:line="8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March 2016, the FASB issued amendments to stock-based compensation accounting to simplify several aspects of the accounting for share-based payment transactions, including the income tax consequences, classification of awards as either equity or liabilities, and classification of the statement of cash flows. The amendments stipulate (a) all excess tax benefits and tax deficiencies should be recognized as income tax expense or benefit in the statement of operations and the tax effects of exercised or vested awards should be treated as discrete items in the reporting period in which they occur, (b) excess tax benefits should be classified along with other tax cash flows as an operating activity, (c) an entity can make an entity-wide accounting policy election to either estimate the number of awards that are expected to vest (current GAAP) or account for forfeitures when they occur, (d) the threshold to qualify for equity classification permits withholding up to the maximum statutory tax rates in the applicable jurisdictions, and (e) cash paid by an employee when directly withholding shares for tax withholding purposes should be classified as financing activity. These amendments will be effective for public entities for fiscal years and interim periods within those years, beginning on or after December 15, 2016 and early adoption is permitted. We have early adopted all of the provisions of this update effective January 1, 2016. We have elected to recognize forfeitures as they occur and the impact of that change in accounting policy as well as the impact of the remaining provisions did not have a material impact on our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principal market risk we face is foreign currency exchange rate risk. We face this risk, in part, as a result of entering into transactions denominated in currencies other than U.S. dollars, particularly those denominated in Canadian dollars. We also hold non-U.S. dollar denominated cash and cash equivalents, marketable securities, accounts receivable and accounts payable, which are denominated in Canadian dollars.</w:t>
      </w:r>
    </w:p>
    <w:p>
      <w:pPr>
        <w:spacing w:after="0" w:line="166"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Changes in foreign currency exchange rates can create significant foreign exchange gains or losses to us. Our current foreign currency risk is with the Canadian dollar, as a majority of our non-U.S. dollar denominated expenses are denominated in Canadian dollars and the majority of our cash and cash equivalents and marketable securities are held in Canadian dollars. To limit our exposure to volatility in currency markets, we estimate our anticipated expenses that will be denominated in Canadian and U.S. dollars and then purchase a corresponding amount of Canadian or U.S. dollars at the current spot rate. Once these estimated expense amounts are acquired, we do not hedge our exposure and thus assume the risk of future gains or losses on the amounts of Canadian dollars held. At September 30, 2016, we held cash and cash equivalents and marketable securities of $32.0 million denominated in Canadian dollars. A hypothetical 10% increase (decrease) in the value of the Canadian dollar would result in a foreign exchange gain (loss) of $3.2 million being recorded in the Statement of Operations on the translation of these Canadian dollar cash and cash equivalent balances into the U.S. dollar functional currency.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6"/>
          <w:szCs w:val="16"/>
          <w:color w:val="auto"/>
        </w:rPr>
        <w:t>An additional market risk we face is interest rate risk. We had cash and cash equivalents and marketable securities of $69.5 million as of September 30, 2016.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and cash equivalents and marketable securities.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Declines in interest rates, however, would reduce future investment income. A 10% change in interest rates during any of the periods presented would not have had a material impact on our financial statements. Such interest-earning instruments carry a degree of interest rate risk. We had no outstanding debt as of September 30,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60" w:firstLine="526"/>
        <w:spacing w:after="0" w:line="257" w:lineRule="auto"/>
        <w:tabs>
          <w:tab w:leader="none" w:pos="7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w:t>
      </w:r>
    </w:p>
    <w:p>
      <w:pPr>
        <w:spacing w:after="0" w:line="188" w:lineRule="exact"/>
        <w:rPr>
          <w:rFonts w:ascii="Arial" w:cs="Arial" w:eastAsia="Arial" w:hAnsi="Arial"/>
          <w:sz w:val="18"/>
          <w:szCs w:val="18"/>
          <w:color w:val="auto"/>
        </w:rPr>
      </w:pPr>
    </w:p>
    <w:p>
      <w:pPr>
        <w:ind w:right="40" w:firstLine="526"/>
        <w:spacing w:after="0" w:line="308" w:lineRule="auto"/>
        <w:tabs>
          <w:tab w:leader="none" w:pos="7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There were no changes in our internal control over financial reporting during the period ended September 30, 2016 that have materially affected, or are reasonably likely to materially affect, our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571"/>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140"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We are a clinical-stage biotechnology company and, other than the years ended December 31, 2014 and 2013, we have recorded net losses in each annual reporting period since inception in 1996, and we do not expect to have sustained profitability for the foreseeable future. We had net losses of $17.0 million for the nine months ended September 30, 2016 and an accumulated deficit of $136.7 million as of September 30, 2016, which were driven by expenses incurred in connection with our research programs and from general and administrative costs associated with our operations.</w:t>
      </w:r>
    </w:p>
    <w:p>
      <w:pPr>
        <w:spacing w:after="0" w:line="154"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To date, we have financed our operations through the sale of equity securities, funding received from our licensees and collaborators and, to a lesser extent, government funding. Other than royalties we are eligible to receive from sales of Glybera under our license to uniQure Biopharma B.V., or uniQure, which we do not expect to be significant in the near-term, we have not generated any royalty revenue from product sales and our product candidates will require substantial additional investment before they will provide us with any product royalty revenue.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our product candidates, including under our collaboration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agreements including, without limitation, our agreements with the University of British Columbia, or UBC, and the Memorial University of Newfoundland;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or one of our collaborators may obtain marketing approval, and for which we have maintained commercial rights;</w:t>
      </w:r>
    </w:p>
    <w:p>
      <w:pPr>
        <w:spacing w:after="0" w:line="62" w:lineRule="exact"/>
        <w:rPr>
          <w:rFonts w:ascii="Arial" w:cs="Arial" w:eastAsia="Arial" w:hAnsi="Arial"/>
          <w:sz w:val="18"/>
          <w:szCs w:val="18"/>
          <w:color w:val="auto"/>
        </w:rPr>
      </w:pPr>
    </w:p>
    <w:p>
      <w:pPr>
        <w:ind w:left="1040" w:right="12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22" w:name="page23"/>
    <w:bookmarkEnd w:id="22"/>
    <w:p>
      <w:pPr>
        <w:ind w:firstLine="518"/>
        <w:spacing w:after="0" w:line="259"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95"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b w:val="1"/>
          <w:bCs w:val="1"/>
          <w:i w:val="1"/>
          <w:iCs w:val="1"/>
          <w:color w:val="auto"/>
        </w:rPr>
        <w:t>Other than royalties we are eligible to receive from sales of Glybera, we have not generated any royalty revenue from product sales and may never become profitable on a U.S. GAAP basis.</w:t>
      </w:r>
    </w:p>
    <w:p>
      <w:pPr>
        <w:spacing w:after="0" w:line="62" w:lineRule="exact"/>
        <w:rPr>
          <w:sz w:val="20"/>
          <w:szCs w:val="20"/>
          <w:color w:val="auto"/>
        </w:rPr>
      </w:pPr>
    </w:p>
    <w:p>
      <w:pPr>
        <w:ind w:right="180" w:firstLine="518"/>
        <w:spacing w:after="0" w:line="288" w:lineRule="auto"/>
        <w:rPr>
          <w:sz w:val="20"/>
          <w:szCs w:val="20"/>
          <w:color w:val="auto"/>
        </w:rPr>
      </w:pPr>
      <w:r>
        <w:rPr>
          <w:rFonts w:ascii="Arial" w:cs="Arial" w:eastAsia="Arial" w:hAnsi="Arial"/>
          <w:sz w:val="16"/>
          <w:szCs w:val="16"/>
          <w:color w:val="auto"/>
        </w:rPr>
        <w:t>Our ability to generate meaningful revenue and achieve profitability on a U.S. GAAP basis depends on our ability, alone or with strategic collaborators, to successfully complete the development of, and obtain the regulatory 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Other than royalties we are eligible to receive from sales of Glybera under our license to uniQure, we have not generated any royalty revenue from product sales, and do not otherwise anticipate generating revenue from product sales for the foreseeable future, if ever. Commercial sales of Glybera commenced in November 2015, but we do not expect to receive significant revenue in the near-term from these sales. If any of our product candidates fail in clinical trials or do not gain regulatory approval, or if Glybera or any of our future products, if any, once approved, fail to achieve market acceptance or adequate market share, we may never become profitable. Although we were profitable for the years ended December 31, 2014 and 2013, we may not be able to sustain profitability in subsequent periods. Our ability to generate future revenue from product sales depends heavily on our success, and the success of our collaborators, in:</w:t>
      </w:r>
    </w:p>
    <w:p>
      <w:pPr>
        <w:spacing w:after="0" w:line="61"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completing research,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commercializing products for which we obtain regulatory and marketing approval, either with a collaborator or, if launched independently, by establishing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market acceptance of products for which we obtain regulatory and marketing approval as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developing sustainable, scalable, reproducible, and transferable manufacturing processes for any of our products approved in the future;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scope of our future revenue will also depend upon the size of any markets in which our product candidates receive approval and the availability of insurance coverage and the availability and amount of reimbursement from third-party payers for Glybera and future products, if any. If we are unable to achieve sufficient revenue to become profitable and remain so, our financial condition and operating results will be negatively impacted, and our trading price might be harmed.</w:t>
      </w:r>
    </w:p>
    <w:p>
      <w:pPr>
        <w:spacing w:after="0" w:line="29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manufacturing of product candidates and products approved for sale, conducting preclinical experiments and clinical trials and obtaining and maintaining regulatory approvals, as well as commercializing any products later approved for sale. During the nine months ended September 30, 2016, we incurred approximately $15.4 million of costs associated with research and development, exclusive of costs incurred by our collaborators in developing our product candidates.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3" w:name="page24"/>
    <w:bookmarkEnd w:id="23"/>
    <w:p>
      <w:pPr>
        <w:ind w:right="20" w:firstLine="518"/>
        <w:spacing w:after="0" w:line="259" w:lineRule="auto"/>
        <w:rPr>
          <w:sz w:val="20"/>
          <w:szCs w:val="20"/>
          <w:color w:val="auto"/>
        </w:rPr>
      </w:pPr>
      <w:r>
        <w:rPr>
          <w:rFonts w:ascii="Arial" w:cs="Arial" w:eastAsia="Arial" w:hAnsi="Arial"/>
          <w:sz w:val="18"/>
          <w:szCs w:val="18"/>
          <w:color w:val="auto"/>
        </w:rPr>
        <w:t>Our current cash and cash equivalents and marketable securities are not expected to be sufficient to complete clinical development of any of our product candidates and prepare for commercializing any product candidate which receives regulatory approval. Accordingly, we will likely require substantial additional capital to continue our clinical development and potential commercialization activities. Our future capital requirements depend on many factors, including but not limited to:</w:t>
      </w:r>
    </w:p>
    <w:p>
      <w:pPr>
        <w:spacing w:after="0" w:line="79"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Glybera, and our future products, if any.</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are unable to estimate the funds we will actually require to complete research and development of our product candidates or the funds required to commercialize any resulting product in the future.</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w:t>
      </w:r>
    </w:p>
    <w:p>
      <w:pPr>
        <w:spacing w:after="0" w:line="166"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28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would dilute all of our shareholders. For example, in September 2016, we sold 3,450,000 of our common shares at a price to the public of $7.50 per common share pursuant to our existing shelf registration statement on Form S-3 and corresponding Canadian base shelf prospectus.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and financial condition.</w:t>
      </w:r>
    </w:p>
    <w:p>
      <w:pPr>
        <w:spacing w:after="0" w:line="117"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common share price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currency fluctuations which could impact our 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2016, approximately 46% of our cash and cash equivalents and marketable securities was denominated in Canadian dollars.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Historically, the majority of our operating expenses have been denominated in Canadian dollars and the majority of our revenue has been denominated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 and we expect this trend to continue.</w:t>
      </w:r>
    </w:p>
    <w:p>
      <w:pPr>
        <w:spacing w:after="0" w:line="21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Prior to December 31, 2014, our functional currency was the Canadian dollar. On January 1, 2015,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shares could be adversely affected.</w:t>
      </w:r>
    </w:p>
    <w:p>
      <w:pPr>
        <w:spacing w:after="0" w:line="17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For example, we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trading price of our common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or our collaborators, may fail to successfully develop our product candidates.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product candidates, including TV-45070, GDC-0276, GDC-0310 and XEN801, and compounds in our preclinical and discovery pipeline,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of our common share price could result. For example, in July 2015, we and our partner Teva Pharmaceutical Industries Ltd., or Teva, announced topline results from a Phase 2b study designed to evaluate the safety and efficacy of topically applied TV-45070 in patients with chronic pain due to osteoarthritis, or OA, of the knee. Results from this trial showed that TV-45070 did not demonstrate statistically significant difference from placebo in efficacy endpoints of reductions in pain due to OA and neither we nor Teva have plans for further development of TV-45070 in OA, although clinical development of TV-45070 in post-herpetic neuralgia, or PHN, continues.</w:t>
      </w:r>
    </w:p>
    <w:p>
      <w:pPr>
        <w:spacing w:after="0" w:line="290"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and governmental agencies and public and private research institutions. Any product candidates that we or our collaborators successfully develop and commercialize will compete with existing products and any new products that may become available in the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5" w:name="page26"/>
    <w:bookmarkEnd w:id="25"/>
    <w:p>
      <w:pPr>
        <w:ind w:right="40" w:firstLine="518"/>
        <w:spacing w:after="0" w:line="264"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and price; the effectiveness and safety of alternative products; the level of generic competition; and the availability of coverage and adequate reimbursement from government and other third-party payers.</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With respect to target discovery activities, competitors and other third parties, including academic and clinical researchers, may access rare families and identify novel targets for drug development before we do.</w:t>
      </w:r>
    </w:p>
    <w:p>
      <w:pPr>
        <w:spacing w:after="0" w:line="170"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 party payers.</w:t>
      </w:r>
    </w:p>
    <w:p>
      <w:pPr>
        <w:spacing w:after="0" w:line="18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To the extent that we are unable to compete effectively against one or more of our competitors in these areas, our business will not grow and our financial condition, results of operations and common share price may suffer.</w:t>
      </w:r>
    </w:p>
    <w:p>
      <w:pPr>
        <w:spacing w:after="0" w:line="170"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There are no approved gene therapies currently on the market for lipoprotein lipase deficiency, or LPLD, in the U.S. The current management of LPLD consists of strict adherence to an extremely low-fat diet, but compliance with such a diet is challenging. Lipid-lowering drugs are generally not effective for treating LPLD. We are not aware of any other drugs or therapies currently in development that treat LPLD by using the lipoprotein lipase, or LPL, sequence containing the LPL</w:t>
      </w:r>
      <w:r>
        <w:rPr>
          <w:rFonts w:ascii="Arial" w:cs="Arial" w:eastAsia="Arial" w:hAnsi="Arial"/>
          <w:sz w:val="15"/>
          <w:szCs w:val="15"/>
          <w:color w:val="auto"/>
        </w:rPr>
        <w:t>S447X</w:t>
      </w:r>
      <w:r>
        <w:rPr>
          <w:rFonts w:ascii="Arial" w:cs="Arial" w:eastAsia="Arial" w:hAnsi="Arial"/>
          <w:sz w:val="18"/>
          <w:szCs w:val="18"/>
          <w:color w:val="auto"/>
        </w:rPr>
        <w:t xml:space="preserve"> genetic variant or otherwise.</w:t>
      </w:r>
    </w:p>
    <w:p>
      <w:pPr>
        <w:spacing w:after="0" w:line="18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and pregabalin. We are also aware of development programs at several pharmaceutical and biotechnology companies that are developing Nav1.7 inhibitors or other sodium channel inhibitors for the treatment of pain, including Amgen Inc., Biogen Inc., Dainippon Sumitomo Co., Ltd., Eli Lilly and Company, Merck &amp; Co., Inc., or Merck, NeuroQuest Inc., Vertex Pharmaceuticals Inc.,Voyager Therapeutics, Inc. and Chromocell Corporation in collaboration with its partner Astellas Pharma Inc. Moreover, we are aware of various other product candidates in development that target other mechanisms of action to treat various pain indications, including calcium channel inhibitors, nerve growth factor inhibitors and P2X purinoceptor 3 inhibitors.</w:t>
      </w:r>
    </w:p>
    <w:p>
      <w:pPr>
        <w:spacing w:after="0" w:line="16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If XEN801 were approved for the treatment of acne, we anticipate it would compete with other approved prescription acne products including topical retinoids, oral hormonal therapies, topical and oral antimicrobials, and oral isotretinoin. In addition to approved prescription therapies, there are a wide range of over-the-counter, or OTC, treatments targeted at treating acne. Additionally, there are a number of prescription products that are used “off-label” for the treatment of acne. We are also aware of several products in clinical development that could potentially compete with XEN801, including products in development from Allergan PLC, AOBiome LLC, Braintree Laboratories Inc., Cassiopea SpA, Dermira Inc., Foamix Pharmaceuticals Ltd., Galderma SA, Mimetica Pty Ltd, Novan Therapeutics, Phosphagenics Ltd, Thesan Pharmaceuticals, Inc., Valeant Pharmaceuticals, and XBiotech Inc.</w:t>
      </w:r>
    </w:p>
    <w:p>
      <w:pPr>
        <w:spacing w:after="0" w:line="273"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b w:val="1"/>
          <w:bCs w:val="1"/>
          <w:i w:val="1"/>
          <w:iCs w:val="1"/>
          <w:color w:val="auto"/>
        </w:rPr>
        <w:t>The novelty of gene therapy products and their lack of a commercial track record may hinder market acceptance of Glybera among physicians, patients, healthcare payers and the medical community.</w:t>
      </w:r>
    </w:p>
    <w:p>
      <w:pPr>
        <w:spacing w:after="0" w:line="62"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Glybera is the first gene therapy product approved in the EU, and to date only one other gene therapy product has been approved in the EU, and no gene therapy product has been approved in the U.S. Because Glybera is the first gene therapy to be marketed in the EU, gaining market acceptance and overcoming any safety or efficacy concerns may be more challenging than for a more traditional therapy. Glybera’s commercial success will depend, in part, on the success of efforts to educate the market regarding gene therapy products. In particular, the success of Glybera will depend upon physicians who treat patients with LPLD, prescribing Glybera. With respect to Glybera and any other gene therapy products we or a collaborator may develop, public perception may be influenced by claims that gene therapy is unsafe, and, if so, gene therapy may not gain the acceptance of the public or the medical community.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6" w:name="page27"/>
    <w:bookmarkEnd w:id="26"/>
    <w:p>
      <w:pPr>
        <w:ind w:right="320" w:firstLine="259"/>
        <w:spacing w:after="0" w:line="277" w:lineRule="auto"/>
        <w:rPr>
          <w:sz w:val="20"/>
          <w:szCs w:val="20"/>
          <w:color w:val="auto"/>
        </w:rPr>
      </w:pPr>
      <w:r>
        <w:rPr>
          <w:rFonts w:ascii="Arial" w:cs="Arial" w:eastAsia="Arial" w:hAnsi="Arial"/>
          <w:sz w:val="18"/>
          <w:szCs w:val="18"/>
          <w:b w:val="1"/>
          <w:bCs w:val="1"/>
          <w:i w:val="1"/>
          <w:iCs w:val="1"/>
          <w:color w:val="auto"/>
        </w:rPr>
        <w:t>We have no marketed products and have not yet advanced a product candidate beyond Phase 2 clinical trials, which makes it difficult to assess our ability to develop our future product candidates and commercialize any resulting products independently.</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no experience in Phase 3 and later stage clinical development, and related regulatory requirements or the commercialization of products. uniQure controls and has been responsible for the development and commercialization of Glybera; Teva is responsible for the on-going clinical development of TV-45070; and Genentech, a member of the Roche Group, is responsible for the on-going clinical development of GDC-0276 and GDC-0310. Accordingly, we have not yet demonstrated our ability to independently and repeatedly conduct clinical development after Phase 2, obtain regulatory approval and commercialize therapeutic products. We will need to develop such abilities if we are to execute on our business strategy to selectively develop and independently commercialize product candidates for orphan and niche indications. To execute on our business plan for the development of independent programs, we will need to successfully:</w:t>
      </w:r>
    </w:p>
    <w:p>
      <w:pPr>
        <w:spacing w:after="0" w:line="81"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execute our clinical development plans for later-stage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we will seek to commercialize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gain market acceptance for our future products,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 activities.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79"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b w:val="1"/>
          <w:bCs w:val="1"/>
          <w:i w:val="1"/>
          <w:iCs w:val="1"/>
          <w:color w:val="auto"/>
        </w:rPr>
        <w:t>If we are not successful in leveraging our Extreme Genetics discovery platform to discover product candidates in addition to TV-45070, GDC-0276, GDC-0310 and XEN801, our ability to expand our business and achieve our strategic objectives may be impaired.</w:t>
      </w:r>
    </w:p>
    <w:p>
      <w:pPr>
        <w:spacing w:after="0" w:line="38"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We rely on our Extreme Genetics discovery platform to identify validated drug targets and develop new product candidates. To date, our Extreme Genetics discovery platform has yielded one approved product, Glybera, and four clinical development candidates TV-45070, GDC-0276, GDC-0310 and XEN801. Use of our discovery platform requires substantial technical, financial and human resources, regardless of whether we identify any novel drug targets. Our Extreme Genetics discovery platform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67"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If we are unable to identify additional product candidates suitable for clinical development and commercialization, we may not be able to obtain product revenue in future periods, which likely would result in significant harm to our financial position and adversely impact our trading price.</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approach to drug discovery is unproven, and we do not know whether we will be able to develop any products of commercial value.</w:t>
      </w:r>
    </w:p>
    <w:p>
      <w:pPr>
        <w:spacing w:after="0" w:line="12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Our Extreme Genetics discovery platform may not reproducibly or cost-effectively result in the discovery of product candidates and development of commercially viable products that safely and effectively treat human disease.</w:t>
      </w:r>
    </w:p>
    <w:p>
      <w:pPr>
        <w:spacing w:after="0" w:line="170" w:lineRule="exact"/>
        <w:rPr>
          <w:sz w:val="20"/>
          <w:szCs w:val="20"/>
          <w:color w:val="auto"/>
        </w:rPr>
      </w:pPr>
    </w:p>
    <w:p>
      <w:pPr>
        <w:jc w:val="both"/>
        <w:ind w:right="460" w:firstLine="518"/>
        <w:spacing w:after="0" w:line="286" w:lineRule="auto"/>
        <w:rPr>
          <w:sz w:val="20"/>
          <w:szCs w:val="20"/>
          <w:color w:val="auto"/>
        </w:rPr>
      </w:pPr>
      <w:r>
        <w:rPr>
          <w:rFonts w:ascii="Arial" w:cs="Arial" w:eastAsia="Arial" w:hAnsi="Arial"/>
          <w:sz w:val="17"/>
          <w:szCs w:val="17"/>
          <w:color w:val="auto"/>
        </w:rPr>
        <w:t>There are various challenges in utilizing our Extreme Genetics discovery platform to successfully identify novel drug targets, including locating families suffering from rare disorders and severe phenotypes, entering into agreements with foreign collaborators, complying with various domestic and foreign privacy laws, accessing required technologies in a timely manner and transporting DNA across national borders.</w:t>
      </w:r>
    </w:p>
    <w:p>
      <w:pPr>
        <w:spacing w:after="0" w:line="16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To date, only Glybera has been both developed using our Extreme Genetics discovery platform and approved for commercial sale. If the use of our Extreme Genetics discovery platform fails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b w:val="1"/>
          <w:bCs w:val="1"/>
          <w:i w:val="1"/>
          <w:iCs w:val="1"/>
          <w:color w:val="auto"/>
        </w:rPr>
        <w:t>We may encounter difficulties in managing our growth, including headcount, and expanding our operations successfully.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business strategy involves continued development and, where development is successful, commercialization of select successfully developed product candidates for orphan and niche indications independently.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 We anticipate that we may need to hire additional accounting, legal and financial staff with appropriate public company experience and technical accounting and other knowledge to address the added burdens of operating as a public company. There are likely to be additional infrastructure costs associated with public company compliance as well.</w:t>
      </w:r>
    </w:p>
    <w:p>
      <w:pPr>
        <w:spacing w:after="0" w:line="18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our operations expand, we expect that we will need to manage additional relationships with various strategic collaborators, suppliers and other third parties.</w:t>
      </w:r>
    </w:p>
    <w:p>
      <w:pPr>
        <w:spacing w:after="0" w:line="170"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Drs. Simon Pimstone and Y. Paul Goldberg each devote a small amount of their time to clinical work outside of their duties at our company, conducting, generally, two to three outpatient clinics per month. Future growth will impose significant added responsibilities on members of management, and our management may need to divert a disproportionate amount of its attention away from our day-to-day activities and devote a substantial amount of time to managing these growth activities.</w:t>
      </w:r>
    </w:p>
    <w:p>
      <w:pPr>
        <w:spacing w:after="0" w:line="18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9"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w:t>
      </w:r>
    </w:p>
    <w:p>
      <w:pPr>
        <w:spacing w:after="0" w:line="23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could experience difficulties attracting and retaining qualified employees as competition for qualified personnel in the biotechnology and pharmaceutical field is intense. We are highly dependent upon our senior management, particularly Dr. Pimstone, our Chief Executive Officer and President; Mr. Ian Mortimer, our Chief Financial Officer and Chief Operating Officer; and Dr. Goldberg, our Vice President, Clinical Development, as well as other employees. In the near future, the loss of services of any of these individuals or one or more of our other members of senior management could materially delay or even prevent the successful development of our product candidates.</w:t>
      </w:r>
    </w:p>
    <w:p>
      <w:pPr>
        <w:spacing w:after="0" w:line="18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8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non-U.S. regulators, provide accurate information to the FDA, EMA and other non-U.S.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 or information we obtain through our direct-to-patient web-based recruitment approach for identifying patients with rare or extreme phenotypes.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8" w:name="page29"/>
    <w:bookmarkEnd w:id="28"/>
    <w:p>
      <w:pPr>
        <w:ind w:right="40" w:firstLine="518"/>
        <w:spacing w:after="0" w:line="291" w:lineRule="auto"/>
        <w:rPr>
          <w:sz w:val="20"/>
          <w:szCs w:val="20"/>
          <w:color w:val="auto"/>
        </w:rPr>
      </w:pPr>
      <w:r>
        <w:rPr>
          <w:rFonts w:ascii="Arial" w:cs="Arial" w:eastAsia="Arial" w:hAnsi="Arial"/>
          <w:sz w:val="16"/>
          <w:szCs w:val="16"/>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system failures.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Computer system, network or telecommunications failures due to events such as damage from malware, unauthorized access, terrorism, war, or natural disasters could interrupt our internal or partner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 While we have implemented security measures and, to date, have not detected a cyber security breach nor experienced a material system failure, our internal computer systems and those of our contractors and consultants remain potentially vulnerable to damage from these events.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Glybera has been approved for commercial sale in the EU by the EMA, subject to uniQure’s compliance with certain post-approval reporting and monitoring obligations. Our collaborator for TV-45070, Teva, is based in Israel and a significant portion of the research and development activities under our collaboration with Teva are performed outside of North America. If we continue to engage in significant cross-border activities, we will be subject to risks related to international operations, including:</w:t>
      </w:r>
    </w:p>
    <w:p>
      <w:pPr>
        <w:spacing w:after="0" w:line="79"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and biologics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or open conflict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of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operations in foreign jurisdictions;</w:t>
      </w:r>
    </w:p>
    <w:p>
      <w:pPr>
        <w:spacing w:after="0" w:line="73" w:lineRule="exact"/>
        <w:rPr>
          <w:rFonts w:ascii="Arial" w:cs="Arial" w:eastAsia="Arial" w:hAnsi="Arial"/>
          <w:sz w:val="18"/>
          <w:szCs w:val="18"/>
          <w:color w:val="auto"/>
        </w:rPr>
      </w:pPr>
    </w:p>
    <w:p>
      <w:pPr>
        <w:ind w:left="1040" w:right="620" w:hanging="519"/>
        <w:spacing w:after="0" w:line="30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3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9" w:name="page30"/>
    <w:bookmarkEnd w:id="29"/>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Our near-term operating revenue is partially dependent upon the regulatory and marketing efforts of uniQure, or its sublicensee, for the development and commercialization of Glybera.</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Under the terms of our license agreement with uniQure, we rely on uniQure, or its sublicensees, to market Glybera and to obtain and maintain regulatory approval of Glybera. In July 2013, uniQure announced that it had granted to Chiesi Farmaceutici, S.p.A., or Chiesi, an Italian pharmaceutical firm, an exclusive license to commercialize Glybera in the European Union, or the EU, and certain other countries outside of North America and Japan. Commercial sales of Glybera commenced in November 2015. Despite the efforts of uniQure and Chiesi, Glybera may not gain market acceptance among physicians, patients, healthcare payers and the medical community.</w:t>
      </w:r>
    </w:p>
    <w:p>
      <w:pPr>
        <w:spacing w:after="0" w:line="18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Glybera is approved in the EU under exceptional circumstances and full approval may never be granted or the existing approval under exceptional circumstances could be revoked. As a condition to approval of Glybera, uniQure is required to complete a post-approval clinical trial and is required to implement a disease registry as well as implement risk management procedures, distribute educational materials to healthcare professionals and patients, implement an additional manufacturing process step, comply with certain notification obligations and undergo annual reassessment, any negative outcome of which could potentially lead to a withdrawal of marketing approval for Glybera.</w:t>
      </w:r>
    </w:p>
    <w:p>
      <w:pPr>
        <w:spacing w:after="0" w:line="188"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Any failure of uniQure or its sublicensee to successfully commercialize Glybera or revocation of Glybera’s marketing approval in the EU could have an adverse effect on our near-term operating revenue and financial condition and could result in a decline in the price of our common shares.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 Holders of our common shares may suffer adverse tax consequences if we are characterized as a passive foreign investment company.</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composition of our gross income and gross assets and the nature of our business, we do not believe that we were a PFIC for the taxable years ended December 31, 2015 and 2014, although we could be a PFIC for the calendar year ending December 31, 2016 or in subsequent years. Our status as a PFIC is a fact-intensive determination made on an annual basis and we cannot provide any assurance regarding our PFIC status for the taxable year ending December 31, 2016 or for future taxable years.</w:t>
      </w:r>
    </w:p>
    <w:p>
      <w:pPr>
        <w:spacing w:after="0" w:line="189"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If we are a PFIC for any subsequent year,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w:t>
      </w:r>
    </w:p>
    <w:p>
      <w:pPr>
        <w:spacing w:after="0" w:line="1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If we are a PFIC in the current or a future tax year, we will provide our U.S. Holders with the information that is necessary in order for them to make a qualified electing fund election and to report their common shares of ordinary earnings and net capital gains for each year for which we are a PFIC.</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 U.S. Holder may also mitigate the adverse tax consequences if we are a PFIC by timely making a mark-to-market election. Generally, for each year that we would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0" w:name="page31"/>
    <w:bookmarkEnd w:id="30"/>
    <w:p>
      <w:pPr>
        <w:ind w:right="380" w:firstLine="259"/>
        <w:spacing w:after="0" w:line="277" w:lineRule="auto"/>
        <w:rPr>
          <w:sz w:val="20"/>
          <w:szCs w:val="20"/>
          <w:color w:val="auto"/>
        </w:rPr>
      </w:pPr>
      <w:r>
        <w:rPr>
          <w:rFonts w:ascii="Arial" w:cs="Arial" w:eastAsia="Arial" w:hAnsi="Arial"/>
          <w:sz w:val="18"/>
          <w:szCs w:val="18"/>
          <w:b w:val="1"/>
          <w:bCs w:val="1"/>
          <w:i w:val="1"/>
          <w:iCs w:val="1"/>
          <w:color w:val="auto"/>
        </w:rPr>
        <w:t>We may become subject to income tax in jurisdictions in which we are organized or operate, including the United States, which would reduce our future earnings.</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is a risk that we may become subject to income tax in jurisdictions outside of Canada, including the United States,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shareholders and otherwise harm our business.</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25"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regulatory approval processes of the FDA, EMA and regulators in other jurisdictions are lengthy, time-consuming and inherently unpredictable.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our collaborators, are unable to obtain timely regulatory approval for our product candidates, our business will be substantially harmed.</w:t>
      </w:r>
    </w:p>
    <w:p>
      <w:pPr>
        <w:spacing w:after="0" w:line="12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Other than for Glybera in the EU, neither we nor our collaborators have obtained regulatory approval for any of our product candidates. It is possible that none of our existing product candidates or any of our future product candidates will ever obtain regulatory approval, even if we expend substantial time and resources seeking such approval.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EMA or other regulatory authorities may disagree with the design or implementation of our or our collaborators’ clinical trials;</w:t>
      </w:r>
    </w:p>
    <w:p>
      <w:pPr>
        <w:spacing w:after="0" w:line="128" w:lineRule="exact"/>
        <w:rPr>
          <w:rFonts w:ascii="Arial" w:cs="Arial" w:eastAsia="Arial" w:hAnsi="Arial"/>
          <w:sz w:val="17"/>
          <w:szCs w:val="17"/>
          <w:color w:val="auto"/>
        </w:rPr>
      </w:pPr>
    </w:p>
    <w:p>
      <w:pPr>
        <w:ind w:left="1040" w:right="5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EMA or other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other regulatory authorities for approval;</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31" w:name="page32"/>
    <w:bookmarkEnd w:id="31"/>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28" w:lineRule="exact"/>
        <w:rPr>
          <w:rFonts w:ascii="Arial" w:cs="Arial" w:eastAsia="Arial" w:hAnsi="Arial"/>
          <w:sz w:val="17"/>
          <w:szCs w:val="17"/>
          <w:color w:val="auto"/>
        </w:rPr>
      </w:pPr>
    </w:p>
    <w:p>
      <w:pPr>
        <w:ind w:left="1040" w:right="2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EMA or other regulatory authorities may disagree with our or our collaborators’ interpretation of data from preclinical studies or clinical trials;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regulatory authorities outside of the U.S. may significantly change in a manner rendering our or our collaborators’ clinical data insufficient for approval.</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8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testing of product candidates is expensive and, depending on the stage of development, can take a substantial period of time to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outcomes are inherently uncertain, and failure can occur at any time during the clinical development process.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 trials can be halted or delayed for a variety of reasons, including those related to:</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side effects or adverse events in study participants presenting an unacceptable safety risk;</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reach agreement with prospective contract research organizations, or CROs, and clinical trial sites, or the breach of such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requirement to undertake and complete additional preclinical studies to generate data required to support the submission of an NDA;</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enroll sufficient patients to complete a protocol, particularly in orphan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substance or drug product sufficient to complete our preclinical studies and clinical trials;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247" w:right="359" w:bottom="1440" w:gutter="0" w:footer="0" w:header="0"/>
        </w:sectPr>
      </w:pPr>
    </w:p>
    <w:bookmarkStart w:id="32" w:name="page33"/>
    <w:bookmarkEnd w:id="32"/>
    <w:p>
      <w:pPr>
        <w:ind w:firstLine="518"/>
        <w:spacing w:after="0" w:line="291" w:lineRule="auto"/>
        <w:rPr>
          <w:sz w:val="20"/>
          <w:szCs w:val="20"/>
          <w:color w:val="auto"/>
        </w:rPr>
      </w:pPr>
      <w:r>
        <w:rPr>
          <w:rFonts w:ascii="Arial" w:cs="Arial" w:eastAsia="Arial" w:hAnsi="Arial"/>
          <w:sz w:val="16"/>
          <w:szCs w:val="16"/>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6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If we or our collaborators experience delays in the completion of, or termination of, any clinical trial of one of our product candidates, the commercial prospects of the product candidate will be harmed, could shorten the patent protection period during which we may have the exclusive right to commercialize our products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5" w:lineRule="exact"/>
        <w:rPr>
          <w:sz w:val="20"/>
          <w:szCs w:val="20"/>
          <w:color w:val="auto"/>
        </w:rPr>
      </w:pPr>
    </w:p>
    <w:p>
      <w:pPr>
        <w:jc w:val="both"/>
        <w:ind w:right="260" w:firstLine="518"/>
        <w:spacing w:after="0" w:line="286" w:lineRule="auto"/>
        <w:rPr>
          <w:sz w:val="20"/>
          <w:szCs w:val="20"/>
          <w:color w:val="auto"/>
        </w:rPr>
      </w:pPr>
      <w:r>
        <w:rPr>
          <w:rFonts w:ascii="Arial" w:cs="Arial" w:eastAsia="Arial" w:hAnsi="Arial"/>
          <w:sz w:val="17"/>
          <w:szCs w:val="17"/>
          <w:color w:val="auto"/>
        </w:rPr>
        <w:t>Our TV-45070, GDC-0276 and GDC-0310 product candidates for treatment of pain and XEN801 product candidate for the treatment of acne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74"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w:t>
      </w:r>
    </w:p>
    <w:p>
      <w:pPr>
        <w:spacing w:after="0" w:line="62" w:lineRule="exact"/>
        <w:rPr>
          <w:sz w:val="20"/>
          <w:szCs w:val="20"/>
          <w:color w:val="auto"/>
        </w:rPr>
      </w:pPr>
    </w:p>
    <w:p>
      <w:pPr>
        <w:ind w:right="260" w:firstLine="518"/>
        <w:spacing w:after="0" w:line="272" w:lineRule="auto"/>
        <w:rPr>
          <w:sz w:val="20"/>
          <w:szCs w:val="20"/>
          <w:color w:val="auto"/>
        </w:rPr>
      </w:pPr>
      <w:r>
        <w:rPr>
          <w:rFonts w:ascii="Arial" w:cs="Arial" w:eastAsia="Arial" w:hAnsi="Arial"/>
          <w:sz w:val="17"/>
          <w:szCs w:val="17"/>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 For example, in July 2015, we and our partner Teva announced topline results from a Phase 2b study designed to evaluate the safety and efficacy of topically applied TV-45070 in patients with chronic pain due to OA of the knee. Results from this trial showed that TV-45070 did not demonstrate statistically significant difference from placebo in efficacy endpoints of reductions in pain due to OA and neither we nor Teva have plans for further development of TV-45070 in OA, although clinical development of TV-45070 in PHN continues.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the case of some of our product candidates, we are seeking to develop treatments for diseases for which there is relatively limited clinical experience, and, in some cases our clinical trials use novel end points and measurement methodologies or subjective patient feedback, which adds a layer of complexity to our clinical trials and may delay regulatory approval. In addition, our focus on orphan and niche markets may cause us to select target indications that are in more challenging therapeutic areas. For example, clinical trials for pain, the indication for which TV-45070, GDC-0276 and GDC-0310 are being developed, are inherently difficult to conduct. The primary measure of pain is subjective patient feedback, which can be influenced by factors outside of our control, and can vary widely from day to day for a particular patient, and from patient to patient and site to site within a clinical study. The placebo effect also tends to have a more significant impact on pain trials.</w:t>
      </w:r>
    </w:p>
    <w:p>
      <w:pPr>
        <w:spacing w:after="0" w:line="189"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w:t>
      </w:r>
    </w:p>
    <w:p>
      <w:pPr>
        <w:spacing w:after="0" w:line="295"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6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73"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3" w:name="page34"/>
    <w:bookmarkEnd w:id="33"/>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competing therapies and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 limited patient populations in orphan and niche indications present significant recruitment challenges for clinical trials. As an example of a rare childhood epilepsy disorder, the prevalence of Dravet Syndrome, or DS, is estimated to be 7,500-15,000 patients in the U.S.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technology or termination of the clinical studies altogether.</w:t>
      </w:r>
    </w:p>
    <w:p>
      <w:pPr>
        <w:spacing w:after="0" w:line="301"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designation or other regulatory exclusivity for some of our product candidates, our competitive position would be harmed.</w:t>
      </w:r>
    </w:p>
    <w:p>
      <w:pPr>
        <w:spacing w:after="0" w:line="6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TV-45070 has received both fast track and orphan drug designations for the treatment of erythromelalgia, or EM, by the FDA. If we seek orphan drug designations for other indications or in other jurisdictions, such as for TV-45070 in the EU, we may fail to receive such orphan drug designations and, even if we succeed, such orphan drug designations may fail to result in or maintain orphan drug exclusivity upon approval, which would harm our competitive position.</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 For example, our results for two small exploratory clinical trials for primary EM pain, one using a topical formulation and the other an oral formulation of TV-45070, used novel measures of efficacy assessment. While these studies provided promising results, further larger clinical trials will be necessary to confirm and extend these observations.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4" w:name="page35"/>
    <w:bookmarkEnd w:id="34"/>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Sales of our approved products are, and will be, subject to U.S. and foreign regulatory requirements governing clinical trials and marketing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regulatory authorities in other countries.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18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Even if a product is approved, the FDA or the EMA,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Regulatory authorities in countries outside of the U.S. and the EMA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187"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232"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executing our business strategy of developing product candidates using our Extreme Genetics discovery platform. These scientists may have other commitments or conflicts of interest, which could limit our access to their expertise and harm our ability to leverage our discovery platform.</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work with scientific advisors and collaborators at academic research institutions in connection with our Extreme Genetics discovery platform.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scientific advisors serve as our link to the various families with extreme phenotypes in that these advisors may:</w:t>
      </w:r>
    </w:p>
    <w:p>
      <w:pPr>
        <w:spacing w:after="0" w:line="10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families as potential candidates for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their consent to participate in our research;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 medical examinations and gather medical histories;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 the initial analysis of suitability of the families to participate in our research based on the foregoing;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collect data and biological samples from the family members periodically in accordance with our study protocols.</w:t>
      </w:r>
    </w:p>
    <w:p>
      <w:pPr>
        <w:spacing w:after="0" w:line="22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62"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 For example, we have a co-promotion option for TV-45070 with Teva in the U.S.</w:t>
      </w:r>
    </w:p>
    <w:p>
      <w:pPr>
        <w:spacing w:after="0" w:line="187"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39"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 or develop alternative sales channels;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right="3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maintaining an independent sales and marketing organization.</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28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6" w:name="page37"/>
    <w:bookmarkEnd w:id="36"/>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Occurrence of any of the foregoing could have a material and adverse effect on our business and results of operations.</w:t>
      </w:r>
    </w:p>
    <w:p>
      <w:pPr>
        <w:spacing w:after="0" w:line="333"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intend to focus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If the prevalence of such diseases is smaller than we have projected, then, even if our products are approved, we may not be able to successfully commercialize them.</w:t>
      </w:r>
    </w:p>
    <w:p>
      <w:pPr>
        <w:spacing w:after="0" w:line="281"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62"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16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target patient populations in orphan and niche indications, where we intend to selectively develop and commercialize products independently, are relatively small. In order for therapies that are designed to treat smaller 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37" w:name="page38"/>
    <w:bookmarkEnd w:id="37"/>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8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PPACA, was enacted in 2010 and includes measures that have significantly changed, or will significantly change, the way healthcare is financed by both governmental and private insurers. Among the provisions of PPACA of importance to the pharmaceutical industry are the following:</w:t>
      </w:r>
    </w:p>
    <w:p>
      <w:pPr>
        <w:spacing w:after="0" w:line="57" w:lineRule="exact"/>
        <w:rPr>
          <w:sz w:val="20"/>
          <w:szCs w:val="20"/>
          <w:color w:val="auto"/>
        </w:rPr>
      </w:pPr>
    </w:p>
    <w:p>
      <w:pPr>
        <w:ind w:left="1040" w:right="240" w:hanging="519"/>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3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 and 13% of the average manufacturer price for branded and generic drugs, respectively;</w:t>
      </w:r>
    </w:p>
    <w:p>
      <w:pPr>
        <w:spacing w:after="0" w:line="62"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40" w:right="240" w:hanging="519"/>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right="20" w:hanging="519"/>
        <w:spacing w:after="0" w:line="25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requirements under the federal Open Payments program, created under Section 6002 of the PPACA and its implementing regulations that manufacturers of drugs, devices, biologics and medical supplies for which payment is available under Medicare, Medicaid or the Children’s Health Insurance Program (with certain exceptions) report annually to the U.S. Department of Health and Human Services, or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by the 90th day of each subsequent calendar year, and disclosure of such information made on a publicly available website starting September 2014;</w:t>
      </w:r>
    </w:p>
    <w:p>
      <w:pPr>
        <w:spacing w:after="0" w:line="89"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effective in 2012;</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has authority to recommend certain changes to the Medicare program that could result in reduced payments for prescription drugs and those recommendations could have the effect of law even if Congress does not act on the recommendations; and</w:t>
      </w:r>
    </w:p>
    <w:p>
      <w:pPr>
        <w:spacing w:after="0" w:line="73"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 that began, in 2011.</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38" w:name="page39"/>
    <w:bookmarkEnd w:id="38"/>
    <w:p>
      <w:pPr>
        <w:ind w:firstLine="518"/>
        <w:spacing w:after="0" w:line="255"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Glybera and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Glybera and any future products profitably.</w:t>
      </w:r>
    </w:p>
    <w:p>
      <w:pPr>
        <w:spacing w:after="0" w:line="18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most foreign countries, particularly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are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firstLine="259"/>
        <w:spacing w:after="0" w:line="381" w:lineRule="auto"/>
        <w:rPr>
          <w:sz w:val="20"/>
          <w:szCs w:val="20"/>
          <w:color w:val="auto"/>
        </w:rPr>
      </w:pPr>
      <w:r>
        <w:rPr>
          <w:rFonts w:ascii="Arial" w:cs="Arial" w:eastAsia="Arial" w:hAnsi="Arial"/>
          <w:sz w:val="15"/>
          <w:szCs w:val="15"/>
          <w:b w:val="1"/>
          <w:bCs w:val="1"/>
          <w:i w:val="1"/>
          <w:iCs w:val="1"/>
          <w:color w:val="auto"/>
        </w:rPr>
        <w:t>We depend on our collaborative relationship with Teva to further develop and commercialize TV-45070, and if our relationship is not successful or is terminated, we may not be able to effectively develop and/or commercialize TV-45070, which would have a material adverse effect on our business.</w:t>
      </w:r>
    </w:p>
    <w:p>
      <w:pPr>
        <w:spacing w:after="0" w:line="10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depend on Teva to collaborate with us to develop and globally commercialize TV-45070. Under the agreement, Teva controls all decision-making with respect to the clinical development and commercialization for TV-45070.</w:t>
      </w:r>
    </w:p>
    <w:p>
      <w:pPr>
        <w:spacing w:after="0" w:line="17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As a result of our dependence on Teva, the eventual success or commercial viability of TV-45070 is largely beyond our control. The financial returns to us, if any, depend in large part on the achievement of development and commercialization milestones, plus a share of any revenue from sales. Therefore, our success, and any associated financial returns to us and our investors, will depend in large part on Teva’s performance under the agreement. We are subject to a number of additional specific risks associated with our dependence on our collaborative relationship with Teva, including:</w:t>
      </w:r>
    </w:p>
    <w:p>
      <w:pPr>
        <w:spacing w:after="0" w:line="46"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decisions by Teva or the Joint Development Committee regarding the development and commercialization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possible disagreements as to the timing, nature and extent of our development plans, including clinical trials or regulatory approval strategy;</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significant rights if we fail to meet our obligations under the agreement;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9" w:name="page40"/>
    <w:bookmarkEnd w:id="39"/>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limited control over clinical trials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key management personnel at Teva, including in members of the Joint Development Committee;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possible disagreements with Teva regarding the agreement, for example, with regard to ownership of intellectual property rights.</w:t>
      </w:r>
    </w:p>
    <w:p>
      <w:pPr>
        <w:spacing w:after="0" w:line="225"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If either we or Teva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24"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Decisions by Teva to emphasize other drug candidates currently in its portfolio ahead of our product candidates, or to add competitive agents to its portfolio could result in a decision to terminate the agreement, in which event, among other things, we may be responsible for paying any remaining costs of all ongoing or future clinical trials.</w:t>
      </w:r>
    </w:p>
    <w:p>
      <w:pPr>
        <w:spacing w:after="0" w:line="18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In addition, Teva’s executive offices and a substantial percentage of their manufacturing capabilities are located in Israel. Teva’s Israeli operations are dependent upon materials imported from outside Israel, and Teva also exports significant amounts of products from Israel. Accordingly, our collaboration with Teva could be materially and adversely affected by acts of terrorism or if major hostilities were to occur in the Middle East or trade between Israel and its present trading partners were curtailed, including as a result of acts of terrorism in the U.S. or elsewhere.</w:t>
      </w:r>
    </w:p>
    <w:p>
      <w:pPr>
        <w:spacing w:after="0" w:line="17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Any of the above discussed scenarios could adversely affect the timing and extent of our development and commercialization activities, which could cause significant delays and funding shortfalls for those activities and seriously harm our business.</w:t>
      </w:r>
    </w:p>
    <w:p>
      <w:pPr>
        <w:spacing w:after="0" w:line="279"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have no control over the resources, time and effort that our collaborators may devote to our programs and limited access to information regarding or resulting from such programs. We are dependent on uniQure, and its licensee Chiesi to successfully commercialize Glybera and on Teva, Genentech, and Merck to fund and conduct the research and any clinical development of product candidates under our collaboration with each of them, and for the successful regulatory approval, marketing and commercialization of one or more of such products or product candidates. Such success will be subject to significant uncertainty.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recognize revenue from successful collaborations may be impaired by multiple factors including:</w:t>
      </w:r>
    </w:p>
    <w:p>
      <w:pPr>
        <w:spacing w:after="0" w:line="117" w:lineRule="exact"/>
        <w:rPr>
          <w:sz w:val="20"/>
          <w:szCs w:val="20"/>
          <w:color w:val="auto"/>
        </w:rPr>
      </w:pPr>
    </w:p>
    <w:p>
      <w:pPr>
        <w:ind w:left="10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shift its priorities and resources away from our programs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cease development in therapeutic areas which are the subject of our strategic alliances;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change the success criteria for a particular program or product candidate thereby delaying or ceasing development of such program or candidate;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collaborator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could develop a product that competes, either directly or indirectly, with our current or future products, if any;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may exercise its rights under the agreement to terminate our collaboration;</w:t>
      </w:r>
    </w:p>
    <w:p>
      <w:pPr>
        <w:spacing w:after="0" w:line="117" w:lineRule="exact"/>
        <w:rPr>
          <w:rFonts w:ascii="Arial" w:cs="Arial" w:eastAsia="Arial" w:hAnsi="Arial"/>
          <w:sz w:val="18"/>
          <w:szCs w:val="18"/>
          <w:color w:val="auto"/>
        </w:rPr>
      </w:pPr>
    </w:p>
    <w:p>
      <w:pPr>
        <w:ind w:left="1040" w:right="60" w:hanging="519"/>
        <w:spacing w:after="0" w:line="286"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0" w:name="page41"/>
    <w:bookmarkEnd w:id="40"/>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may not adequately protect the intellectual property rights associated with a product or product candidate;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may use our proprietary information or intellectual property in such a way as to invite litigation from a third party.</w:t>
      </w:r>
    </w:p>
    <w:p>
      <w:pPr>
        <w:spacing w:after="0" w:line="22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8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7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cash expenditures related to development of our product candidates would increase significantly and we may need to seek additional financing sooner than expected;</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competitiveness of any product that is commercialized could be reduced.</w:t>
      </w:r>
    </w:p>
    <w:p>
      <w:pPr>
        <w:spacing w:after="0" w:line="333" w:lineRule="exact"/>
        <w:rPr>
          <w:sz w:val="20"/>
          <w:szCs w:val="20"/>
          <w:color w:val="auto"/>
        </w:rPr>
      </w:pPr>
    </w:p>
    <w:p>
      <w:pPr>
        <w:ind w:right="520" w:firstLine="259"/>
        <w:spacing w:after="0" w:line="375" w:lineRule="auto"/>
        <w:rPr>
          <w:sz w:val="20"/>
          <w:szCs w:val="20"/>
          <w:color w:val="auto"/>
        </w:rPr>
      </w:pPr>
      <w:r>
        <w:rPr>
          <w:rFonts w:ascii="Arial" w:cs="Arial" w:eastAsia="Arial" w:hAnsi="Arial"/>
          <w:sz w:val="15"/>
          <w:szCs w:val="15"/>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do not currently own or operate any manufacturing facilities nor do we have any in-house manufacturing experience or personnel. We rely on our collaborators to manufacture product candidates licensed to them or work with multiple third party contract manufacturers to produce sufficient quantities of materials required for the 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41" w:name="page42"/>
    <w:bookmarkEnd w:id="41"/>
    <w:p>
      <w:pPr>
        <w:ind w:right="60" w:firstLine="518"/>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27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80"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17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9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7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and our CROs are required to comply with cGCP regulations and guidelines enforced by the FDA, the competent authorities of the member states of the European Economic Area and comparable foreign regulatory authorities for products in clinical development. Regulatory authorities enforce these cGCP regulations through periodic inspections of clinical trial sponsors, principal investigators and clinical trial sites. If we or any of our CROs fail to comply with applicable cGCP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cGCP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9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2" w:name="page43"/>
    <w:bookmarkEnd w:id="42"/>
    <w:p>
      <w:pPr>
        <w:ind w:firstLine="518"/>
        <w:spacing w:after="0" w:line="259" w:lineRule="auto"/>
        <w:rPr>
          <w:sz w:val="20"/>
          <w:szCs w:val="20"/>
          <w:color w:val="auto"/>
        </w:rPr>
      </w:pPr>
      <w:r>
        <w:rPr>
          <w:rFonts w:ascii="Arial" w:cs="Arial" w:eastAsia="Arial" w:hAnsi="Arial"/>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could be unsuccessful in obtaining or maintaining adequate patent protection for one or more of our products or product candidates.</w:t>
      </w:r>
    </w:p>
    <w:p>
      <w:pPr>
        <w:spacing w:after="0" w:line="1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7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examples are illustrative:</w:t>
      </w:r>
    </w:p>
    <w:p>
      <w:pPr>
        <w:spacing w:after="0" w:line="117" w:lineRule="exact"/>
        <w:rPr>
          <w:sz w:val="20"/>
          <w:szCs w:val="20"/>
          <w:color w:val="auto"/>
        </w:rPr>
      </w:pPr>
    </w:p>
    <w:p>
      <w:pPr>
        <w:ind w:left="1040" w:right="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3"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 w:name="page44"/>
    <w:bookmarkEnd w:id="43"/>
    <w:p>
      <w:pPr>
        <w:ind w:left="1040" w:right="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19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4" w:name="page45"/>
    <w:bookmarkEnd w:id="44"/>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Currently, some of these rights relating to the patent portfolios for Glybera, TV-45070, GDC-0276 and GDC-0310, and some of our earlier stage product candidates are held by our collaborators.</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96"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93"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shares.</w:t>
      </w:r>
    </w:p>
    <w:p>
      <w:pPr>
        <w:spacing w:after="0" w:line="281"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5" w:name="page46"/>
    <w:bookmarkEnd w:id="45"/>
    <w:p>
      <w:pPr>
        <w:ind w:right="100" w:firstLine="518"/>
        <w:spacing w:after="0" w:line="269" w:lineRule="auto"/>
        <w:rPr>
          <w:sz w:val="20"/>
          <w:szCs w:val="20"/>
          <w:color w:val="auto"/>
        </w:rPr>
      </w:pPr>
      <w:r>
        <w:rPr>
          <w:rFonts w:ascii="Arial" w:cs="Arial" w:eastAsia="Arial" w:hAnsi="Arial"/>
          <w:sz w:val="17"/>
          <w:szCs w:val="17"/>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8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5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83"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6" w:name="page47"/>
    <w:bookmarkEnd w:id="46"/>
    <w:p>
      <w:pPr>
        <w:ind w:right="40" w:firstLine="518"/>
        <w:spacing w:after="0" w:line="257" w:lineRule="auto"/>
        <w:rPr>
          <w:sz w:val="20"/>
          <w:szCs w:val="20"/>
          <w:color w:val="auto"/>
        </w:rPr>
      </w:pPr>
      <w:r>
        <w:rPr>
          <w:rFonts w:ascii="Arial" w:cs="Arial" w:eastAsia="Arial" w:hAnsi="Arial"/>
          <w:sz w:val="18"/>
          <w:szCs w:val="18"/>
          <w:color w:val="auto"/>
        </w:rPr>
        <w:t>If Teva, uniQure, Genentech or Merck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296" w:lineRule="exact"/>
        <w:rPr>
          <w:sz w:val="20"/>
          <w:szCs w:val="20"/>
          <w:color w:val="auto"/>
        </w:rPr>
      </w:pPr>
    </w:p>
    <w:p>
      <w:pPr>
        <w:ind w:right="800" w:firstLine="259"/>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patent portfolio for Glybera is in-licensed from UBC. Under our existing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296"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Extreme Genetics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280"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reform legislation and recent court decisions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including provisions that affect the way patent applications will be prosecuted and may also affect patent litigation. The USPTO has and continues to develop and implement regulations and procedures to govern administration of the Leahy-Smith Act, and many of the substantive changes to patent law associated with the Leahy-Smith Act. The full effect of these changes are currently unclear as the USPTO has not yet adopted all pertinent final rules and regulations, the courts have yet to address these provisions and the applicability of the Leahy-Smith Act and new regulations on specific patents, including our patents discussed herein, have not been determined and would need to be reviewed. Accordingly, it is not yet clear what, if any, impact the Leahy-Smith Act will have on the operation of our business. As a result, the Leahy-Smith Act and its implementation could increase the uncertainties and costs surrounding the prosecution of patent applications and the enforcement or defense of issued patents, all of which could have a material adverse effect on our business and financial condition. On June 13, 2013, the U.S. Supreme Court decision in Association for Molecular Pathology v. Myriad Genetics, Inc., held that isolated DNA sequences are not patentable. In December 2014, the USPTO issued its Interim Guidance on Patent Subject Matter Eligibility, in which it extended Myriad's "marked difference" standard for patent subject matter eligibility to all potential natural products. This standard applies to patent claims that recite not only nucleic acids (such as DNA in Myriad), but also other subject matter that could be considered a natural product, such as peptides, proteins, extracts, organisms, antibodies, chemicals, and minerals. As a consequence of the Myriad decision and the USPTO’s Interim Guidance, if any of our future product candidates utilize isolated DNA, peptides, proteins or the like, we will not be able to obtain patents in the U.S. claiming such novel gene targets that we discover, which could limit our ability to prevent third parties from developing drugs directed against such targets.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7" w:name="page48"/>
    <w:bookmarkEnd w:id="47"/>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5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8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b w:val="1"/>
          <w:bCs w:val="1"/>
          <w:i w:val="1"/>
          <w:iCs w:val="1"/>
          <w:color w:val="auto"/>
        </w:rPr>
        <w:t>We have not registered our corporate name as a trademark in all of our potential markets, and failure to secure those registrations could adversely affect our business.</w:t>
      </w:r>
    </w:p>
    <w:p>
      <w:pPr>
        <w:spacing w:after="0" w:line="6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7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and any future products.</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71"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48" w:name="page49"/>
    <w:bookmarkEnd w:id="48"/>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common share price.</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currently carry product liability insurance of $5,000,000 per occurrence and $10,000,000 aggregate limit. We believe our product liability insurance coverage is appropriate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common share price to decline and, if judgments exceed our insurance coverage, could adversely affect our future results of operations and business.</w:t>
      </w:r>
    </w:p>
    <w:p>
      <w:pPr>
        <w:spacing w:after="0" w:line="167"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Patients with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305"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b w:val="1"/>
          <w:bCs w:val="1"/>
          <w:i w:val="1"/>
          <w:iCs w:val="1"/>
          <w:color w:val="auto"/>
        </w:rPr>
        <w:t>Our current and future relationships with customers and third-party payers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Healthcare providers, physicians and third-party payers in the U.S. and elsewhere play a primary role in the recommendation and prescription of any product candidates for which we obtain marketing approval. Our future arrangements with third-party payers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81" w:lineRule="exact"/>
        <w:rPr>
          <w:sz w:val="20"/>
          <w:szCs w:val="20"/>
          <w:color w:val="auto"/>
        </w:rPr>
      </w:pPr>
    </w:p>
    <w:p>
      <w:pPr>
        <w:ind w:left="1040" w:right="100" w:hanging="519"/>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ind w:left="1040" w:right="20" w:hanging="519"/>
        <w:spacing w:after="0" w:line="302" w:lineRule="auto"/>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which impose criminal and civil penalties, including civil whistleblower or qui tam actions, against individuals or entities for knowingly presenting, or causing to be presented, to the federal government, including the Medicare and Medicaid programs, or other third party payers claims for payment that are false or fraudulent or making a false statement to avoid, decrease or conceal an obligation to pay money to the federal government;</w:t>
      </w:r>
    </w:p>
    <w:p>
      <w:pPr>
        <w:spacing w:after="0" w:line="46" w:lineRule="exact"/>
        <w:rPr>
          <w:rFonts w:ascii="Arial" w:cs="Arial" w:eastAsia="Arial" w:hAnsi="Arial"/>
          <w:sz w:val="16"/>
          <w:szCs w:val="16"/>
          <w:color w:val="auto"/>
        </w:rPr>
      </w:pPr>
    </w:p>
    <w:p>
      <w:pPr>
        <w:ind w:left="1040" w:right="70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240" w:hanging="519"/>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their behalf, with respect to safeguarding the privacy, security and transmission of individually identifiable health information;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49" w:name="page50"/>
    <w:bookmarkEnd w:id="49"/>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Open Payments program; and</w:t>
      </w:r>
    </w:p>
    <w:p>
      <w:pPr>
        <w:spacing w:after="0" w:line="117" w:lineRule="exact"/>
        <w:rPr>
          <w:rFonts w:ascii="Arial" w:cs="Arial" w:eastAsia="Arial" w:hAnsi="Arial"/>
          <w:sz w:val="18"/>
          <w:szCs w:val="18"/>
          <w:color w:val="auto"/>
        </w:rPr>
      </w:pPr>
    </w:p>
    <w:p>
      <w:pPr>
        <w:ind w:left="1040" w:right="60" w:hanging="519"/>
        <w:spacing w:after="0" w:line="271"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179"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74"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27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Although we carry insurance for earthquakes and other natural disasters, we may not carry sufficient business interruption insurance to compensate us for all losses that may occur. The disaster recovery and business continuity plans we have in place currently are limited and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forgoing could have a material adverse effect on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common share price may be volatile, and purchasers of our common shares could incur substantial losses.</w:t>
      </w:r>
    </w:p>
    <w:p>
      <w:pPr>
        <w:spacing w:after="0" w:line="117"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Our common share price has fluctuated in the past and is likely to be volatile in the future. As a result of this volatility, investors may experience losses on their investment in our common shares. The market price for our common shares may be influenced by many factors, including the following:</w:t>
      </w:r>
    </w:p>
    <w:p>
      <w:pPr>
        <w:spacing w:after="0" w:line="38" w:lineRule="exact"/>
        <w:rPr>
          <w:sz w:val="20"/>
          <w:szCs w:val="20"/>
          <w:color w:val="auto"/>
        </w:rPr>
      </w:pPr>
    </w:p>
    <w:p>
      <w:pPr>
        <w:ind w:left="1040" w:right="56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actions by any of our collaborators regarding our product candidates they are developing, including announcements regarding clinical or regulatory decisions or developments or our collaboration;</w:t>
      </w:r>
    </w:p>
    <w:p>
      <w:pPr>
        <w:spacing w:after="0" w:line="62" w:lineRule="exact"/>
        <w:rPr>
          <w:rFonts w:ascii="Arial" w:cs="Arial" w:eastAsia="Arial" w:hAnsi="Arial"/>
          <w:sz w:val="18"/>
          <w:szCs w:val="18"/>
          <w:color w:val="auto"/>
        </w:rPr>
      </w:pPr>
    </w:p>
    <w:p>
      <w:pPr>
        <w:ind w:left="1040" w:right="800" w:hanging="519"/>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products and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obtain or delays in obtaining or maintaining product approvals or clearances from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regulatory or reimbursement announcements;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Canada, the U.S.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commercialize our future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quarterly variations in our financial results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 to the composition of the board of directors or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common shares by us or our shareholders in the future, as well as the overall trading volume of our common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040" w:right="140" w:hanging="519"/>
        <w:spacing w:after="0" w:line="34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addition, the stock market in general, and NASDAQ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b w:val="1"/>
          <w:bCs w:val="1"/>
          <w:i w:val="1"/>
          <w:iCs w:val="1"/>
          <w:color w:val="auto"/>
        </w:rPr>
        <w:t>Future sales of our common shares in the public market could cause our common share price to fall.</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common share price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Certain holders of our common shares are party to our amended and restated investor rights agreement, as amended, and have rights, subject to some conditions, to require us to file registration statements covering the sale of their common shares or to include their common shares in registration statements that we may file for ourselves or other shareholders. We also register the offer and sale of all common shares that we may issue under our equity compensation plans.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our common share price to decline.</w:t>
      </w:r>
    </w:p>
    <w:p>
      <w:pPr>
        <w:spacing w:after="0" w:line="28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73"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Provisions in our articles and our by-laws,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70" w:lineRule="exact"/>
        <w:rPr>
          <w:sz w:val="20"/>
          <w:szCs w:val="20"/>
          <w:color w:val="auto"/>
        </w:rPr>
      </w:pPr>
    </w:p>
    <w:p>
      <w:pPr>
        <w:ind w:left="1040" w:right="8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shareholders cannot amend our articles unless such amendment is approved by shareholders holding at least two-thirds of the shares entitled to vote on such approval;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board of directors may, without shareholder approval, issue preferred shares having any terms, conditions, rights, preferences and privileges as the board of directors may determine;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to submit proposals for consideration at shareholders’ meetings.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civil liabilities may not be enforceable against us, our directors, or our officers</w:t>
      </w:r>
    </w:p>
    <w:p>
      <w:pPr>
        <w:spacing w:after="0" w:line="117"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We are governed by the CBCA and our principal place of business is in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such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2" w:name="page53"/>
    <w:bookmarkEnd w:id="52"/>
    <w:p>
      <w:pPr>
        <w:ind w:right="220" w:firstLine="259"/>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of Canada which in some cases have a different effect on shareholders than the corporate laws of Delaware, U.S.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common shares can requisition a special meeting of shareholders, whereas such right does not exist under the DGCL.</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 active trading market for our common shares may not be maintained.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common shares are currently traded on NASDAQ, but we can provide no assurance that we will be able to maintain an active trading market on NASDAQ or any other exchange in the future. If an active market for our common shares is not maintained, it may be difficult for our shareholders to sell the common shares they have purchased without depressing the market price for the common shares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296"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73"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As a public company, and particularly after we cease to be an “emerging growth company,” we will incur significant legal, accounting and other expenses.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We anticipate that we may need to hire additional accounting and financial staff with appropriate public company experience and technical accounting knowledge to address the added burdens of operating as a public company. Our management and other personnel have and will continue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these rules and regulations make it difficult and expensive for us to maintain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8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3" w:name="page54"/>
    <w:bookmarkEnd w:id="53"/>
    <w:p>
      <w:pPr>
        <w:ind w:right="140" w:firstLine="518"/>
        <w:spacing w:after="0" w:line="257"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96"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our initial public offering, although, if we have more than $1.0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our common share price may be more volatile.</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an “emerging growth company,” the JOBS Act allows us to delay adoption of new or revised accounting pronouncements applicable to public companies until such pronouncements are made applicable to private companies. However, we previously decided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6"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right="280" w:firstLine="518"/>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shares.</w:t>
      </w:r>
    </w:p>
    <w:p>
      <w:pPr>
        <w:spacing w:after="0" w:line="178"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In addition, our management did not perform an evaluation of our internal control over financial reporting as of December 31, 2014 or December 31, 2013 and our independent registered public accounting firm did not perform an evaluation of our internal control over financial reporting during any period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4" w:name="page55"/>
    <w:bookmarkEnd w:id="54"/>
    <w:p>
      <w:pPr>
        <w:ind w:firstLine="25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shares or rights to purchase common shares, including pursuant to our equity incentive plans, could cause you to incur dilution and could cause our common share price to fall.</w:t>
      </w:r>
    </w:p>
    <w:p>
      <w:pPr>
        <w:spacing w:after="0" w:line="62"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As of September 30, 2016, options to purchase 1,958,953 of our common shares with a weighted-average exercise price of $7.26 per common share were outstanding. The exercise of any of these options would result in dilution to current shareholders. Further, because we will need to raise additional capital to fund our clinical development programs, we may in the future sell substantial amounts of common shares or securities convertible into or exchangeable for common shares. Pursuant to our equity incentive plans, our compensation committee (or a subset thereof) is authorized to grant equity-based incentive awards to our employees, directors and consultants. Future option grants and issuances of common shares under our share-based compensation plans may have an adverse effect on the market price of our common shares.</w:t>
      </w:r>
    </w:p>
    <w:p>
      <w:pPr>
        <w:spacing w:after="0" w:line="17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These future issuances of common shares or common share-related securities, together with the exercise of outstanding options and any additional common shares issued in connection with acquisitions, if any, may result in further dilution to our existing shareholders, and new investors could gain rights, preferences and privileges senior to those of holders of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74"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6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common shares are listed on NASDAQ under the trading symbol “XENE.” Our securities may fail to meet the continued listing requirements to be listed on NASDAQ. If NASDAQ delists our common shares from trading on its exchange, we could face significant material adverse consequences, including:</w:t>
      </w:r>
    </w:p>
    <w:p>
      <w:pPr>
        <w:spacing w:after="0" w:line="73"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significant impairment of the liquidity for our common shares, which may substantially decrease the trading price of our common shares;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determination that our common shares qualify as a “penny stock” which will require brokers trading in our common shares to adhere to more stringent rules and possibly resulting in a reduced level of trading activity in the secondary trading market for our common shares;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our common share price and trading volume could decline.</w:t>
      </w:r>
    </w:p>
    <w:p>
      <w:pPr>
        <w:spacing w:after="0" w:line="62"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 trading market for our common shares is influenced by the research and reports that securities or industry analysts publish about us or our business. If too few securities or industry analysts cover our company, the trading price for our common shares would likely be negatively impacted. If securities and industry analysts who cover us downgrade our common shares or publish inaccurate or unfavorable research about our business, our common share price would likely decline. If one or more of these analysts cease coverage of our company or fail to publish reports on us regularly, demand for our common shares could decrease, which might cause our common share price and trading volume to decline.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5" w:name="page56"/>
    <w:bookmarkEnd w:id="55"/>
    <w:p>
      <w:pPr>
        <w:ind w:right="360" w:firstLine="259"/>
        <w:spacing w:after="0" w:line="375" w:lineRule="auto"/>
        <w:rPr>
          <w:sz w:val="20"/>
          <w:szCs w:val="20"/>
          <w:color w:val="auto"/>
        </w:rPr>
      </w:pPr>
      <w:r>
        <w:rPr>
          <w:rFonts w:ascii="Arial" w:cs="Arial" w:eastAsia="Arial" w:hAnsi="Arial"/>
          <w:sz w:val="15"/>
          <w:szCs w:val="15"/>
          <w:b w:val="1"/>
          <w:bCs w:val="1"/>
          <w:i w:val="1"/>
          <w:iCs w:val="1"/>
          <w:color w:val="auto"/>
        </w:rPr>
        <w:t>Our management team has broad discretion as to the use of the net proceeds from our September 2016 public offering of common shares and the investment of these proceeds may not yield a favorable return. We may invest the proceeds in ways with which our shareholders disagree.</w:t>
      </w:r>
    </w:p>
    <w:p>
      <w:pPr>
        <w:spacing w:after="0" w:line="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have broad discretion in the application of the net proceeds to us from our September 2016 public offering of common shares. You may not agree with our decisions, and our use of the proceeds and our existing cash and cash equivalents and marketable securities may not improve our results of operation or enhance the value of our common shares. The results and effectiveness of the use of proceeds are uncertain, and we could spend the proceeds in ways that you do not agree with or that do not improve our results of operations or enhance the value of our common shares. Our failure to apply these funds effectively could have a material adverse effect on our business, delay the development of our product candidates and cause the price of our common shares to decline. In addition, until the net proceeds are used, they may be placed in investments that do not produce significant income or that may lose value.</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anticipate paying any cash dividends on our common shares in the foreseeable future.</w:t>
      </w:r>
    </w:p>
    <w:p>
      <w:pPr>
        <w:spacing w:after="0" w:line="117"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0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160" w:hanging="1032"/>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September 30, 2016, formatted in XBRL: (i) Statements of Cash Flows, (ii) Statements of Operations and Comprehensive Loss, (iii) Balance Sheets, and (iv) Notes to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09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83" w:lineRule="exact"/>
        <w:rPr>
          <w:sz w:val="20"/>
          <w:szCs w:val="20"/>
          <w:color w:val="auto"/>
        </w:rPr>
      </w:pPr>
    </w:p>
    <w:p>
      <w:pPr>
        <w:ind w:left="520" w:right="40" w:hanging="512"/>
        <w:spacing w:after="0" w:line="259"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Simon Pimstone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Chief Financial Officer, Chief Operating Officer and Corporate Secretary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0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160" w:hanging="1032"/>
        <w:spacing w:after="0" w:line="264"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September 30, 2016, formatted in XBRL: (i) Statements of Cash Flows, (ii) Statements of Operations and Comprehensive Loss, (iii) Balance Sheets, and (iv) Notes to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090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83" w:lineRule="exact"/>
        <w:rPr>
          <w:sz w:val="20"/>
          <w:szCs w:val="20"/>
          <w:color w:val="auto"/>
        </w:rPr>
      </w:pPr>
    </w:p>
    <w:p>
      <w:pPr>
        <w:ind w:left="520" w:right="40" w:hanging="512"/>
        <w:spacing w:after="0" w:line="259"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Pimstone, certify that:</w:t>
      </w:r>
    </w:p>
    <w:p>
      <w:pPr>
        <w:spacing w:after="0" w:line="225"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420" w:right="1220" w:hanging="412"/>
        <w:spacing w:after="0" w:line="264"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20" w:right="1280" w:hanging="412"/>
        <w:spacing w:after="0" w:line="342"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1300" w:hanging="412"/>
        <w:spacing w:after="0" w:line="277"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40" w:right="1180" w:hanging="413"/>
        <w:spacing w:after="0" w:line="286" w:lineRule="auto"/>
        <w:tabs>
          <w:tab w:leader="none" w:pos="8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1040" w:hanging="413"/>
        <w:spacing w:after="0" w:line="264" w:lineRule="auto"/>
        <w:tabs>
          <w:tab w:leader="none" w:pos="8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40" w:right="1140" w:hanging="413"/>
        <w:spacing w:after="0" w:line="264" w:lineRule="auto"/>
        <w:tabs>
          <w:tab w:leader="none" w:pos="8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840" w:right="1240" w:hanging="413"/>
        <w:spacing w:after="0" w:line="286" w:lineRule="auto"/>
        <w:tabs>
          <w:tab w:leader="none" w:pos="8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1200" w:hanging="412"/>
        <w:spacing w:after="0" w:line="264"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40" w:right="1080" w:hanging="413"/>
        <w:spacing w:after="0" w:line="342" w:lineRule="auto"/>
        <w:tabs>
          <w:tab w:leader="none" w:pos="8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380" w:hanging="413"/>
        <w:spacing w:after="0" w:line="277" w:lineRule="auto"/>
        <w:tabs>
          <w:tab w:leader="none" w:pos="8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00" w:lineRule="exact"/>
        <w:rPr>
          <w:sz w:val="20"/>
          <w:szCs w:val="20"/>
          <w:color w:val="auto"/>
        </w:rPr>
      </w:pPr>
    </w:p>
    <w:p>
      <w:pPr>
        <w:spacing w:after="0" w:line="241" w:lineRule="exact"/>
        <w:rPr>
          <w:sz w:val="20"/>
          <w:szCs w:val="20"/>
          <w:color w:val="auto"/>
        </w:rPr>
      </w:pPr>
    </w:p>
    <w:p>
      <w:pPr>
        <w:ind w:left="1400"/>
        <w:spacing w:after="0"/>
        <w:rPr>
          <w:sz w:val="20"/>
          <w:szCs w:val="20"/>
          <w:color w:val="auto"/>
        </w:rPr>
      </w:pPr>
      <w:r>
        <w:rPr>
          <w:rFonts w:ascii="Arial" w:cs="Arial" w:eastAsia="Arial" w:hAnsi="Arial"/>
          <w:sz w:val="18"/>
          <w:szCs w:val="18"/>
          <w:i w:val="1"/>
          <w:iCs w:val="1"/>
          <w:color w:val="auto"/>
        </w:rPr>
        <w:t>/s/ Simon Pimstone</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jc w:val="center"/>
        <w:ind w:right="72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right="7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Mortimer, certify that:</w:t>
      </w:r>
    </w:p>
    <w:p>
      <w:pPr>
        <w:spacing w:after="0" w:line="225"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420" w:right="1220" w:hanging="412"/>
        <w:spacing w:after="0" w:line="264"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20" w:right="1280" w:hanging="412"/>
        <w:spacing w:after="0" w:line="342" w:lineRule="auto"/>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1300" w:hanging="412"/>
        <w:spacing w:after="0" w:line="277"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40" w:right="1180" w:hanging="413"/>
        <w:spacing w:after="0" w:line="286" w:lineRule="auto"/>
        <w:tabs>
          <w:tab w:leader="none" w:pos="8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1040" w:hanging="413"/>
        <w:spacing w:after="0" w:line="264" w:lineRule="auto"/>
        <w:tabs>
          <w:tab w:leader="none" w:pos="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40" w:right="1140" w:hanging="413"/>
        <w:spacing w:after="0" w:line="264" w:lineRule="auto"/>
        <w:tabs>
          <w:tab w:leader="none" w:pos="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840" w:right="1240" w:hanging="413"/>
        <w:spacing w:after="0" w:line="286" w:lineRule="auto"/>
        <w:tabs>
          <w:tab w:leader="none" w:pos="8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1200" w:hanging="412"/>
        <w:spacing w:after="0" w:line="264"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40" w:right="1080" w:hanging="413"/>
        <w:spacing w:after="0" w:line="342" w:lineRule="auto"/>
        <w:tabs>
          <w:tab w:leader="none" w:pos="8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380" w:hanging="413"/>
        <w:spacing w:after="0" w:line="277" w:lineRule="auto"/>
        <w:tabs>
          <w:tab w:leader="none" w:pos="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00" w:lineRule="exact"/>
        <w:rPr>
          <w:sz w:val="20"/>
          <w:szCs w:val="20"/>
          <w:color w:val="auto"/>
        </w:rPr>
      </w:pP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/s/ Ian Mortimer</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jc w:val="center"/>
        <w:ind w:right="7260"/>
        <w:spacing w:after="0"/>
        <w:rPr>
          <w:sz w:val="20"/>
          <w:szCs w:val="20"/>
          <w:color w:val="auto"/>
        </w:rPr>
      </w:pPr>
      <w:r>
        <w:rPr>
          <w:rFonts w:ascii="Arial" w:cs="Arial" w:eastAsia="Arial" w:hAnsi="Arial"/>
          <w:sz w:val="18"/>
          <w:szCs w:val="18"/>
          <w:i w:val="1"/>
          <w:iCs w:val="1"/>
          <w:color w:val="auto"/>
        </w:rPr>
        <w:t>Chief Financial Officer and Chief Operating Officer</w:t>
      </w:r>
    </w:p>
    <w:p>
      <w:pPr>
        <w:spacing w:after="0" w:line="9" w:lineRule="exact"/>
        <w:rPr>
          <w:sz w:val="20"/>
          <w:szCs w:val="20"/>
          <w:color w:val="auto"/>
        </w:rPr>
      </w:pPr>
    </w:p>
    <w:p>
      <w:pPr>
        <w:jc w:val="center"/>
        <w:ind w:right="72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September 30, 2016, as filed with the Securities and Exchange Commission on the date hereof (the “Report”), I, Simon Pimstone, President and Chief Executive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Officer) </w:t>
      </w:r>
      <w:r>
        <w:rPr>
          <w:rFonts w:ascii="Arial" w:cs="Arial" w:eastAsia="Arial" w:hAnsi="Arial"/>
          <w:sz w:val="18"/>
          <w:szCs w:val="18"/>
          <w:color w:val="auto"/>
        </w:rPr>
        <w:t>of the Company, certify, pursuant to 18 U.S.C. Section 1350, as adopted pursuant to Section 906 of the Sarbanes-Oxley Act of 2002, that to</w:t>
      </w:r>
      <w:r>
        <w:rPr>
          <w:rFonts w:ascii="Arial" w:cs="Arial" w:eastAsia="Arial" w:hAnsi="Arial"/>
          <w:sz w:val="18"/>
          <w:szCs w:val="18"/>
          <w:i w:val="1"/>
          <w:iCs w:val="1"/>
          <w:color w:val="auto"/>
        </w:rPr>
        <w:t xml:space="preserve"> </w:t>
      </w:r>
      <w:r>
        <w:rPr>
          <w:rFonts w:ascii="Arial" w:cs="Arial" w:eastAsia="Arial" w:hAnsi="Arial"/>
          <w:sz w:val="18"/>
          <w:szCs w:val="18"/>
          <w:color w:val="auto"/>
        </w:rPr>
        <w:t>my knowledge:</w:t>
      </w:r>
    </w:p>
    <w:p>
      <w:pPr>
        <w:spacing w:after="0" w:line="187" w:lineRule="exact"/>
        <w:rPr>
          <w:sz w:val="20"/>
          <w:szCs w:val="20"/>
          <w:color w:val="auto"/>
        </w:rPr>
      </w:pPr>
    </w:p>
    <w:p>
      <w:pPr>
        <w:ind w:left="840" w:hanging="413"/>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40" w:right="1180" w:hanging="413"/>
        <w:spacing w:after="0" w:line="277" w:lineRule="auto"/>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Simon Pimstone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September 30, 2016, as filed with the Securities and Exchange Commission on the date hereof (the “Report”), I, Ian Mortimer, Chief Financial Officer and Chief Operating Officer </w:t>
      </w:r>
      <w:r>
        <w:rPr>
          <w:rFonts w:ascii="Arial" w:cs="Arial" w:eastAsia="Arial" w:hAnsi="Arial"/>
          <w:sz w:val="18"/>
          <w:szCs w:val="18"/>
          <w:i w:val="1"/>
          <w:iCs w:val="1"/>
          <w:color w:val="auto"/>
        </w:rPr>
        <w:t xml:space="preserve">(Principal Financial and Accounting Officer) </w:t>
      </w:r>
      <w:r>
        <w:rPr>
          <w:rFonts w:ascii="Arial" w:cs="Arial" w:eastAsia="Arial" w:hAnsi="Arial"/>
          <w:sz w:val="18"/>
          <w:szCs w:val="18"/>
          <w:color w:val="auto"/>
        </w:rPr>
        <w:t>of the Company, certify, pursuant to 18 U.S.C. Section 1350, as adopted pursuant to Section 906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Sarbanes-Oxley Act of 2002, that to my knowledge:</w:t>
      </w:r>
    </w:p>
    <w:p>
      <w:pPr>
        <w:spacing w:after="0" w:line="187" w:lineRule="exact"/>
        <w:rPr>
          <w:sz w:val="20"/>
          <w:szCs w:val="20"/>
          <w:color w:val="auto"/>
        </w:rPr>
      </w:pPr>
    </w:p>
    <w:p>
      <w:pPr>
        <w:ind w:left="840" w:hanging="413"/>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40" w:right="1180" w:hanging="413"/>
        <w:spacing w:after="0" w:line="277" w:lineRule="auto"/>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Ian Mortimer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and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4"/>
    </w:lvl>
    <w:lvl w:ilvl="1">
      <w:lvlJc w:val="left"/>
      <w:lvlText w:val="•"/>
      <w:numFmt w:val="bullet"/>
      <w:start w:val="1"/>
    </w:lvl>
  </w:abstractNum>
  <w:abstractNum w:abstractNumId="5">
    <w:nsid w:val="1E7FF521"/>
    <w:multiLevelType w:val="hybridMultilevel"/>
    <w:lvl w:ilvl="0">
      <w:lvlJc w:val="left"/>
      <w:lvlText w:val="%1."/>
      <w:numFmt w:val="decimal"/>
      <w:start w:val="7"/>
    </w:lvl>
    <w:lvl w:ilvl="1">
      <w:lvlJc w:val="left"/>
      <w:lvlText w:val="(%2)"/>
      <w:numFmt w:val="lowerLetter"/>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8"/>
    </w:lvl>
  </w:abstractNum>
  <w:abstractNum w:abstractNumId="8">
    <w:nsid w:val="6CEAF087"/>
    <w:multiLevelType w:val="hybridMultilevel"/>
    <w:lvl w:ilvl="0">
      <w:lvlJc w:val="left"/>
      <w:lvlText w:val="%1."/>
      <w:numFmt w:val="decimal"/>
      <w:start w:val="9"/>
    </w:lvl>
    <w:lvl w:ilvl="1">
      <w:lvlJc w:val="left"/>
      <w:lvlText w:val="(%2)"/>
      <w:numFmt w:val="lowerLetter"/>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0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0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2019-12-29T09:42:26Z</dcterms:created>
  <dcterms:modified xsi:type="dcterms:W3CDTF">2019-12-29T09:42:26Z</dcterms:modified>
</cp:coreProperties>
</file>