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0" w:lineRule="exact"/>
        <w:rPr>
          <w:sz w:val="24"/>
          <w:szCs w:val="24"/>
          <w:color w:val="auto"/>
        </w:rPr>
      </w:pPr>
    </w:p>
    <w:p>
      <w:pPr>
        <w:jc w:val="center"/>
        <w:ind w:right="-59"/>
        <w:spacing w:after="0" w:line="368" w:lineRule="exact"/>
        <w:rPr>
          <w:sz w:val="20"/>
          <w:szCs w:val="20"/>
          <w:color w:val="auto"/>
        </w:rPr>
      </w:pPr>
      <w:r>
        <w:rPr>
          <w:rFonts w:ascii="Times New Roman" w:cs="Times New Roman" w:eastAsia="Times New Roman" w:hAnsi="Times New Roman"/>
          <w:sz w:val="32"/>
          <w:szCs w:val="32"/>
          <w:b w:val="1"/>
          <w:bCs w:val="1"/>
          <w:color w:val="auto"/>
        </w:rPr>
        <w:t>FORM 10</w:t>
      </w:r>
      <w:r>
        <w:rPr>
          <w:rFonts w:ascii="MS PGothic" w:cs="MS PGothic" w:eastAsia="MS PGothic" w:hAnsi="MS PGothic"/>
          <w:sz w:val="32"/>
          <w:szCs w:val="32"/>
          <w:color w:val="auto"/>
          <w:strike w:val="1"/>
        </w:rPr>
        <w:t>‑</w:t>
      </w:r>
      <w:r>
        <w:rPr>
          <w:rFonts w:ascii="Times New Roman" w:cs="Times New Roman" w:eastAsia="Times New Roman" w:hAnsi="Times New Roman"/>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5" w:lineRule="exact"/>
        <w:rPr>
          <w:sz w:val="24"/>
          <w:szCs w:val="24"/>
          <w:color w:val="auto"/>
        </w:rPr>
      </w:pPr>
    </w:p>
    <w:p>
      <w:pPr>
        <w:ind w:left="520" w:right="360" w:hanging="512"/>
        <w:spacing w:after="0" w:line="262"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40" w:hanging="512"/>
        <w:spacing w:after="0" w:line="262" w:lineRule="auto"/>
        <w:tabs>
          <w:tab w:leader="none" w:pos="5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-5080</wp:posOffset>
            </wp:positionV>
            <wp:extent cx="809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XENON PHARMACEUTICALS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619" w:right="279" w:bottom="1440" w:gutter="0" w:footer="0" w:header="0"/>
        </w:sectPr>
      </w:pPr>
    </w:p>
    <w:p>
      <w:pPr>
        <w:spacing w:after="0" w:line="25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98-0661854</w:t>
      </w:r>
    </w:p>
    <w:p>
      <w:pPr>
        <w:spacing w:after="0" w:line="24" w:lineRule="exact"/>
        <w:rPr>
          <w:sz w:val="24"/>
          <w:szCs w:val="24"/>
          <w:color w:val="auto"/>
        </w:rPr>
      </w:pPr>
    </w:p>
    <w:p>
      <w:pPr>
        <w:sectPr>
          <w:pgSz w:w="11900" w:h="16838" w:orient="portrait"/>
          <w:cols w:equalWidth="0" w:num="2">
            <w:col w:w="7480" w:space="720"/>
            <w:col w:w="3180"/>
          </w:cols>
          <w:pgMar w:left="240" w:top="619" w:right="27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80" w:lineRule="exact"/>
        <w:rPr>
          <w:sz w:val="24"/>
          <w:szCs w:val="24"/>
          <w:color w:val="auto"/>
        </w:rPr>
      </w:pPr>
    </w:p>
    <w:p>
      <w:pPr>
        <w:sectPr>
          <w:pgSz w:w="11900" w:h="16838" w:orient="portrait"/>
          <w:cols w:equalWidth="0" w:num="2">
            <w:col w:w="7200" w:space="720"/>
            <w:col w:w="3460"/>
          </w:cols>
          <w:pgMar w:left="240" w:top="619"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200-3650 Gilmore Way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Burnaby, British Columbia V5G 4W8</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(604) 484-3300</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619" w:right="279" w:bottom="1440" w:gutter="0" w:footer="0" w:header="0"/>
          <w:type w:val="continuous"/>
        </w:sectPr>
      </w:pPr>
    </w:p>
    <w:p>
      <w:pPr>
        <w:spacing w:after="0" w:line="233" w:lineRule="exact"/>
        <w:rPr>
          <w:sz w:val="24"/>
          <w:szCs w:val="24"/>
          <w:color w:val="auto"/>
        </w:rPr>
      </w:pPr>
    </w:p>
    <w:p>
      <w:pPr>
        <w:ind w:right="20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320" w:firstLine="51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619" w:right="279" w:bottom="1440" w:gutter="0" w:footer="0" w:header="0"/>
          <w:type w:val="continuous"/>
        </w:sectPr>
      </w:pP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620" w:space="520"/>
            <w:col w:w="5400" w:space="720"/>
            <w:col w:w="1840" w:space="720"/>
            <w:col w:w="560"/>
          </w:cols>
          <w:pgMar w:left="240" w:top="619" w:right="27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600"/>
            <w:col w:w="160" w:space="380"/>
            <w:col w:w="4860" w:space="720"/>
            <w:col w:w="1960" w:space="600"/>
            <w:col w:w="560"/>
          </w:cols>
          <w:pgMar w:left="240" w:top="619" w:right="279" w:bottom="1440" w:gutter="0" w:footer="0" w:header="0"/>
          <w:type w:val="continuous"/>
        </w:sectPr>
      </w:pPr>
    </w:p>
    <w:p>
      <w:pPr>
        <w:ind w:left="520"/>
        <w:spacing w:after="0" w:line="207" w:lineRule="exact"/>
        <w:tabs>
          <w:tab w:leader="none" w:pos="8860" w:val="left"/>
          <w:tab w:leader="none" w:pos="9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registrant’s common shares outstanding as of May 6, 2016 was 14,403,866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904875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19" w:right="27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 ENDED MARCH 31, 2016</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6800" w:type="dxa"/>
            <w:vAlign w:val="bottom"/>
            <w:gridSpan w:val="8"/>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440" w:type="dxa"/>
            <w:vAlign w:val="bottom"/>
          </w:tcPr>
          <w:p>
            <w:pPr>
              <w:spacing w:after="0"/>
              <w:rPr>
                <w:sz w:val="24"/>
                <w:szCs w:val="24"/>
                <w:color w:val="auto"/>
              </w:rPr>
            </w:pPr>
          </w:p>
        </w:tc>
        <w:tc>
          <w:tcPr>
            <w:tcW w:w="92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w:t>
              </w:r>
            </w:hyperlink>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Balance Sheets as of March 31, 2016 and December 31, 2015</w:t>
              </w:r>
            </w:hyperlink>
          </w:p>
        </w:tc>
        <w:tc>
          <w:tcPr>
            <w:tcW w:w="4420" w:type="dxa"/>
            <w:vAlign w:val="bottom"/>
            <w:gridSpan w:val="6"/>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Statements of Operations and Comprehensive Loss for the three months ended March 31, 2016 and 2015</w:t>
              </w:r>
            </w:hyperlink>
          </w:p>
        </w:tc>
        <w:tc>
          <w:tcPr>
            <w:tcW w:w="1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Statement of Shareholders’ Equity for the three months ended March 31, 2016</w:t>
              </w:r>
            </w:hyperlink>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60" w:type="dxa"/>
            <w:vAlign w:val="bottom"/>
            <w:gridSpan w:val="18"/>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Statements of Cash Flows for the three months ended March 31, 2016 and 2015</w:t>
              </w:r>
            </w:hyperlink>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Financial Statements</w:t>
              </w:r>
            </w:hyperlink>
          </w:p>
        </w:tc>
        <w:tc>
          <w:tcPr>
            <w:tcW w:w="3580" w:type="dxa"/>
            <w:vAlign w:val="bottom"/>
            <w:tcBorders>
              <w:top w:val="single" w:sz="8" w:color="0000EE"/>
            </w:tcBorders>
            <w:gridSpan w:val="4"/>
          </w:tcPr>
          <w:p>
            <w:pPr>
              <w:spacing w:after="0"/>
              <w:rPr>
                <w:sz w:val="24"/>
                <w:szCs w:val="24"/>
                <w:color w:val="auto"/>
              </w:rPr>
            </w:pPr>
          </w:p>
        </w:tc>
        <w:tc>
          <w:tcPr>
            <w:tcW w:w="3120" w:type="dxa"/>
            <w:vAlign w:val="bottom"/>
            <w:gridSpan w:val="3"/>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440" w:type="dxa"/>
            <w:vAlign w:val="bottom"/>
          </w:tcPr>
          <w:p>
            <w:pPr>
              <w:spacing w:after="0"/>
              <w:rPr>
                <w:sz w:val="24"/>
                <w:szCs w:val="24"/>
                <w:color w:val="auto"/>
              </w:rPr>
            </w:pPr>
          </w:p>
        </w:tc>
        <w:tc>
          <w:tcPr>
            <w:tcW w:w="9260" w:type="dxa"/>
            <w:vAlign w:val="bottom"/>
            <w:gridSpan w:val="20"/>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3.</w:t>
              </w:r>
            </w:hyperlink>
          </w:p>
        </w:tc>
        <w:tc>
          <w:tcPr>
            <w:tcW w:w="6520" w:type="dxa"/>
            <w:vAlign w:val="bottom"/>
            <w:tcBorders>
              <w:top w:val="single" w:sz="8" w:color="0000EE"/>
            </w:tcBorders>
            <w:gridSpan w:val="15"/>
          </w:tcPr>
          <w:p>
            <w:pPr>
              <w:ind w:lef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Quantitative and Qualitative Disclosures About Market Risk</w:t>
              </w:r>
            </w:hyperlink>
          </w:p>
        </w:tc>
        <w:tc>
          <w:tcPr>
            <w:tcW w:w="2200" w:type="dxa"/>
            <w:vAlign w:val="bottom"/>
            <w:gridSpan w:val="2"/>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4.</w:t>
              </w:r>
            </w:hyperlink>
          </w:p>
        </w:tc>
        <w:tc>
          <w:tcPr>
            <w:tcW w:w="4380" w:type="dxa"/>
            <w:vAlign w:val="bottom"/>
            <w:tcBorders>
              <w:top w:val="single" w:sz="8" w:color="0000EE"/>
            </w:tcBorders>
            <w:gridSpan w:val="12"/>
          </w:tcPr>
          <w:p>
            <w:pPr>
              <w:ind w:left="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4340" w:type="dxa"/>
            <w:vAlign w:val="bottom"/>
            <w:gridSpan w:val="5"/>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18"/>
        </w:trPr>
        <w:tc>
          <w:tcPr>
            <w:tcW w:w="9700" w:type="dxa"/>
            <w:vAlign w:val="bottom"/>
            <w:gridSpan w:val="21"/>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 OTHER INFORMATION</w:t>
              </w:r>
            </w:hyperlink>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1.</w:t>
              </w:r>
            </w:hyperlink>
          </w:p>
        </w:tc>
        <w:tc>
          <w:tcPr>
            <w:tcW w:w="1360" w:type="dxa"/>
            <w:vAlign w:val="bottom"/>
            <w:tcBorders>
              <w:top w:val="single" w:sz="8" w:color="0000EE"/>
              <w:bottom w:val="single" w:sz="8" w:color="0000EE"/>
            </w:tcBorders>
            <w:gridSpan w:val="5"/>
          </w:tcPr>
          <w:p>
            <w:pPr>
              <w:ind w:left="20"/>
              <w:spacing w:after="0"/>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Legal Proceedings</w:t>
              </w:r>
            </w:hyperlink>
          </w:p>
        </w:tc>
        <w:tc>
          <w:tcPr>
            <w:tcW w:w="240" w:type="dxa"/>
            <w:vAlign w:val="bottom"/>
            <w:tcBorders>
              <w:top w:val="single" w:sz="8" w:color="0000EE"/>
            </w:tcBorders>
            <w:gridSpan w:val="2"/>
          </w:tcPr>
          <w:p>
            <w:pPr>
              <w:spacing w:after="0"/>
              <w:rPr>
                <w:sz w:val="24"/>
                <w:szCs w:val="24"/>
                <w:color w:val="auto"/>
              </w:rPr>
            </w:pPr>
          </w:p>
        </w:tc>
        <w:tc>
          <w:tcPr>
            <w:tcW w:w="7120" w:type="dxa"/>
            <w:vAlign w:val="bottom"/>
            <w:gridSpan w:val="10"/>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8"/>
        </w:trPr>
        <w:tc>
          <w:tcPr>
            <w:tcW w:w="4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Item 1A. Risk Factors</w:t>
              </w:r>
            </w:hyperlink>
          </w:p>
        </w:tc>
        <w:tc>
          <w:tcPr>
            <w:tcW w:w="7660" w:type="dxa"/>
            <w:vAlign w:val="bottom"/>
            <w:gridSpan w:val="13"/>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Item 6.</w:t>
              </w:r>
            </w:hyperlink>
          </w:p>
        </w:tc>
        <w:tc>
          <w:tcPr>
            <w:tcW w:w="8720" w:type="dxa"/>
            <w:vAlign w:val="bottom"/>
            <w:gridSpan w:val="17"/>
          </w:tcPr>
          <w:p>
            <w:pPr>
              <w:ind w:left="20"/>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Exhibits</w:t>
              </w:r>
            </w:hyperlink>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4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18"/>
        </w:trPr>
        <w:tc>
          <w:tcPr>
            <w:tcW w:w="9700" w:type="dxa"/>
            <w:vAlign w:val="bottom"/>
            <w:gridSpan w:val="21"/>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SIGNATURES</w:t>
              </w:r>
            </w:hyperlink>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360" w:type="dxa"/>
            <w:vAlign w:val="bottom"/>
            <w:gridSpan w:val="15"/>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318"/>
        </w:trPr>
        <w:tc>
          <w:tcPr>
            <w:tcW w:w="1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EXHIBIT INDEX</w:t>
              </w:r>
            </w:hyperlink>
          </w:p>
        </w:tc>
        <w:tc>
          <w:tcPr>
            <w:tcW w:w="8360" w:type="dxa"/>
            <w:vAlign w:val="bottom"/>
            <w:gridSpan w:val="15"/>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“Xenon,” and “the Company” refer to Xenon Pharmaceuticals Inc. “Xenon,” the Xenon logo and “Extreme Genetics”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FF0FC"/>
            </w:tcBorders>
          </w:tcPr>
          <w:p>
            <w:pPr>
              <w:spacing w:after="0"/>
              <w:rPr>
                <w:sz w:val="15"/>
                <w:szCs w:val="15"/>
                <w:color w:val="auto"/>
              </w:rPr>
            </w:pPr>
          </w:p>
        </w:tc>
      </w:tr>
      <w:tr>
        <w:trPr>
          <w:trHeight w:val="223"/>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r>
      <w:tr>
        <w:trPr>
          <w:trHeight w:val="230"/>
        </w:trPr>
        <w:tc>
          <w:tcPr>
            <w:tcW w:w="68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FF0FC"/>
          </w:tcPr>
          <w:p>
            <w:pPr>
              <w:spacing w:after="0"/>
              <w:rPr>
                <w:sz w:val="19"/>
                <w:szCs w:val="19"/>
                <w:color w:val="auto"/>
              </w:rPr>
            </w:pPr>
          </w:p>
        </w:tc>
      </w:tr>
      <w:tr>
        <w:trPr>
          <w:trHeight w:val="223"/>
        </w:trPr>
        <w:tc>
          <w:tcPr>
            <w:tcW w:w="6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10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long term</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61,152</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5"/>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(note 6)</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r>
      <w:tr>
        <w:trPr>
          <w:trHeight w:val="223"/>
        </w:trPr>
        <w:tc>
          <w:tcPr>
            <w:tcW w:w="68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tenant inducements</w:t>
            </w:r>
          </w:p>
        </w:tc>
        <w:tc>
          <w:tcPr>
            <w:tcW w:w="1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FF0FC"/>
          </w:tcPr>
          <w:p>
            <w:pPr>
              <w:spacing w:after="0"/>
              <w:rPr>
                <w:sz w:val="19"/>
                <w:szCs w:val="19"/>
                <w:color w:val="auto"/>
              </w:rPr>
            </w:pPr>
          </w:p>
        </w:tc>
      </w:tr>
      <w:tr>
        <w:trPr>
          <w:trHeight w:val="44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shares, without par value; unlimited shares authorized; issued and</w:t>
            </w:r>
          </w:p>
        </w:tc>
        <w:tc>
          <w:tcPr>
            <w:tcW w:w="1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14,401,582 (December 31, 2015 - 14,385,336)</w:t>
            </w:r>
          </w:p>
        </w:tc>
        <w:tc>
          <w:tcPr>
            <w:tcW w:w="1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148,634</w:t>
            </w:r>
          </w:p>
        </w:tc>
        <w:tc>
          <w:tcPr>
            <w:tcW w:w="100" w:type="dxa"/>
            <w:vAlign w:val="bottom"/>
          </w:tcPr>
          <w:p>
            <w:pPr>
              <w:spacing w:after="0"/>
              <w:rPr>
                <w:sz w:val="20"/>
                <w:szCs w:val="20"/>
                <w:color w:val="auto"/>
              </w:rPr>
            </w:pP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33,381</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10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36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(122,956)</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(119,693)</w:t>
            </w: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(990)</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(990)</w:t>
            </w:r>
          </w:p>
        </w:tc>
      </w:tr>
      <w:tr>
        <w:trPr>
          <w:trHeight w:val="223"/>
        </w:trPr>
        <w:tc>
          <w:tcPr>
            <w:tcW w:w="68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1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61,034</w:t>
            </w:r>
          </w:p>
        </w:tc>
        <w:tc>
          <w:tcPr>
            <w:tcW w:w="100" w:type="dxa"/>
            <w:vAlign w:val="bottom"/>
            <w:tcBorders>
              <w:bottom w:val="single" w:sz="8" w:color="CFF0FC"/>
            </w:tcBorders>
          </w:tcPr>
          <w:p>
            <w:pPr>
              <w:spacing w:after="0"/>
              <w:rPr>
                <w:sz w:val="19"/>
                <w:szCs w:val="19"/>
                <w:color w:val="auto"/>
              </w:rPr>
            </w:pPr>
          </w:p>
        </w:tc>
      </w:tr>
      <w:tr>
        <w:trPr>
          <w:trHeight w:val="223"/>
        </w:trPr>
        <w:tc>
          <w:tcPr>
            <w:tcW w:w="68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3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61,152</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agreements (note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69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20" w:type="dxa"/>
            <w:vAlign w:val="bottom"/>
          </w:tcPr>
          <w:p>
            <w:pPr>
              <w:spacing w:after="0"/>
              <w:rPr>
                <w:sz w:val="13"/>
                <w:szCs w:val="13"/>
                <w:color w:val="auto"/>
              </w:rPr>
            </w:pPr>
          </w:p>
        </w:tc>
        <w:tc>
          <w:tcPr>
            <w:tcW w:w="56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Collaboration revenue (note 8)</w:t>
            </w:r>
          </w:p>
        </w:tc>
        <w:tc>
          <w:tcPr>
            <w:tcW w:w="2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Royalties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600" w:type="dxa"/>
            <w:vAlign w:val="bottom"/>
            <w:tcBorders>
              <w:top w:val="single" w:sz="8" w:color="auto"/>
            </w:tcBorders>
          </w:tcPr>
          <w:p>
            <w:pPr>
              <w:spacing w:after="0"/>
              <w:rPr>
                <w:sz w:val="19"/>
                <w:szCs w:val="19"/>
                <w:color w:val="auto"/>
              </w:rPr>
            </w:pPr>
          </w:p>
        </w:tc>
        <w:tc>
          <w:tcPr>
            <w:tcW w:w="22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(3,171)</w:t>
            </w:r>
          </w:p>
        </w:tc>
      </w:tr>
      <w:tr>
        <w:trPr>
          <w:trHeight w:val="223"/>
        </w:trPr>
        <w:tc>
          <w:tcPr>
            <w:tcW w:w="20" w:type="dxa"/>
            <w:vAlign w:val="bottom"/>
          </w:tcPr>
          <w:p>
            <w:pPr>
              <w:spacing w:after="0"/>
              <w:rPr>
                <w:sz w:val="19"/>
                <w:szCs w:val="19"/>
                <w:color w:val="auto"/>
              </w:rPr>
            </w:pPr>
          </w:p>
        </w:tc>
        <w:tc>
          <w:tcPr>
            <w:tcW w:w="56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4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per common share (note 4):</w:t>
            </w:r>
          </w:p>
        </w:tc>
        <w:tc>
          <w:tcPr>
            <w:tcW w:w="2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Basic and diluted</w:t>
            </w:r>
          </w:p>
        </w:tc>
        <w:tc>
          <w:tcPr>
            <w:tcW w:w="2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(0.64)</w:t>
            </w: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(note 4):</w:t>
            </w: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Basic and diluted</w:t>
            </w:r>
          </w:p>
        </w:tc>
        <w:tc>
          <w:tcPr>
            <w:tcW w:w="22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14,394,000</w:t>
            </w: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14,212,579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of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share amounts)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640" w:type="dxa"/>
            <w:vAlign w:val="bottom"/>
            <w:gridSpan w:val="5"/>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3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40" w:type="dxa"/>
            <w:vAlign w:val="bottom"/>
            <w:gridSpan w:val="5"/>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5"/>
                <w:szCs w:val="15"/>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660"/>
              <w:spacing w:after="0" w:line="155" w:lineRule="exact"/>
              <w:rPr>
                <w:sz w:val="20"/>
                <w:szCs w:val="20"/>
                <w:color w:val="auto"/>
              </w:rPr>
            </w:pPr>
            <w:r>
              <w:rPr>
                <w:rFonts w:ascii="Times New Roman" w:cs="Times New Roman" w:eastAsia="Times New Roman" w:hAnsi="Times New Roman"/>
                <w:sz w:val="14"/>
                <w:szCs w:val="14"/>
                <w:i w:val="1"/>
                <w:iCs w:val="1"/>
                <w:color w:val="auto"/>
              </w:rPr>
              <w:t>Shares</w:t>
            </w:r>
          </w:p>
        </w:tc>
        <w:tc>
          <w:tcPr>
            <w:tcW w:w="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i w:val="1"/>
                <w:iCs w:val="1"/>
                <w:color w:val="auto"/>
              </w:rPr>
              <w:t>Amount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Balance as of</w:t>
            </w: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December 31, 2014</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14,181,333</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147,157</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(103,734)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 compensation</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Issued pursuant to exercise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stock options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(992)</w:t>
            </w:r>
          </w:p>
        </w:tc>
        <w:tc>
          <w:tcPr>
            <w:tcW w:w="4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upon</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 of stock options</w:t>
            </w:r>
          </w:p>
        </w:tc>
        <w:tc>
          <w:tcPr>
            <w:tcW w:w="134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Balance as of December 31,</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14,385,336</w:t>
            </w:r>
          </w:p>
        </w:tc>
        <w:tc>
          <w:tcPr>
            <w:tcW w:w="120" w:type="dxa"/>
            <w:vAlign w:val="bottom"/>
          </w:tcPr>
          <w:p>
            <w:pPr>
              <w:spacing w:after="0"/>
              <w:rPr>
                <w:sz w:val="20"/>
                <w:szCs w:val="20"/>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148,634</w:t>
            </w:r>
          </w:p>
        </w:tc>
        <w:tc>
          <w:tcPr>
            <w:tcW w:w="1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33,083</w:t>
            </w:r>
          </w:p>
        </w:tc>
        <w:tc>
          <w:tcPr>
            <w:tcW w:w="120" w:type="dxa"/>
            <w:vAlign w:val="bottom"/>
          </w:tcPr>
          <w:p>
            <w:pPr>
              <w:spacing w:after="0"/>
              <w:rPr>
                <w:sz w:val="20"/>
                <w:szCs w:val="20"/>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(119,693)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compensation</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 upon</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 of stock options</w:t>
            </w: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Issued pursuant to exercise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stock options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4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Balance as of March 31,</w:t>
            </w:r>
          </w:p>
        </w:tc>
        <w:tc>
          <w:tcPr>
            <w:tcW w:w="1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2016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14,401,582</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148,728</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33,381</w:t>
            </w: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(122,956)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 xml:space="preserve">(990) </w:t>
            </w:r>
            <w:r>
              <w:rPr>
                <w:rFonts w:ascii="Times New Roman" w:cs="Times New Roman" w:eastAsia="Times New Roman" w:hAnsi="Times New Roman"/>
                <w:sz w:val="15"/>
                <w:szCs w:val="15"/>
                <w:color w:val="auto"/>
              </w:rPr>
              <w:t>(1)</w:t>
            </w: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520" w:right="260" w:hanging="512"/>
        <w:spacing w:after="0" w:line="298" w:lineRule="auto"/>
        <w:tabs>
          <w:tab w:leader="none" w:pos="5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March 31, 2016, our accumulated other comprehensive loss is entirely related to historical cumulative translation adjustments from the application of U.S. dollar reporting when the functional currency of the Company was the Canadian dollar.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(3,263)</w:t>
            </w:r>
          </w:p>
        </w:tc>
        <w:tc>
          <w:tcPr>
            <w:tcW w:w="118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Items not involving cash:</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tenant inducements</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(2,260)</w:t>
            </w: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1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Proceeds from marketable securities</w:t>
            </w: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shares</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(2,587)</w:t>
            </w:r>
          </w:p>
        </w:tc>
        <w:tc>
          <w:tcPr>
            <w:tcW w:w="11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58,651</w:t>
            </w:r>
          </w:p>
        </w:tc>
        <w:tc>
          <w:tcPr>
            <w:tcW w:w="12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auto"/>
            </w:tcBorders>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56,064</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received</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118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transactions: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options exercised on a cashless basis</w:t>
            </w:r>
          </w:p>
        </w:tc>
        <w:tc>
          <w:tcPr>
            <w:tcW w:w="10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amounts)</w:t>
      </w:r>
    </w:p>
    <w:p>
      <w:pPr>
        <w:spacing w:after="0" w:line="311"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121" w:lineRule="exact"/>
        <w:rPr>
          <w:rFonts w:ascii="Times New Roman" w:cs="Times New Roman" w:eastAsia="Times New Roman" w:hAnsi="Times New Roman"/>
          <w:sz w:val="18"/>
          <w:szCs w:val="18"/>
          <w:b w:val="1"/>
          <w:bCs w:val="1"/>
          <w:color w:val="auto"/>
        </w:rPr>
      </w:pPr>
    </w:p>
    <w:p>
      <w:pPr>
        <w:ind w:left="52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28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financial statements are presented in U.S. dollars.</w:t>
      </w:r>
    </w:p>
    <w:p>
      <w:pPr>
        <w:spacing w:after="0" w:line="117" w:lineRule="exact"/>
        <w:rPr>
          <w:rFonts w:ascii="Times New Roman" w:cs="Times New Roman" w:eastAsia="Times New Roman" w:hAnsi="Times New Roman"/>
          <w:sz w:val="18"/>
          <w:szCs w:val="18"/>
          <w:b w:val="1"/>
          <w:bCs w:val="1"/>
          <w:color w:val="auto"/>
        </w:rPr>
      </w:pPr>
    </w:p>
    <w:p>
      <w:pPr>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financial statements have been prepared in accordance with United States generally accepted accounting principles (“U.S. GAAP”) and pursuant to the rules and regulations of the United States Securities and Exchange Commission (“SEC”) for interim financial information. Accordingly, these financial statements do not include all of the information and footnotes required for complete financial statements and should be read in conjunction with the audited financial statements and notes for the year ended December 31, 2015 and included in the Company’s 2015 Annual Report on Form 10-K filed with the SEC on March 8, 2016.</w:t>
      </w:r>
    </w:p>
    <w:p>
      <w:pPr>
        <w:spacing w:after="0" w:line="75" w:lineRule="exact"/>
        <w:rPr>
          <w:rFonts w:ascii="Times New Roman" w:cs="Times New Roman" w:eastAsia="Times New Roman" w:hAnsi="Times New Roman"/>
          <w:sz w:val="18"/>
          <w:szCs w:val="18"/>
          <w:b w:val="1"/>
          <w:bCs w:val="1"/>
          <w:color w:val="auto"/>
        </w:rPr>
      </w:pPr>
    </w:p>
    <w:p>
      <w:pPr>
        <w:ind w:left="5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interim financial statements reflect all adjustments, consisting of normal recurring adjustments, which, in the opinion of management, are necessary for a fair presentation of results for the interim periods presented. The results of operations for the three month periods ended March 31, 2016 and 2015 are not necessarily indicative of results that can be expected for a full year. These unaudited interim financial statements follow the same significant accounting policies as those described in the notes to the audited financial statements of the Company included in the Company’s 2015 Annual Report on Form 10-K for the year ended December 31, 2015.</w:t>
      </w:r>
    </w:p>
    <w:p>
      <w:pPr>
        <w:spacing w:after="0" w:line="288"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Future changes in accounting policies:</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2014, the Financial Accounting Standards Board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beginning after December 15, 2017 instead of the originally contemplated effective date of December 15, 2016. In March and April 2016, the FASB issued amendments to the new revenue standard to clarify the implementation guidance on principal versus agent considerations and identifying performance obligations and licensing with the same effective date as the new revenue standard. The Company is currently evaluating the new guidance to determine the impact it will have on the Company’s financial statements.</w:t>
      </w:r>
    </w:p>
    <w:p>
      <w:pPr>
        <w:spacing w:after="0" w:line="84" w:lineRule="exact"/>
        <w:rPr>
          <w:rFonts w:ascii="Times New Roman" w:cs="Times New Roman" w:eastAsia="Times New Roman" w:hAnsi="Times New Roman"/>
          <w:sz w:val="18"/>
          <w:szCs w:val="18"/>
          <w:b w:val="1"/>
          <w:bCs w:val="1"/>
          <w:color w:val="auto"/>
        </w:rPr>
      </w:pPr>
    </w:p>
    <w:p>
      <w:pPr>
        <w:ind w:left="520"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2014, the FASB issued amendments requiring management to assess an entity’s ability to continue as a going concern. For each reporting period, management will be required to evaluate whether there are conditions or events that raise substantial doubt about a company’s ability to continue as a going concern within one year from the date the financial statements are issued. These amendments will be effective for public entities for the annual period ending after December 15, 2016, and for annual periods and interim periods thereafter. The adoption of these amendments in fiscal 2016 is not expected to have a material impact on the Company’s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7" w:name="page8"/>
    <w:bookmarkEnd w:id="7"/>
    <w:p>
      <w:pPr>
        <w:ind w:left="512" w:right="80"/>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beginning after December 15, 2018. The adoption of these amendments in fiscal 2019 is not expected to have a material impact on the Company’s financial statements.</w:t>
      </w:r>
    </w:p>
    <w:p>
      <w:pPr>
        <w:spacing w:after="0" w:line="76" w:lineRule="exact"/>
        <w:rPr>
          <w:sz w:val="20"/>
          <w:szCs w:val="20"/>
          <w:color w:val="auto"/>
        </w:rPr>
      </w:pPr>
    </w:p>
    <w:p>
      <w:pPr>
        <w:ind w:left="512"/>
        <w:spacing w:after="0" w:line="255" w:lineRule="auto"/>
        <w:rPr>
          <w:sz w:val="20"/>
          <w:szCs w:val="20"/>
          <w:color w:val="auto"/>
        </w:rPr>
      </w:pPr>
      <w:r>
        <w:rPr>
          <w:rFonts w:ascii="Times New Roman" w:cs="Times New Roman" w:eastAsia="Times New Roman" w:hAnsi="Times New Roman"/>
          <w:sz w:val="18"/>
          <w:szCs w:val="18"/>
          <w:color w:val="auto"/>
        </w:rPr>
        <w:t>In March 2016, the FASB issued amendments to stock-based compensation accounting to simplify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w:t>
      </w:r>
    </w:p>
    <w:p>
      <w:pPr>
        <w:spacing w:after="0" w:line="3" w:lineRule="exact"/>
        <w:rPr>
          <w:sz w:val="20"/>
          <w:szCs w:val="20"/>
          <w:color w:val="auto"/>
        </w:rPr>
      </w:pPr>
    </w:p>
    <w:p>
      <w:pPr>
        <w:ind w:left="512" w:right="80"/>
        <w:spacing w:after="0" w:line="252" w:lineRule="auto"/>
        <w:rPr>
          <w:sz w:val="20"/>
          <w:szCs w:val="20"/>
          <w:color w:val="auto"/>
        </w:rPr>
      </w:pPr>
      <w:r>
        <w:rPr>
          <w:rFonts w:ascii="Times New Roman" w:cs="Times New Roman" w:eastAsia="Times New Roman" w:hAnsi="Times New Roman"/>
          <w:sz w:val="18"/>
          <w:szCs w:val="18"/>
          <w:color w:val="auto"/>
        </w:rPr>
        <w:t>(b)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These amendments will be effective for public entities for fiscal years beginning after December 15, 2016. The adoption of these amendments in fiscal 2017 is not expected to have a material impact on the Company’s financial statements.</w:t>
      </w:r>
    </w:p>
    <w:p>
      <w:pPr>
        <w:spacing w:after="0" w:line="294" w:lineRule="exact"/>
        <w:rPr>
          <w:sz w:val="20"/>
          <w:szCs w:val="20"/>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common share:</w:t>
      </w:r>
    </w:p>
    <w:p>
      <w:pPr>
        <w:spacing w:after="0" w:line="121" w:lineRule="exact"/>
        <w:rPr>
          <w:rFonts w:ascii="Times New Roman" w:cs="Times New Roman" w:eastAsia="Times New Roman" w:hAnsi="Times New Roman"/>
          <w:sz w:val="18"/>
          <w:szCs w:val="18"/>
          <w:b w:val="1"/>
          <w:bCs w:val="1"/>
          <w:color w:val="auto"/>
        </w:rPr>
      </w:pPr>
    </w:p>
    <w:p>
      <w:pPr>
        <w:ind w:left="51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income (loss) per common share is computed by dividing the net income (loss) by the weighted average number of common shares outstanding for the period. Diluted net income (loss) per common share is computed by adjusting net income (loss) to reallocate undistributed earnings based on the potential impact of dilutive securities.</w:t>
      </w:r>
    </w:p>
    <w:p>
      <w:pPr>
        <w:spacing w:after="0" w:line="68" w:lineRule="exact"/>
        <w:rPr>
          <w:rFonts w:ascii="Times New Roman" w:cs="Times New Roman" w:eastAsia="Times New Roman" w:hAnsi="Times New Roman"/>
          <w:sz w:val="18"/>
          <w:szCs w:val="18"/>
          <w:b w:val="1"/>
          <w:bCs w:val="1"/>
          <w:color w:val="auto"/>
        </w:rPr>
      </w:pPr>
    </w:p>
    <w:p>
      <w:pPr>
        <w:ind w:left="512" w:righ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Company reported a net loss for the three month periods ended March 31, 2016 and 2015, all stock options were anti-dilutive and were excluded from the diluted weighted average common shares outstanding for those periods.</w:t>
      </w:r>
    </w:p>
    <w:p>
      <w:pPr>
        <w:spacing w:after="0" w:line="265" w:lineRule="exact"/>
        <w:rPr>
          <w:rFonts w:ascii="Times New Roman" w:cs="Times New Roman" w:eastAsia="Times New Roman" w:hAnsi="Times New Roman"/>
          <w:sz w:val="18"/>
          <w:szCs w:val="18"/>
          <w:b w:val="1"/>
          <w:bCs w:val="1"/>
          <w:color w:val="auto"/>
        </w:rPr>
      </w:pPr>
    </w:p>
    <w:p>
      <w:pPr>
        <w:ind w:left="512" w:hanging="512"/>
        <w:spacing w:after="0"/>
        <w:tabs>
          <w:tab w:leader="none" w:pos="5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b w:val="1"/>
          <w:bCs w:val="1"/>
          <w:color w:val="auto"/>
        </w:rPr>
      </w:pPr>
    </w:p>
    <w:p>
      <w:pPr>
        <w:ind w:left="51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measure certain financial instruments and other items at fair value.</w:t>
      </w:r>
    </w:p>
    <w:p>
      <w:pPr>
        <w:spacing w:after="0" w:line="117" w:lineRule="exact"/>
        <w:rPr>
          <w:rFonts w:ascii="Times New Roman" w:cs="Times New Roman" w:eastAsia="Times New Roman" w:hAnsi="Times New Roman"/>
          <w:sz w:val="18"/>
          <w:szCs w:val="18"/>
          <w:b w:val="1"/>
          <w:bCs w:val="1"/>
          <w:color w:val="auto"/>
        </w:rPr>
      </w:pPr>
    </w:p>
    <w:p>
      <w:pPr>
        <w:jc w:val="both"/>
        <w:ind w:left="512" w:righ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the fair value, we use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66" w:lineRule="exact"/>
        <w:rPr>
          <w:rFonts w:ascii="Times New Roman" w:cs="Times New Roman" w:eastAsia="Times New Roman" w:hAnsi="Times New Roman"/>
          <w:sz w:val="18"/>
          <w:szCs w:val="18"/>
          <w:b w:val="1"/>
          <w:bCs w:val="1"/>
          <w:color w:val="auto"/>
        </w:rPr>
      </w:pPr>
    </w:p>
    <w:p>
      <w:pPr>
        <w:ind w:left="892" w:hanging="379"/>
        <w:spacing w:after="0"/>
        <w:tabs>
          <w:tab w:leader="none" w:pos="8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Unadjusted quoted prices in active markets for identical instruments.</w:t>
      </w:r>
    </w:p>
    <w:p>
      <w:pPr>
        <w:spacing w:after="0" w:line="117" w:lineRule="exact"/>
        <w:rPr>
          <w:rFonts w:ascii="Times New Roman" w:cs="Times New Roman" w:eastAsia="Times New Roman" w:hAnsi="Times New Roman"/>
          <w:sz w:val="18"/>
          <w:szCs w:val="18"/>
          <w:color w:val="auto"/>
        </w:rPr>
      </w:pPr>
    </w:p>
    <w:p>
      <w:pPr>
        <w:ind w:left="892" w:right="100" w:hanging="379"/>
        <w:spacing w:after="0" w:line="261" w:lineRule="auto"/>
        <w:tabs>
          <w:tab w:leader="none" w:pos="8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Inputs other than quoted prices included within Level 1 that are observable for the asset or liability, either directly or indirectly. 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1" w:lineRule="exact"/>
        <w:rPr>
          <w:rFonts w:ascii="Times New Roman" w:cs="Times New Roman" w:eastAsia="Times New Roman" w:hAnsi="Times New Roman"/>
          <w:sz w:val="18"/>
          <w:szCs w:val="18"/>
          <w:color w:val="auto"/>
        </w:rPr>
      </w:pPr>
    </w:p>
    <w:p>
      <w:pPr>
        <w:ind w:left="892" w:right="40" w:hanging="379"/>
        <w:spacing w:after="0" w:line="284" w:lineRule="auto"/>
        <w:tabs>
          <w:tab w:leader="none" w:pos="89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Inputs are unobservable and reflect the Company’s assumptions as to what market participants would use in pricing the asset or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develops these inputs based on the best information available.</w:t>
      </w:r>
    </w:p>
    <w:p>
      <w:pPr>
        <w:spacing w:after="0" w:line="52" w:lineRule="exact"/>
        <w:rPr>
          <w:sz w:val="20"/>
          <w:szCs w:val="20"/>
          <w:color w:val="auto"/>
        </w:rPr>
      </w:pPr>
    </w:p>
    <w:p>
      <w:pPr>
        <w:ind w:left="512" w:right="80"/>
        <w:spacing w:after="0" w:line="282"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54" w:lineRule="exact"/>
        <w:rPr>
          <w:sz w:val="20"/>
          <w:szCs w:val="20"/>
          <w:color w:val="auto"/>
        </w:rPr>
      </w:pPr>
    </w:p>
    <w:p>
      <w:pPr>
        <w:ind w:left="512" w:right="100"/>
        <w:spacing w:after="0" w:line="313" w:lineRule="auto"/>
        <w:rPr>
          <w:sz w:val="20"/>
          <w:szCs w:val="20"/>
          <w:color w:val="auto"/>
        </w:rPr>
      </w:pPr>
      <w:r>
        <w:rPr>
          <w:rFonts w:ascii="Times New Roman" w:cs="Times New Roman" w:eastAsia="Times New Roman" w:hAnsi="Times New Roman"/>
          <w:sz w:val="17"/>
          <w:szCs w:val="17"/>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w:t>
      </w:r>
    </w:p>
    <w:p>
      <w:pPr>
        <w:spacing w:after="0" w:line="3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347980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67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8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4"/>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5"/>
                <w:szCs w:val="15"/>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benefits, and related accruals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and contracted research</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stock option activity for the period:</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4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beginning of period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1,721,472</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1,484,218</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233,950</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346,964</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15"/>
                <w:szCs w:val="15"/>
                <w:color w:val="auto"/>
              </w:rPr>
              <w:t>(1)</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(16,246)</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(44,656)</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(4,442)</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end of period</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1,934,734</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1,785,436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end of period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1,151,853</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1,146,383</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40" w:right="120" w:hanging="519"/>
        <w:spacing w:after="0" w:line="266" w:lineRule="auto"/>
        <w:tabs>
          <w:tab w:leader="none" w:pos="10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During the three months ended March 31, 2016, 16,246 stock options were exercised for the same number of common shares for cash (three months ended March 31, 2015 – 26,910). In the same period, the Company did not issue any common shares (three months ended March 31, 2015 – 14,032) for the cashless exercise of stock options (three months ended March 31, 2015 – 17,746).</w:t>
      </w:r>
    </w:p>
    <w:p>
      <w:pPr>
        <w:spacing w:after="0" w:line="68"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fair value of each option issued to employees and non-employees is estimated using the Black-Scholes option-pricing model with the following weighted-average assumptions:</w:t>
      </w:r>
    </w:p>
    <w:p>
      <w:pPr>
        <w:spacing w:after="0" w:line="23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expected term (in years)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Pr>
          <w:p>
            <w:pPr>
              <w:spacing w:after="0"/>
              <w:rPr>
                <w:sz w:val="19"/>
                <w:szCs w:val="19"/>
                <w:color w:val="auto"/>
              </w:rPr>
            </w:pPr>
          </w:p>
        </w:tc>
      </w:tr>
      <w:tr>
        <w:trPr>
          <w:trHeight w:val="230"/>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three months ended March 31, 2016 was $4.95 (three months ended March 31, 2015 – $11.84) per option</w:t>
      </w:r>
      <w:r>
        <w:rPr>
          <w:rFonts w:ascii="Times New Roman" w:cs="Times New Roman" w:eastAsia="Times New Roman" w:hAnsi="Times New Roman"/>
          <w:sz w:val="14"/>
          <w:szCs w:val="14"/>
          <w:color w:val="auto"/>
        </w:rPr>
        <w:t>.</w:t>
      </w:r>
    </w:p>
    <w:p>
      <w:pPr>
        <w:spacing w:after="0" w:line="26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121" w:lineRule="exact"/>
        <w:rPr>
          <w:rFonts w:ascii="Times New Roman" w:cs="Times New Roman" w:eastAsia="Times New Roman" w:hAnsi="Times New Roman"/>
          <w:sz w:val="18"/>
          <w:szCs w:val="18"/>
          <w:b w:val="1"/>
          <w:bCs w:val="1"/>
          <w:color w:val="auto"/>
        </w:rPr>
      </w:pPr>
    </w:p>
    <w:p>
      <w:pPr>
        <w:ind w:lef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entered into a number of collaboration agreements with multiple deliverables under which it may have received non-refundable upfront payments. The Company generally recognizes revenue from upfront payments ratably over the term of its estimated period of performance of research under its collaboration agreements in the event that such arrangements represent a single unit of accounting.</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887" w:right="359" w:bottom="1440" w:gutter="0" w:footer="0" w:header="0"/>
        </w:sectPr>
      </w:pPr>
    </w:p>
    <w:bookmarkStart w:id="9" w:name="page10"/>
    <w:bookmarkEnd w:id="9"/>
    <w:p>
      <w:pPr>
        <w:ind w:left="512"/>
        <w:spacing w:after="0" w:line="258" w:lineRule="auto"/>
        <w:rPr>
          <w:sz w:val="20"/>
          <w:szCs w:val="20"/>
          <w:color w:val="auto"/>
        </w:rPr>
      </w:pPr>
      <w:r>
        <w:rPr>
          <w:rFonts w:ascii="Times New Roman" w:cs="Times New Roman" w:eastAsia="Times New Roman" w:hAnsi="Times New Roman"/>
          <w:sz w:val="18"/>
          <w:szCs w:val="18"/>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76"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following table is a summary of the revenue recognized from the Company’s collaborations for the three months ended March 31, 2016 and 2015:</w:t>
      </w:r>
    </w:p>
    <w:p>
      <w:pPr>
        <w:spacing w:after="0" w:line="300" w:lineRule="exact"/>
        <w:rPr>
          <w:sz w:val="20"/>
          <w:szCs w:val="20"/>
          <w:color w:val="auto"/>
        </w:rPr>
      </w:pPr>
    </w:p>
    <w:tbl>
      <w:tblPr>
        <w:tblLayout w:type="fixed"/>
        <w:tblInd w:w="1712"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5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Recognition of upfront payment</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funding</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Genentech:</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Recognition of upfront payment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Research funding</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780" w:type="dxa"/>
            <w:vAlign w:val="bottom"/>
            <w:tcBorders>
              <w:bottom w:val="single" w:sz="8" w:color="auto"/>
            </w:tcBorders>
            <w:shd w:val="clear" w:color="auto" w:fill="CFF0FC"/>
          </w:tcPr>
          <w:p>
            <w:pPr>
              <w:jc w:val="right"/>
              <w:ind w:right="62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rFonts w:ascii="Times New Roman" w:cs="Times New Roman" w:eastAsia="Times New Roman" w:hAnsi="Times New Roman"/>
          <w:sz w:val="18"/>
          <w:szCs w:val="18"/>
          <w:b w:val="1"/>
          <w:bCs w:val="1"/>
          <w:color w:val="auto"/>
        </w:rPr>
      </w:pPr>
    </w:p>
    <w:p>
      <w:pPr>
        <w:ind w:left="892" w:hanging="379"/>
        <w:spacing w:after="0"/>
        <w:tabs>
          <w:tab w:leader="none" w:pos="8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access agreement with Medpace Inc. (“Medpace”):</w:t>
      </w:r>
    </w:p>
    <w:p>
      <w:pPr>
        <w:spacing w:after="0" w:line="117" w:lineRule="exact"/>
        <w:rPr>
          <w:rFonts w:ascii="Times New Roman" w:cs="Times New Roman" w:eastAsia="Times New Roman" w:hAnsi="Times New Roman"/>
          <w:sz w:val="18"/>
          <w:szCs w:val="18"/>
          <w:color w:val="auto"/>
        </w:rPr>
      </w:pPr>
    </w:p>
    <w:p>
      <w:pPr>
        <w:ind w:left="89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 Of the amounts paid by the Company in 2015 in connection with the priority access agreement, $1,060 has been recorded as expenses to date for services rendered, $846 has been recorded as current prepaid expenses (December 31, 2015 – $1,010) and $1,094 as long-term prepaid expenses (December 31, 2015 – $1,094) for the provision of future services as at March 31, 2016.</w:t>
      </w:r>
    </w:p>
    <w:p>
      <w:pPr>
        <w:spacing w:after="0" w:line="189" w:lineRule="exact"/>
        <w:rPr>
          <w:rFonts w:ascii="Times New Roman" w:cs="Times New Roman" w:eastAsia="Times New Roman" w:hAnsi="Times New Roman"/>
          <w:sz w:val="18"/>
          <w:szCs w:val="18"/>
          <w:color w:val="auto"/>
        </w:rPr>
      </w:pPr>
    </w:p>
    <w:p>
      <w:pPr>
        <w:ind w:left="892" w:hanging="379"/>
        <w:spacing w:after="0"/>
        <w:tabs>
          <w:tab w:leader="none" w:pos="89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 indemnifications:</w:t>
      </w:r>
    </w:p>
    <w:p>
      <w:pPr>
        <w:spacing w:after="0" w:line="117" w:lineRule="exact"/>
        <w:rPr>
          <w:rFonts w:ascii="Times New Roman" w:cs="Times New Roman" w:eastAsia="Times New Roman" w:hAnsi="Times New Roman"/>
          <w:sz w:val="18"/>
          <w:szCs w:val="18"/>
          <w:color w:val="auto"/>
        </w:rPr>
      </w:pPr>
    </w:p>
    <w:p>
      <w:pPr>
        <w:ind w:left="892"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68" w:lineRule="exact"/>
        <w:rPr>
          <w:rFonts w:ascii="Times New Roman" w:cs="Times New Roman" w:eastAsia="Times New Roman" w:hAnsi="Times New Roman"/>
          <w:sz w:val="18"/>
          <w:szCs w:val="18"/>
          <w:color w:val="auto"/>
        </w:rPr>
      </w:pPr>
    </w:p>
    <w:p>
      <w:pPr>
        <w:ind w:left="892" w:right="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288"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rFonts w:ascii="Times New Roman" w:cs="Times New Roman" w:eastAsia="Times New Roman" w:hAnsi="Times New Roman"/>
          <w:sz w:val="18"/>
          <w:szCs w:val="18"/>
          <w:b w:val="1"/>
          <w:bCs w:val="1"/>
          <w:color w:val="auto"/>
        </w:rPr>
      </w:pPr>
    </w:p>
    <w:p>
      <w:pPr>
        <w:ind w:left="512"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August J. Troendle, an officer and director of Medpace, which provides clinical development services to the Company, is a beneficial owner of more than 5% of the Company’s common shares. The Company incurred $373 of clinical development service fees under its priority access agreement and a master services agreement with Medpace for the three months ended March 31, 2016 (three months ended March 31, 2015 - nil). Additionally, the Company has recorded $2,150 of prepaid expenses as of March 31, 2016 (December 31, 2015 – $2,314) for future clinical development services under such agreements with Medpace.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347980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675"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80" w:firstLine="571"/>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should be read in conjunction with our unaudited interim financial statements and related notes included in Part I, Item 1 of this report and our audited financial statements and related notes thereto and management’s discussion and analysis of financial condition and results of operations for the year ended December 31, 2015 included in our Annual Report on Form 10-K filed with the U.S. Securities and Exchange Commission on March 8, 2016 and with the securities commissions in British Columbia, Alberta and Ontario on March 8, 2016.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577"/>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293"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or product candidates using our Extreme Genetics discovery platform;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cost, progress and success of our research and development programs, preclinical studies and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sufficient numbers of patients for our future clinical trials for orphan or more common indications;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research funding;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milestones, royalties and sublicensing fees under our collaborations, and the timing of such payments;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 candidates for orphan and niche indications independently;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find families to support our Extreme Genetics discovery platform;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genes and drug targets;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federal, state and foreign regulatory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benefits, effectiveness and safety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of the size and characteristics of the markets that may be addressed by our products and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Glybera and future products,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and our collaborators’ ability to obtain and maintain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market risk, including interest rate changes and foreign currency fluctuations;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in the sufficiency of our cash flows to meet our needs for at least the next 12 to 24 months;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and retain the employees required to grow our business;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projected expenditures;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success of competing therapies that are or become available;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and our needs for additional financing.</w:t>
      </w:r>
    </w:p>
    <w:p>
      <w:pPr>
        <w:spacing w:after="0" w:line="331" w:lineRule="exact"/>
        <w:rPr>
          <w:sz w:val="20"/>
          <w:szCs w:val="20"/>
          <w:color w:val="auto"/>
        </w:rPr>
      </w:pPr>
    </w:p>
    <w:p>
      <w:pPr>
        <w:ind w:right="4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Unless otherwise noted, all dollar amounts in this report are expressed in United States dollars.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built a core enabling discovery platform for the discovery of validated drug targets by studying rare human diseases with extreme traits, including diseases caused by mutations in ion channels, known as channelopathies. We have an integrated platform that includes in-house capabilities for human genetics, small molecule drug discovery, as well as preclinical and clinical development.</w:t>
      </w:r>
    </w:p>
    <w:p>
      <w:pPr>
        <w:spacing w:after="0" w:line="184"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pharmaceutical partners include Teva Pharmaceutical Industries, Ltd., or Teva (through its subsidiary, Ivax International GmbH), Genentech, Inc., or Genentech, and Merck &amp; Co., Inc., or Merck (through its affiliate, Essex Chemie AG). Our pharmaceutical collaborations have generated in aggregate over $155.0 million in non-equity funding to date with the potential to provide us with over $1.0 billion in future milestone payments, as well as royalties and co-promotion income on product sales.</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Our business was founded on our proprietary discovery platform, which we refer to as Extreme Genetics.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We believe that our Extreme Genetics discovery platform enhances the likelihood of discovering a drug target that has a major effect in humans. From these discoveries, we can gain an improved understanding of how a drug that modulates the target might act when given to a human. Our Extreme Genetics discovery platform has yielded the first approved gene therapy product in the European Union, or the EU, and we are advancing a broad proprietary development pipeline and multiple pharmaceutical partnerships, which include:</w:t>
      </w:r>
    </w:p>
    <w:p>
      <w:pPr>
        <w:spacing w:after="0" w:line="81" w:lineRule="exact"/>
        <w:rPr>
          <w:sz w:val="20"/>
          <w:szCs w:val="20"/>
          <w:color w:val="auto"/>
        </w:rPr>
      </w:pPr>
    </w:p>
    <w:p>
      <w:pPr>
        <w:ind w:left="1040" w:right="20" w:hanging="519"/>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Glybera, developed by our licensee uniQure Biopharma B.V., or uniQure, the first, and currently the only, gene therapy product approved in the EU for the treatment of the orphan disorder lipoprotein lipase deficiency, or LPLD. The first patient treated with Glybera as a commercially-available gene therapy was announced by uniQure in November 2015 and enabled by its commercialization partner in the EU, Chiesi Farmaceutici S.p.A., or Chiesi, which has sole control over commercialization in the EU;</w:t>
      </w:r>
    </w:p>
    <w:p>
      <w:pPr>
        <w:spacing w:after="0" w:line="71" w:lineRule="exact"/>
        <w:rPr>
          <w:rFonts w:ascii="Times New Roman" w:cs="Times New Roman" w:eastAsia="Times New Roman" w:hAnsi="Times New Roman"/>
          <w:sz w:val="18"/>
          <w:szCs w:val="18"/>
          <w:color w:val="auto"/>
        </w:rPr>
      </w:pPr>
    </w:p>
    <w:p>
      <w:pPr>
        <w:ind w:left="1040" w:right="80" w:hanging="519"/>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TV-45070 (formerly XEN402), a product candidate being developed in collaboration with Teva for the treatment of pain. Teva is currently conducting a randomized, double-blind, placebo-controlled Phase 2b clinical trial in patients with post-herpetic neuralgia, or PHN, with results expected in the first half of 2017. TV-45070 is a topically applied small-molecule inhibitor of the sodium channel Nav1.7 and other sodium channels, including those that are expressed in the pain-sensing peripheral nervous system;</w:t>
      </w:r>
    </w:p>
    <w:p>
      <w:pPr>
        <w:spacing w:after="0" w:line="71" w:lineRule="exact"/>
        <w:rPr>
          <w:rFonts w:ascii="Times New Roman" w:cs="Times New Roman" w:eastAsia="Times New Roman" w:hAnsi="Times New Roman"/>
          <w:sz w:val="18"/>
          <w:szCs w:val="18"/>
          <w:color w:val="auto"/>
        </w:rPr>
      </w:pPr>
    </w:p>
    <w:p>
      <w:pPr>
        <w:ind w:left="1040" w:right="160" w:hanging="519"/>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GDC-0276 and GDC-0310, which are both oral, selective Nav1.7 small-molecule inhibitors being developed in collaboration with Genentech for the potential treatment of pain. Phase 1 clinical trials for GDC-0276 and GDC-0310 are ongoing, and pending a full assessment of the results, Genentech intends to initiate a Phase 2 clinical trial in 2016. Xenon and Genentech also have an active research collaboration focused on other orally selective small molecule inhibitors of Nav1.7;</w:t>
      </w:r>
    </w:p>
    <w:p>
      <w:pPr>
        <w:spacing w:after="0" w:line="71" w:lineRule="exact"/>
        <w:rPr>
          <w:rFonts w:ascii="Times New Roman" w:cs="Times New Roman" w:eastAsia="Times New Roman" w:hAnsi="Times New Roman"/>
          <w:sz w:val="18"/>
          <w:szCs w:val="18"/>
          <w:color w:val="auto"/>
        </w:rPr>
      </w:pPr>
    </w:p>
    <w:p>
      <w:pPr>
        <w:ind w:left="1040" w:right="260" w:hanging="519"/>
        <w:spacing w:after="0" w:line="289" w:lineRule="auto"/>
        <w:tabs>
          <w:tab w:leader="none" w:pos="10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XEN801, a stearoyl Co-A desaturase-1, or SCD1, inhibitor being developed for the treatment of acne. SCD1 is an enzyme involved in lipid synthesis that is expressed in sebaceous glands in the skin. We have completed a Phase 1 clinical trial for XEN801 and initiated a Phase 2 clinical trial in February 2016 in patients with moderate to severe facial acne. We anticipate topline results in the fourth quarter of 2016; 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12" w:name="page13"/>
    <w:bookmarkEnd w:id="12"/>
    <w:p>
      <w:pPr>
        <w:ind w:left="1040" w:hanging="519"/>
        <w:spacing w:after="0" w:line="266"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proprietary preclinical programs, including a Nav1.6 sodium channel inhibitor for the treatment of rare childhood epilepsy disorders, such as Dravet Syndrome, an orphan disease of severe childhood epilepsy. We expect to identify a development candidate in 2016 and file an investigational new drug, or IND, application for our Nav1.6 inhibitor in the first half of 2017.</w:t>
      </w:r>
    </w:p>
    <w:p>
      <w:pPr>
        <w:spacing w:after="0" w:line="176" w:lineRule="exact"/>
        <w:rPr>
          <w:sz w:val="20"/>
          <w:szCs w:val="20"/>
          <w:color w:val="auto"/>
        </w:rPr>
      </w:pPr>
    </w:p>
    <w:p>
      <w:pPr>
        <w:ind w:right="380" w:firstLine="571"/>
        <w:spacing w:after="0" w:line="266" w:lineRule="auto"/>
        <w:rPr>
          <w:sz w:val="20"/>
          <w:szCs w:val="20"/>
          <w:color w:val="auto"/>
        </w:rPr>
      </w:pPr>
      <w:r>
        <w:rPr>
          <w:rFonts w:ascii="Times New Roman" w:cs="Times New Roman" w:eastAsia="Times New Roman" w:hAnsi="Times New Roman"/>
          <w:sz w:val="18"/>
          <w:szCs w:val="18"/>
          <w:color w:val="auto"/>
        </w:rPr>
        <w:t>We have funded our operations through the sale of equity securities, funding received from our licensees and collaborators and, to a lesser extent, government funding. For the three months ended March 31, 2016, we recognized revenues, consisting primarily of funding from our collaborators of approximately $0.6 million. This compares to $4.0 million for the three months ended March 31, 2015.</w:t>
      </w:r>
    </w:p>
    <w:p>
      <w:pPr>
        <w:spacing w:after="0" w:line="176"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Though our revenue from our collaboration and license agreements resulted in net income of $13.0 million for the year ended December 31, 2014 and $12.0 million for the year ended December 31, 2013, we do not expect to have sustained profitability for the foreseeable future. We had net losses of $3.3 million for the three months ended March 31, 2016 and an accumulated deficit of $123.0 million as of March 31, 2016, from expenses incurred in connection with our research programs and from general and administrative costs associated with our operations.</w:t>
      </w:r>
    </w:p>
    <w:p>
      <w:pPr>
        <w:spacing w:after="0" w:line="180"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Other than royalties we are eligible to receive from sales of Glybera under our license to uniQure, which we do not expect to be significant in the near-term, we have not generated any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88"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at least the next 12 to 24 months. We anticipate that our expenses will increase substantially as we:</w:t>
      </w:r>
    </w:p>
    <w:p>
      <w:pPr>
        <w:spacing w:after="0" w:line="54"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and other payments under our in-license agreements;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skilled personnel;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and otherwise.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firstLine="577"/>
        <w:spacing w:after="0" w:line="258" w:lineRule="auto"/>
        <w:rPr>
          <w:sz w:val="20"/>
          <w:szCs w:val="20"/>
          <w:color w:val="auto"/>
        </w:rPr>
      </w:pPr>
      <w:r>
        <w:rPr>
          <w:rFonts w:ascii="Times New Roman" w:cs="Times New Roman" w:eastAsia="Times New Roman" w:hAnsi="Times New Roman"/>
          <w:sz w:val="18"/>
          <w:szCs w:val="18"/>
          <w:color w:val="auto"/>
        </w:rPr>
        <w:t>In March 2016, we amended our collaborative research and license agreement with Genentech, and its affiliate, F. Hoffman-La Roche Ltd., to use the work performed in our ongoing Nav1.7 pain collaboration. Pursuant to the amendment, we obtained a royalty free, non-exclusive license to make, use and test certain collaboration compounds developed under the Nav1.7 collaboration for internal research purposes during the term of the collaboration. The license is not sublicensable or transferable. In addition, the research term for Xenon’s second collaboration with Genentech, which is centered on pain genetics, was extended for another year until March 2017.</w:t>
      </w:r>
    </w:p>
    <w:p>
      <w:pPr>
        <w:spacing w:after="0" w:line="184" w:lineRule="exact"/>
        <w:rPr>
          <w:sz w:val="20"/>
          <w:szCs w:val="20"/>
          <w:color w:val="auto"/>
        </w:rPr>
      </w:pPr>
    </w:p>
    <w:p>
      <w:pPr>
        <w:ind w:right="340" w:firstLine="571"/>
        <w:spacing w:after="0" w:line="266" w:lineRule="auto"/>
        <w:rPr>
          <w:sz w:val="20"/>
          <w:szCs w:val="20"/>
          <w:color w:val="auto"/>
        </w:rPr>
      </w:pPr>
      <w:r>
        <w:rPr>
          <w:rFonts w:ascii="Times New Roman" w:cs="Times New Roman" w:eastAsia="Times New Roman" w:hAnsi="Times New Roman"/>
          <w:sz w:val="18"/>
          <w:szCs w:val="18"/>
          <w:color w:val="auto"/>
        </w:rPr>
        <w:t>In April 2016, we announced the hiring of Dr. Raymond J. Winquist as our Head, Translational Research. Dr. Winquist is responsible for the identification and selection of drug discovery and development programs and will support biology and pharmacology efforts at Xenon through preclinical development.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To date, our revenue has been primarily derived from collaboration and licensing agreements as well as, to a lesser extent, government funding. In addition, we have received nominal royalties from sales of Glybera under our license to uniQure as well as a diagnostic license. Other than royalties we are eligible to receive from sales of Glybera, which we do not expect to be significant in the near-term, we have not generated any royalty revenue from product sales, and do not otherwise anticipate generating revenue from product sales for the foreseeable future, if ever.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3" w:name="page14"/>
    <w:bookmarkEnd w:id="13"/>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revenue recognized from our current collaboration agreements for the three months ended March 31, 2016 and 2015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5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Recognition of upfront payment</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funding</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Genentech:</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Recognition of upfront payment</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Research funding</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780" w:type="dxa"/>
            <w:vAlign w:val="bottom"/>
            <w:tcBorders>
              <w:bottom w:val="single" w:sz="8" w:color="auto"/>
            </w:tcBorders>
            <w:shd w:val="clear" w:color="auto" w:fill="CFF0FC"/>
          </w:tcPr>
          <w:p>
            <w:pPr>
              <w:jc w:val="right"/>
              <w:ind w:right="62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Pursuant to the terms of our collaborative development and license agreement with Teva, we received an upfront payment of $41.0 million. We determined that the various deliverables under this agreement should be considered as a single unit of accounting. As such, the $41.0 million upfront payment was recognized as revenue ratably over the expected period of research performance of pre-commercial activities, which was the three-year period from December 2012 through December 2015.</w:t>
      </w:r>
    </w:p>
    <w:p>
      <w:pPr>
        <w:spacing w:after="0" w:line="180" w:lineRule="exact"/>
        <w:rPr>
          <w:sz w:val="20"/>
          <w:szCs w:val="20"/>
          <w:color w:val="auto"/>
        </w:rPr>
      </w:pPr>
    </w:p>
    <w:p>
      <w:pPr>
        <w:ind w:right="320" w:firstLine="518"/>
        <w:spacing w:after="0" w:line="261" w:lineRule="auto"/>
        <w:rPr>
          <w:sz w:val="20"/>
          <w:szCs w:val="20"/>
          <w:color w:val="auto"/>
        </w:rPr>
      </w:pPr>
      <w:r>
        <w:rPr>
          <w:rFonts w:ascii="Times New Roman" w:cs="Times New Roman" w:eastAsia="Times New Roman" w:hAnsi="Times New Roman"/>
          <w:sz w:val="18"/>
          <w:szCs w:val="18"/>
          <w:color w:val="auto"/>
        </w:rPr>
        <w:t>Pursuant to the terms of our December 2011 collaborative development and license agreement with Genentech, we received an upfront payment of $10.0 million. We determined that the various deliverables under this agreement should be considered as a single unit of accounting. As such, the</w:t>
      </w:r>
    </w:p>
    <w:p>
      <w:pPr>
        <w:ind w:right="60"/>
        <w:spacing w:after="0" w:line="254" w:lineRule="auto"/>
        <w:rPr>
          <w:sz w:val="20"/>
          <w:szCs w:val="20"/>
          <w:color w:val="auto"/>
        </w:rPr>
      </w:pPr>
      <w:r>
        <w:rPr>
          <w:rFonts w:ascii="Times New Roman" w:cs="Times New Roman" w:eastAsia="Times New Roman" w:hAnsi="Times New Roman"/>
          <w:sz w:val="18"/>
          <w:szCs w:val="18"/>
          <w:color w:val="auto"/>
        </w:rPr>
        <w:t>$10.0 million upfront payment was recognized as revenue ratably over the expected period of research performance, which was the three-year period from December 2011 through December 2014. In August 2013, we recognized a $5.1 million milestone payment for the selection of a compound for good laboratory practices, or GLP, toxicology studies. In August 2014, we recognized a $7.9 million milestone payment for the approval of the GDC-0276 Clinical Trial Application by Health Canada.</w:t>
      </w:r>
    </w:p>
    <w:p>
      <w:pPr>
        <w:spacing w:after="0" w:line="18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Pursuant to the terms of our March 2014 agreement with Genentech, we received an upfront payment of $1.5 million. We determined that the various deliverables under this agreement should be considered as a single unit of accounting. As such, the $1.5 million upfront payment was recognized as revenue ratably over the expected period of research performance, which was the two-year period from March 2014 to March 2016. In September 2015, we recognized a $0.25 million milestone payment for the identification of a novel pain target under this agreement.</w:t>
      </w:r>
    </w:p>
    <w:p>
      <w:pPr>
        <w:spacing w:after="0" w:line="180"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our other internal and partnered products are in various stages of clinical and preclinical development, we do not expect to generate any revenue from product sales other than from our share of revenue related to our agreement with uniQure, which we do not expect to be significant in the near-term, for at least the next several years. We expect that revenue for the next several years will be derived from our agreement with uniQure and our eligibility to receive a share of the compensation received by uniQure relating to the technology or products licensed by us to uniQure; full-time equivalents, or FTE, funding from current and future collaboration agreements;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8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62"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deferred revenue for our collaboration and licensing agreements as of March 31, 2016 and December 31, 2015 (in thousands):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8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Genentech - deferred revenue</w:t>
            </w:r>
          </w:p>
        </w:tc>
        <w:tc>
          <w:tcPr>
            <w:tcW w:w="520" w:type="dxa"/>
            <w:vAlign w:val="bottom"/>
            <w:tcBorders>
              <w:top w:val="single" w:sz="8" w:color="auto"/>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2016, we have recognized all deferred revenues from upfront payments received under our collaboration and licensing agreements.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three months ended March 31, 2016 and 2015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5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46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4,364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1,895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tcBorders>
              <w:bottom w:val="single" w:sz="8" w:color="auto"/>
            </w:tcBorders>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6,259</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further research and development of our proprietary product candidates, as well as to conduct research on our product candidates in collaboration with Teva and Genentech.</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license and collaboration fees, laboratory consumables and allocated facility-related costs.</w:t>
      </w:r>
    </w:p>
    <w:p>
      <w:pPr>
        <w:spacing w:after="0" w:line="18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Project-specific expenses reflect costs directly attributable to our clinical development candidates and our preclinical candidates once nominated and selected for further development. All remaining research and development expenses are reflected in early-stage discovery programs.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84"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license and collaboration fees and laboratory consumables.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6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costs not otherwise included in research and development expenses, director compensation, director’s and officer’s insurance premiums, investor relations costs and professional fees for auditing, tax and legal services, including legal expenses for intellectual property protection.</w:t>
      </w:r>
    </w:p>
    <w:p>
      <w:pPr>
        <w:spacing w:after="0" w:line="180"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2015 also include fair value adjustments upon the reclassification of stock option awards granted to directors and certain consultants to liability classification in the first quarter of 2015. We had a subsequent reclassification of those stock options back to equity in September 2015, due to a change in the denomination of pay of directors and certain consultants in the third quarter.</w:t>
      </w:r>
    </w:p>
    <w:p>
      <w:pPr>
        <w:spacing w:after="0" w:line="176"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We expect that general and administrative expenses will increase in the future as we expand our operating activities to support increased research and development activities, and the potential build of commercial infrastructure for our option for co-promotion of TV-45070 in the U.S., if and when regulatory approval is received.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5" w:right="27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2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income earned on our cash and investment balances. Our interest income has not been significant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174" w:lineRule="exact"/>
        <w:rPr>
          <w:sz w:val="20"/>
          <w:szCs w:val="20"/>
          <w:color w:val="auto"/>
        </w:rPr>
      </w:pPr>
    </w:p>
    <w:p>
      <w:pPr>
        <w:ind w:right="16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Gain (Loss). </w:t>
      </w:r>
      <w:r>
        <w:rPr>
          <w:rFonts w:ascii="Times New Roman" w:cs="Times New Roman" w:eastAsia="Times New Roman" w:hAnsi="Times New Roman"/>
          <w:sz w:val="18"/>
          <w:szCs w:val="18"/>
          <w:color w:val="auto"/>
        </w:rPr>
        <w:t>Net foreign exchange gains and losses consisted of gains and losses from the impact of foreign exchange fluctuations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monetary assets and liabilities that are denominated in currencies other than the U.S. dollar (principally the Canadian dollar). See “Quantitative and Qualitative Disclosures About Market Risk – Foreign Currency Exchange Risk” below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conformity with generally accepted accounting principles in the U.S., or U.S. GAAP. The preparation of our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8"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w:t>
      </w:r>
    </w:p>
    <w:p>
      <w:pPr>
        <w:spacing w:after="0" w:line="68"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costs;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significant judgements and estimates during the three months ended March 31, 2016, as compared to those disclosed in “Management’s Discussion and Analysis of Financial Conditions and Results of Operations - Critical Accounting Policies and Significant Judgments and Estimates” included in our 2015 Annual Report on Form 10-K filed with the U.S. Securities and Exchange Commission, or SEC, on March 8, 2016. We believe that the accounting policies discussed in the Annual Report are critical to understanding our historical and future performance, as these policies relate to the more significant areas involving management’s judgments and estimates.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2016 and 2015</w:t>
      </w:r>
    </w:p>
    <w:p>
      <w:pPr>
        <w:spacing w:after="0" w:line="121"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2016 and 2015 together with changes in those items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0" w:type="dxa"/>
            <w:vAlign w:val="bottom"/>
            <w:gridSpan w:val="6"/>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2016 vs. 2015</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Increase/(Decrease)</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(3,171)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5" w:right="21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recognized revenue of $0.6 million for the three months ended March 31, 2016 compared to $4.0 million for the three months ended March 31, 2015, a decrease of $3.4 million. In 2015, we recognized revenues relating to the upfront payment from the collaborative agreement with Teva which was fully recognized by December 2015. The remaining decrease as compared to the same period in 2015 was due to less FTE funding from Genentech and Teva as we shifted resources from supporting our collaborations to our proprietary programs.</w:t>
      </w:r>
    </w:p>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research and development expenses for the three months ended March 31, 2016 and 2015 together with changes in those items (in thousands):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2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220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expenses</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XEN801 expenses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Preclinical and discovery program expenses</w:t>
            </w: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$4.4 million for the three months ended March 31, 2016 compared to $3.4 million for the three months ended March 31, 2015. The increase of $0.9 million was primarily attributable to increased spending on our preclinical and discovery programs, mostly related to our Nav 1.6 sodium channel inhibitor program, as well as additional expenses for our XEN801 program which entered Phase 2 clinical development in February 2016. These increases were partially offset by a decrease in Genentech collaboration expenses.</w:t>
      </w:r>
    </w:p>
    <w:p>
      <w:pPr>
        <w:spacing w:after="0" w:line="2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general and administrative expenses for the three months ended March 31, 2016 and 2015 together with changes in those items (in thousands):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8"/>
        </w:trPr>
        <w:tc>
          <w:tcPr>
            <w:tcW w:w="4480" w:type="dxa"/>
            <w:vAlign w:val="bottom"/>
          </w:tcPr>
          <w:p>
            <w:pPr>
              <w:spacing w:after="0"/>
              <w:rPr>
                <w:sz w:val="15"/>
                <w:szCs w:val="15"/>
                <w:color w:val="auto"/>
              </w:rPr>
            </w:pPr>
          </w:p>
        </w:tc>
        <w:tc>
          <w:tcPr>
            <w:tcW w:w="2040" w:type="dxa"/>
            <w:vAlign w:val="bottom"/>
            <w:tcBorders>
              <w:bottom w:val="single" w:sz="8" w:color="auto"/>
            </w:tcBorders>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3"/>
                <w:szCs w:val="13"/>
                <w:color w:val="auto"/>
              </w:rPr>
            </w:pPr>
          </w:p>
        </w:tc>
        <w:tc>
          <w:tcPr>
            <w:tcW w:w="130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0" w:firstLine="51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$1.9 million for the three months ended March 31, 2016 compared to $6.7 million for the three months ended March 31, 2015, a decrease of $4.8 million. In the quarter ended March 31, 2015, we recognized a $4.9 million expense due to the fair value adjustment upon reclassification of stock option awards granted to directors and certain consultants to liability classification.</w:t>
      </w:r>
    </w:p>
    <w:p>
      <w:pPr>
        <w:spacing w:after="0" w:line="2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other income (expense) for the three months ended March 31, 2016 and 2015 together with changes in those items (in thousands):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222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2016 vs. 2015</w:t>
            </w:r>
          </w:p>
        </w:tc>
        <w:tc>
          <w:tcPr>
            <w:tcW w:w="0" w:type="dxa"/>
            <w:vAlign w:val="bottom"/>
          </w:tcPr>
          <w:p>
            <w:pPr>
              <w:spacing w:after="0"/>
              <w:rPr>
                <w:sz w:val="1"/>
                <w:szCs w:val="1"/>
                <w:color w:val="auto"/>
              </w:rPr>
            </w:pPr>
          </w:p>
        </w:tc>
      </w:tr>
      <w:tr>
        <w:trPr>
          <w:trHeight w:val="156"/>
        </w:trPr>
        <w:tc>
          <w:tcPr>
            <w:tcW w:w="4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3"/>
                <w:szCs w:val="13"/>
                <w:color w:val="auto"/>
              </w:rPr>
            </w:pPr>
          </w:p>
        </w:tc>
        <w:tc>
          <w:tcPr>
            <w:tcW w:w="1280" w:type="dxa"/>
            <w:vAlign w:val="bottom"/>
            <w:gridSpan w:val="3"/>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Other income was $2.4 million for the three months ended March 31, 2016 as compared to other expense of $3.0 million for the three months ended March 31, 2015. The change of $5.4 million was primarily driven by the change in foreign exchange gain (loss). We recorded a foreign exchange gain of $2.3 million for the three months ended March 31, 2016, which was primarily unrealized gains arising largely from the translation of $39.2 million of cash and cash equivalents denominated in Canadian dollars to U.S. dollars and a 7% increase in the value of the Canadian dollar during the three month period. During the same period in 2015, we recorded a foreign exchange loss of $3.2 million largely due to an 8% decrease in the value of the Canadian dollar during the three month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1"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funding received from collaboration and license agreements, private placements of our common and preferred shares and our initial public offering, or IPO, as well as through the receipt of government funding. As of March 31, 2016, we had cash and cash equivalents of $56.1 million. We received $38.5 million of proceeds, net of underwriting discounts and commissions but before offering expenses, from our IPO and $4.1 million of proceeds, net of underwriters’ fees but before offering expenses, from the concurrent private placement to an affiliate of Genentech. Our IPO and concurrent private placement each closed in November 2014.</w:t>
      </w:r>
    </w:p>
    <w:p>
      <w:pPr>
        <w:spacing w:after="0" w:line="184"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We had a $3.3 million net loss for the three months ended March 31, 2016 and an accumulated deficit of $123.0 million from inception through March 31, 2016.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and validate additional product candidates; acquire or in-license other product candidates and technologies; make milestone or other payments under our in-license agreements including, without limitation, our agreements with the University of British Columbia, or UBC, and the Memorial University of Newfoundland, or MUN;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as a public company and our product development and planned future commercialization efforts; and experience any delays or encounter issues with any of the above.</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future product candidates we pursue;</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independently researching and developing any of our future product candidates, including conducting preclinical research and clinical trials;</w:t>
      </w:r>
    </w:p>
    <w:p>
      <w:pPr>
        <w:spacing w:after="0" w:line="53"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existing collaborations continue to generate substantial milestone payments and, ultimately, royalties on future approved products for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future product candidates we develop independently;</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future product candidates and products, if any;</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collaborations and to establish new collaborations,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litigation costs and the outcome of such litigation;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Glybera, and our future products, if any.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8" w:name="page19"/>
    <w:bookmarkEnd w:id="18"/>
    <w:p>
      <w:pPr>
        <w:ind w:firstLine="518"/>
        <w:spacing w:after="0" w:line="258" w:lineRule="auto"/>
        <w:rPr>
          <w:sz w:val="20"/>
          <w:szCs w:val="20"/>
          <w:color w:val="auto"/>
        </w:rPr>
      </w:pPr>
      <w:r>
        <w:rPr>
          <w:rFonts w:ascii="Times New Roman" w:cs="Times New Roman" w:eastAsia="Times New Roman" w:hAnsi="Times New Roman"/>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2016 and 2015 (in thousands):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54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FF0FC"/>
          </w:tcPr>
          <w:p>
            <w:pPr>
              <w:spacing w:after="0"/>
              <w:rPr>
                <w:sz w:val="19"/>
                <w:szCs w:val="19"/>
                <w:color w:val="auto"/>
              </w:rPr>
            </w:pPr>
          </w:p>
        </w:tc>
      </w:tr>
    </w:tbl>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net cash used by operating activities totaled $4.9 million, compared to net cash used in operating activities of $5.5 million for the same period in 2015. The change was primarily related to the timing of cash payments of trade payables, partially offset by a decrease in FTE funding and an increase in operating expenses.</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2016, net cash used in investing activities totaled $0.1 million, compared to net cash provided by investing activities of $1.5 million for the same period in 2015. The change was driven primarily by the redemption of marketable securities in the three months ended March 31, 2015 which did not occur in the three months ended March 31, 2016.</w:t>
      </w:r>
    </w:p>
    <w:p>
      <w:pPr>
        <w:spacing w:after="0" w:line="2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net cash provided by financing activities did not change significantly as compared to the same period in 2015 and consisted exclusively of proceeds from the issuance of common shares from the exercise of stock options for both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Our future significant contractual obligations as of December 31, 2015 were reported in our Annual Report on Form 10-K, filed with the SEC on March 8, 2016.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2016, there have been no material changes from the contractual commitments previously disclosed in the Annual Report on Form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in the last three fiscal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May 6, 2016, we had 14,403,866 common shares issued and outstanding and outstanding options to purchase an additional 1,975,057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or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beginning after December 15, 2017 instead of the originally contemplated effective date of December 15, 2016. In March and April 2016, the FASB issued amendments to the new revenue standard to clarify the implementation guidance on principal versus agent considerations and identifying performance obligations and licensing with the same effective date as the new revenue standard. We are currently evaluating the new guidance to determine the impact it will have on our financial statements.</w:t>
      </w:r>
    </w:p>
    <w:p>
      <w:pPr>
        <w:spacing w:after="0" w:line="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August 2014, the FASB issued amendments requiring management to assess an entity’s ability to continue as a going concern. For each reporting period, management will be required to evaluate whether there are conditions or events that raise substantial doubt about a company’s ability to continue as a going concern within one year from the date the financial statements are issued. These amendments will be effective for public entities for the annual period ending after December 15, 2016, and for annual periods and interim periods thereafter. The adoption of these amendments in fiscal 2016 is not expected to have a material impact on our financial statements.</w:t>
      </w:r>
    </w:p>
    <w:p>
      <w:pPr>
        <w:spacing w:after="0" w:line="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beginning after December 15, 2018. The adoption of these amendments in fiscal 2019 is not expected to have a material impact on our financial statements.</w:t>
      </w:r>
    </w:p>
    <w:p>
      <w:pPr>
        <w:spacing w:after="0" w:line="76"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March 2016, the FASB issued amendments to stock-based compensation accounting to simplify several aspects of the accounting for share-based payment transactions, including the income tax consequences, classification of awards as either equity or liabilities, and classification of the statement of cash flows. The amendments stipulate (a) all excess tax benefits and tax deficiencies should be recognized as income tax expense or benefit in the statement of operations and the tax effects of exercised or vested awards should be treated as discrete items in the reporting period in which they occur, (b) excess tax benefits should be classified along with other tax cash flows as an operating activity, (c) an entity can make an entity-wide accounting policy election to either estimate the number of awards that are expected to vest (current GAAP) or account for forfeitures when they occur, (d) the threshold to qualify for equity classification permits withholding up to the maximum statutory tax rates in the applicable jurisdictions, and (e) cash paid by an employee when directly withholding shares for tax withholding purposes should be classified as financing activity. These amendments will be effective for public entities for fiscal years beginning after December 15, 2016. The adoption of these amendments in fiscal 2017 is not expected to have a material impact on our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20" w:name="page21"/>
    <w:bookmarkEnd w:id="20"/>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the majority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March 31, 2016, we held cash and cash equivalents of $39.2 million denominated in Canadian dollars. A hypothetical 10% increase (decrease) in the value of the Canadian dollar would result in a foreign exchange gain (loss) of $3.9 million being recorded in the Statement of Operations on the translation of these Canadian dollar cash and cash equivalent balances into the U.S. dollar functional currency.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An additional market risk we face is interest rate risk. We had cash and cash equivalents of $56.1 million as of March 31, 2016.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 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March 31, 2016.</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80" w:firstLine="526"/>
        <w:spacing w:after="0" w:line="258" w:lineRule="auto"/>
        <w:tabs>
          <w:tab w:leader="none" w:pos="7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w:t>
      </w:r>
    </w:p>
    <w:p>
      <w:pPr>
        <w:spacing w:after="0" w:line="181" w:lineRule="exact"/>
        <w:rPr>
          <w:rFonts w:ascii="Times New Roman" w:cs="Times New Roman" w:eastAsia="Times New Roman" w:hAnsi="Times New Roman"/>
          <w:sz w:val="18"/>
          <w:szCs w:val="18"/>
          <w:color w:val="auto"/>
        </w:rPr>
      </w:pPr>
    </w:p>
    <w:p>
      <w:pPr>
        <w:ind w:right="20" w:firstLine="526"/>
        <w:spacing w:after="0" w:line="284" w:lineRule="auto"/>
        <w:tabs>
          <w:tab w:leader="none" w:pos="7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were no changes in our internal control over financial reporting during the quarter ended March 31, 2016 that have materially affected, or are reasonably likely to materially affect, our internal control over financial reporting.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significant losses for the foreseeable future.</w:t>
      </w:r>
    </w:p>
    <w:p>
      <w:pPr>
        <w:spacing w:after="0" w:line="121"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and, other than the years ended December 31, 2014 and 2013, we have recorded net losses in each annual reporting period since inception in 1996, and we do not expect to have sustained profitability for the foreseeable future. We had net losses of $3.3 million for the three months ended March 31, 2016 and an accumulated deficit of $123.0 million as of March 31, 2016, which were driven by expenses incurred in connection with our research programs and from general and administrative costs associated with our operations.</w:t>
      </w:r>
    </w:p>
    <w:p>
      <w:pPr>
        <w:spacing w:after="0" w:line="180"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Other than royalties we are eligible to receive from sales of Glybera under our license to uniQure Biopharma B.V., or uniQure, we have not generated any royalty revenue from product sales and our product candidates will require substantial additional investment before they will provide us with any product royalty revenue.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to incur significant expenses and increasing operating losses for the foreseeable future as we:</w:t>
      </w:r>
    </w:p>
    <w:p>
      <w:pPr>
        <w:spacing w:after="0" w:line="117"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clinical studies for our current and prospective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clinical or other studies for our product candidates, including under our collaboration agreements;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any of our product candidates that successfully complete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validate additional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or other payments under our in-license agreements including, without limitation, our agreements with the University of British Columbia, or UBC, and the Memorial University of Newfoundland;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or one of our collaborators may obtain marketing approval, and for which we have maintained commercial rights;</w:t>
      </w:r>
    </w:p>
    <w:p>
      <w:pPr>
        <w:spacing w:after="0" w:line="53" w:lineRule="exact"/>
        <w:rPr>
          <w:rFonts w:ascii="Times New Roman" w:cs="Times New Roman" w:eastAsia="Times New Roman" w:hAnsi="Times New Roman"/>
          <w:sz w:val="18"/>
          <w:szCs w:val="18"/>
          <w:color w:val="auto"/>
        </w:rPr>
      </w:pPr>
    </w:p>
    <w:p>
      <w:pPr>
        <w:ind w:left="1040" w:right="122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and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ind w:firstLine="518"/>
        <w:spacing w:after="0" w:line="261" w:lineRule="auto"/>
        <w:rPr>
          <w:sz w:val="20"/>
          <w:szCs w:val="20"/>
          <w:color w:val="auto"/>
        </w:rPr>
      </w:pPr>
      <w:r>
        <w:rPr>
          <w:rFonts w:ascii="Times New Roman" w:cs="Times New Roman" w:eastAsia="Times New Roman" w:hAnsi="Times New Roman"/>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84" w:lineRule="exact"/>
        <w:rPr>
          <w:sz w:val="20"/>
          <w:szCs w:val="20"/>
          <w:color w:val="auto"/>
        </w:rPr>
      </w:pPr>
    </w:p>
    <w:p>
      <w:pPr>
        <w:ind w:right="3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than royalties we are eligible to receive from sales of Glybera, we have not generated any royalty revenue from product sales and may never become profitable on a U.S. GAAP basis.</w:t>
      </w:r>
    </w:p>
    <w:p>
      <w:pPr>
        <w:spacing w:after="0" w:line="51" w:lineRule="exact"/>
        <w:rPr>
          <w:sz w:val="20"/>
          <w:szCs w:val="20"/>
          <w:color w:val="auto"/>
        </w:rPr>
      </w:pPr>
    </w:p>
    <w:p>
      <w:pPr>
        <w:ind w:right="180" w:firstLine="518"/>
        <w:spacing w:after="0" w:line="254" w:lineRule="auto"/>
        <w:rPr>
          <w:sz w:val="20"/>
          <w:szCs w:val="20"/>
          <w:color w:val="auto"/>
        </w:rPr>
      </w:pPr>
      <w:r>
        <w:rPr>
          <w:rFonts w:ascii="Times New Roman" w:cs="Times New Roman" w:eastAsia="Times New Roman" w:hAnsi="Times New Roman"/>
          <w:sz w:val="18"/>
          <w:szCs w:val="18"/>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Other than royalties we are eligible to receive from sales of Glybera under our license to uniQure, we have not generated any royalty revenue from product sales, and do not otherwise anticipate generating revenue from product sales for the foreseeable future, if ever. Commercial sales of Glybera commenced in November 2015, but we do not expect to receive significant revenue in the near-term from these sales. If any of our product candidates fail in clinical trials or do not gain regulatory approval, or if Glybera or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78"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preclinical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complete clinical studies;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products for which we obtain regulatory and marketing approval as therapies;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40" w:right="50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sustainable, scalable, reproducible, and transferable manufacturing processes for any of our products approved in the future;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expanding and enforcing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Glybera and future products, if any. If we are unable to achieve sufficient revenue to become profitable and remain so, our financial condition and operating results will be negatively impacted, and our trading price might be harmed.</w:t>
      </w:r>
    </w:p>
    <w:p>
      <w:pPr>
        <w:spacing w:after="0" w:line="284" w:lineRule="exact"/>
        <w:rPr>
          <w:sz w:val="20"/>
          <w:szCs w:val="20"/>
          <w:color w:val="auto"/>
        </w:rPr>
      </w:pPr>
    </w:p>
    <w:p>
      <w:pPr>
        <w:ind w:right="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51"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manufacturing of product candidates and products approved for sale, conducting preclinical experiments and clinical trials and obtaining and maintaining regulatory approvals, as well as commercializing any products later approved for sale. During the three months ended March 31, 2016, we incurred approximately $4.4 million of costs associated with research and development, exclusive of costs incurred by our collaborators in developing our product candidates.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23" w:name="page24"/>
    <w:bookmarkEnd w:id="23"/>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72"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the future product candidates we pursue;</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independently researching and developing any of our future product candidates, including conducting preclinical research and clinical trials;</w:t>
      </w:r>
    </w:p>
    <w:p>
      <w:pPr>
        <w:spacing w:after="0" w:line="53"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existing collaborations continue to generate substantial milestone payments and, ultimately, royalties on future approved products for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future product candidates we develop independently;</w:t>
      </w:r>
    </w:p>
    <w:p>
      <w:pPr>
        <w:spacing w:after="0" w:line="117"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future product candidates and products, if any;</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collaborations and to establish new collaborations, licensing or other arrangements and the financial terms of such agreements;</w:t>
      </w:r>
    </w:p>
    <w:p>
      <w:pPr>
        <w:spacing w:after="0" w:line="53" w:lineRule="exact"/>
        <w:rPr>
          <w:rFonts w:ascii="Times New Roman" w:cs="Times New Roman" w:eastAsia="Times New Roman" w:hAnsi="Times New Roman"/>
          <w:sz w:val="18"/>
          <w:szCs w:val="18"/>
          <w:color w:val="auto"/>
        </w:rPr>
      </w:pPr>
    </w:p>
    <w:p>
      <w:pPr>
        <w:ind w:left="1040" w:right="10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litigation costs and the outcome of such litigation;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Glybera, and our future products, if any.</w:t>
      </w:r>
    </w:p>
    <w:p>
      <w:pPr>
        <w:spacing w:after="0" w:line="225"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62"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w:t>
      </w:r>
    </w:p>
    <w:p>
      <w:pPr>
        <w:spacing w:after="0" w:line="176" w:lineRule="exact"/>
        <w:rPr>
          <w:sz w:val="20"/>
          <w:szCs w:val="20"/>
          <w:color w:val="auto"/>
        </w:rPr>
      </w:pPr>
    </w:p>
    <w:p>
      <w:pPr>
        <w:ind w:right="240" w:firstLine="518"/>
        <w:spacing w:after="0" w:line="261" w:lineRule="auto"/>
        <w:rPr>
          <w:sz w:val="20"/>
          <w:szCs w:val="20"/>
          <w:color w:val="auto"/>
        </w:rPr>
      </w:pPr>
      <w:r>
        <w:rPr>
          <w:rFonts w:ascii="Times New Roman" w:cs="Times New Roman" w:eastAsia="Times New Roman" w:hAnsi="Times New Roman"/>
          <w:sz w:val="18"/>
          <w:szCs w:val="18"/>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4" w:lineRule="exact"/>
        <w:rPr>
          <w:sz w:val="20"/>
          <w:szCs w:val="20"/>
          <w:color w:val="auto"/>
        </w:rPr>
      </w:pPr>
    </w:p>
    <w:p>
      <w:pPr>
        <w:ind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51"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and financial condition.</w:t>
      </w:r>
    </w:p>
    <w:p>
      <w:pPr>
        <w:spacing w:after="0" w:line="12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common share price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currency fluctuations which could impact our 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2016, approximately 70% of our cash and cash equivalents and marketable securities was denominated in Canadian dollars.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the majority of our operating expenses have been denominated in Canadian dollars and the majority of our revenue has been denominated in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and we expect this trend to continue.</w:t>
      </w:r>
    </w:p>
    <w:p>
      <w:pPr>
        <w:spacing w:after="0" w:line="207"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shares could be adversely affected.</w:t>
      </w:r>
    </w:p>
    <w:p>
      <w:pPr>
        <w:spacing w:after="0" w:line="18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From time to time, we may engage in exchange rate hedging activities in an effort to mitigate the impact of exchange rate fluctuations. For example, we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trading price of our common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or our collaborators, may fail to successfully develop our product candidates.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Our product candidates, including TV-45070, GDC-0276, GDC-0310 and XEN801, and compounds in our preclinical and discovery pipeline,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of our common share price could result. For example, in July 2015, we and our partner Teva Pharmaceutical Industries Ltd., or Teva, announced top line results from a Phase 2b study designed to evaluate the safety and efficacy of topically applied TV-45070 in patients with chronic pain due to osteoarthritis, or OA, of the knee. Results from this trial showed that TV-45070 did not demonstrate statistically significant difference from placebo in efficacy endpoints of reductions in pain due to OA and neither we nor Teva have plans for further development of TV-45070 in OA, although clinical development of TV-45070 in post-herpetic neuralgia, or PHN, continues.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5" w:name="page26"/>
    <w:bookmarkEnd w:id="25"/>
    <w:p>
      <w:pPr>
        <w:ind w:right="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near-term operating revenue is partially dependent upon the regulatory and marketing efforts of uniQure, or its sublicensee, for the development and commercialization of Glybera.</w:t>
      </w:r>
    </w:p>
    <w:p>
      <w:pPr>
        <w:spacing w:after="0" w:line="5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Under the terms of our license agreement with uniQure, we rely on uniQure, or its sublicensees, to market Glybera and to obtain and maintain regulatory approval of Glybera. In July 2013, uniQure announced that it had granted to Chiesi Farmaceutici, S.p.A., or Chiesi, an Italian pharmaceutical firm, an exclusive license to commercialize Glybera in the European Union, or the EU, and certain other countries outside of North America and Japan. Commercial sales of Glybera commenced in November 2015. Despite the efforts of uniQure and Chiesi, Glybera may not gain market acceptance among physicians, patients, healthcare payers and the medical community. The commercial success of Glybera will depend on a number of factors, including:</w:t>
      </w:r>
    </w:p>
    <w:p>
      <w:pPr>
        <w:spacing w:after="0" w:line="76" w:lineRule="exact"/>
        <w:rPr>
          <w:sz w:val="20"/>
          <w:szCs w:val="20"/>
          <w:color w:val="auto"/>
        </w:rPr>
      </w:pPr>
    </w:p>
    <w:p>
      <w:pPr>
        <w:ind w:left="1040" w:right="72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demonstration of clinical efficacy and safety and acceptance of the same by the medical community and regulatory authorities;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competing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commercial supply of Glybera;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Glybera;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final assessment of the benefit-risk analysis of Glybera;</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 parties, including governmental payers, managed care organizations, and private health insurers;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cost, safety and efficacy of therapies that exist now or may be developed in the future;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can be manufactured in commercial quantities at acceptable cost;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 for Glybera;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post-approval obligations in the EU including a post-approval clinical trial and market surveillance activities;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marketing approval under exceptional circumstances in the EU;</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and future healthcare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gene therapies as a class of treatment;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or regulatory exclusivities applicable to the product.</w:t>
      </w:r>
    </w:p>
    <w:p>
      <w:pPr>
        <w:spacing w:after="0" w:line="225"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Glybera is approved in the EU under exceptional circumstances and full approval may never be granted or the existing approval under exceptional circumstances could be revoked. As a condition to approval of Glybera, uniQure is required to complete a post-approval clinical trial and is required to implement a disease registry as well as implement risk management procedures, distribute educational materials to healthcare professionals and patients, implement an additional manufacturing process step, comply with certain notification obligations and undergo annual reassessment, any negative outcome of which could potentially lead to a withdrawal of marketing approval for Glybera.</w:t>
      </w:r>
    </w:p>
    <w:p>
      <w:pPr>
        <w:spacing w:after="0" w:line="184"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Any failure of uniQure or its sublicensee to successfully commercialize Glybera or revocation of Glybera’s marketing approval in the EU could have an adverse effect on our business, growth prospects, operating results and financial condition and could result in a decline in the price of our common shares.</w:t>
      </w:r>
    </w:p>
    <w:p>
      <w:pPr>
        <w:spacing w:after="0" w:line="266" w:lineRule="exact"/>
        <w:rPr>
          <w:sz w:val="20"/>
          <w:szCs w:val="20"/>
          <w:color w:val="auto"/>
        </w:rPr>
      </w:pPr>
    </w:p>
    <w:p>
      <w:pPr>
        <w:ind w:right="1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51"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184"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26" w:name="page27"/>
    <w:bookmarkEnd w:id="26"/>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With respect to target discovery activities, competitors and other third parties, including academic and clinical researchers, may access rare families and identify novel targets for drug development before we do.</w:t>
      </w:r>
    </w:p>
    <w:p>
      <w:pPr>
        <w:spacing w:after="0" w:line="162"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84"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To the extent that we are unable to compete effectively against one or more of our competitors in these areas, our business will not grow and our financial condition, results of operations and common share price may suffer.</w:t>
      </w:r>
    </w:p>
    <w:p>
      <w:pPr>
        <w:spacing w:after="0" w:line="162"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There are no approved gene therapies currently on the market for lipoprotein lipase deficiency, or LPLD, in the U.S.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lipoprotein lipase, or LPL, sequence containing the LPL</w:t>
      </w:r>
      <w:r>
        <w:rPr>
          <w:rFonts w:ascii="Times New Roman" w:cs="Times New Roman" w:eastAsia="Times New Roman" w:hAnsi="Times New Roman"/>
          <w:sz w:val="15"/>
          <w:szCs w:val="15"/>
          <w:color w:val="auto"/>
        </w:rPr>
        <w:t>S447X</w:t>
      </w:r>
      <w:r>
        <w:rPr>
          <w:rFonts w:ascii="Times New Roman" w:cs="Times New Roman" w:eastAsia="Times New Roman" w:hAnsi="Times New Roman"/>
          <w:sz w:val="18"/>
          <w:szCs w:val="18"/>
          <w:color w:val="auto"/>
        </w:rPr>
        <w:t xml:space="preserve"> genetic variant or otherwise.</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and pregabalin. We are also aware of clinical-stage development programs at several pharmaceutical and biotechnology companies that are developing Nav1.7 inhibitors or other sodium channel inhibitors for the treatment of pain, including Biogen Inc., Dainippon Sumitomo Co., Ltd., Eli Lilly and Company, Merck &amp; Co., Inc., or Merck, NeuroQuest Inc., and Vertex Pharmaceuticals Inc. Moreover, we are aware of various other product candidates in development that target other mechanisms of action to treat various pain indications, including calcium channel inhibitors, nerve growth factor inhibitors and P2X purinoceptor 3 inhibitors.</w:t>
      </w:r>
    </w:p>
    <w:p>
      <w:pPr>
        <w:spacing w:after="0" w:line="188"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If XEN801 were approved for the treatment of acne, we anticipate it would compete with other approved prescription acne products including topical retinoids, oral hormonal therapies, topical and oral antimicrobials, and oral isotretinoin. In addition to approved prescription therapies, there are a wide range of over-the-counter, or OTC, treatments targeted at treating acne. Additionally, there are a number of prescription products that are used “off-label” for the treatment of acne. We are also aware of several products in clinical development that could potentially compete with XEN801, including products in development from Allergan PLC, AOBiome LLC, Braintree Laboratories Inc., Cassiopea SpA, Dermira Inc., Foamix Pharmaceuticals Ltd., Galderma SA, Mimetica Pty Ltd, Novan Therapeutics, Phosphagenics Ltd, Valeant Pharmaceuticals, and XBiotech Inc.</w:t>
      </w:r>
    </w:p>
    <w:p>
      <w:pPr>
        <w:spacing w:after="0" w:line="292" w:lineRule="exact"/>
        <w:rPr>
          <w:sz w:val="20"/>
          <w:szCs w:val="20"/>
          <w:color w:val="auto"/>
        </w:rPr>
      </w:pPr>
    </w:p>
    <w:p>
      <w:pPr>
        <w:ind w:right="5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novelty of gene therapy products and their lack of a commercial track record may hinder market acceptance of Glybera among physicians, patients, healthcare payers and the medical community.</w:t>
      </w:r>
    </w:p>
    <w:p>
      <w:pPr>
        <w:spacing w:after="0" w:line="51"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Glybera is the first gene therapy product approved in the EU, and no gene therapy product has been approved in the U.S. Because Glybera is the first gene therapy to be marketed in the EU, gaining market acceptance and overcoming any safety or efficacy concerns may be more challenging than for a more traditional therapy. Glybera’s commercial success will depend, in part, on the success of efforts to educate the market regarding gene therapy products. In particular, the success of Glybera will depend upon physicians who treat patients with LPLD, prescribing Glybera. With respect to Glybera and any other gene therapy products we or a collaborator may develop, public perception may be influenced by claims that gene therapy is unsafe, and, if so, gene therapy may not gain the acceptance of the public or the medical community.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7" w:name="page28"/>
    <w:bookmarkEnd w:id="27"/>
    <w:p>
      <w:pPr>
        <w:ind w:right="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marketed products and have not yet advanced a product candidate beyond Phase 2 clinical trials, which makes it difficult to assess our ability to develop our future product candidates and commercialize any resulting products independently.</w:t>
      </w:r>
    </w:p>
    <w:p>
      <w:pPr>
        <w:spacing w:after="0" w:line="5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have no experience in Phase 3 and later stage clinical development, and related regulatory requirements or the commercialization of products. uniQure controls and has been responsible for the development and commercialization of Glybera; Teva is responsible for the on-going clinical development of TV-45070; and Genentech Inc., or Genentech, is responsible for the on-going clinical development of GDC-0276 and GDC-0310.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81"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our clinical development plans for later-stage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in each jurisdiction in which we will seek to commercialize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appropriate sales, distribution and marketing capabilities;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our future products, if any;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regulatory approvals and commercialization activities.</w:t>
      </w:r>
    </w:p>
    <w:p>
      <w:pPr>
        <w:spacing w:after="0" w:line="225"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66" w:lineRule="exact"/>
        <w:rPr>
          <w:sz w:val="20"/>
          <w:szCs w:val="20"/>
          <w:color w:val="auto"/>
        </w:rPr>
      </w:pPr>
    </w:p>
    <w:p>
      <w:pPr>
        <w:ind w:right="2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Extreme Genetics discovery platform to discover product candidates in addition to TV-45070, GDC-0276, GDC-0310 and XEN801, our ability to expand our business and achieve our strategic objectives may be impaired.</w:t>
      </w:r>
    </w:p>
    <w:p>
      <w:pPr>
        <w:spacing w:after="0" w:line="51"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rely on our Extreme Genetics discovery platform to identify validated drug targets and develop new product candidates. To date, our Extreme Genetics discovery platform has yielded one approved product, Glybera, and four clinical development candidates TV-45070, GDC-0276, GDC-0310 and XEN801. Use of our discovery platform requires substantial technical, financial and human resources, regardless of whether we identify any novel drug targets. Our Extreme Genetics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89" w:lineRule="exact"/>
        <w:rPr>
          <w:sz w:val="20"/>
          <w:szCs w:val="20"/>
          <w:color w:val="auto"/>
        </w:rPr>
      </w:pPr>
    </w:p>
    <w:p>
      <w:pPr>
        <w:ind w:right="480" w:firstLine="518"/>
        <w:spacing w:after="0" w:line="282" w:lineRule="auto"/>
        <w:rPr>
          <w:sz w:val="20"/>
          <w:szCs w:val="20"/>
          <w:color w:val="auto"/>
        </w:rPr>
      </w:pPr>
      <w:r>
        <w:rPr>
          <w:rFonts w:ascii="Times New Roman" w:cs="Times New Roman" w:eastAsia="Times New Roman" w:hAnsi="Times New Roman"/>
          <w:sz w:val="18"/>
          <w:szCs w:val="18"/>
          <w:color w:val="auto"/>
        </w:rPr>
        <w:t>If we are unable to identify additional product candidates suitable for clinical development and commercialization, we may not be able to obtain product revenue in future periods, which likely would result in significant harm to our financial position and adversely impact our trading price.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drug discovery is unproven, and we do not know whether we will be able to develop any products of commercial value.</w:t>
      </w:r>
    </w:p>
    <w:p>
      <w:pPr>
        <w:spacing w:after="0" w:line="121"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Our Extreme Genetics discovery platform may not reproducibly or cost-effectively result in the discovery of product candidates and development of commercially viable products that safely and effectively treat human disease.</w:t>
      </w:r>
    </w:p>
    <w:p>
      <w:pPr>
        <w:spacing w:after="0" w:line="162" w:lineRule="exact"/>
        <w:rPr>
          <w:sz w:val="20"/>
          <w:szCs w:val="20"/>
          <w:color w:val="auto"/>
        </w:rPr>
      </w:pPr>
    </w:p>
    <w:p>
      <w:pPr>
        <w:jc w:val="both"/>
        <w:ind w:right="440" w:firstLine="518"/>
        <w:spacing w:after="0" w:line="266" w:lineRule="auto"/>
        <w:rPr>
          <w:sz w:val="20"/>
          <w:szCs w:val="20"/>
          <w:color w:val="auto"/>
        </w:rPr>
      </w:pPr>
      <w:r>
        <w:rPr>
          <w:rFonts w:ascii="Times New Roman" w:cs="Times New Roman" w:eastAsia="Times New Roman" w:hAnsi="Times New Roman"/>
          <w:sz w:val="18"/>
          <w:szCs w:val="18"/>
          <w:color w:val="auto"/>
        </w:rPr>
        <w:t>There are various challenges in utilizing our Extreme Genetics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To date, only Glybera has been both developed using our Extreme Genetics discovery platform and approved for commercial sale. If the use of our Extreme Genetics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including headcount, and expanding our operations successfully.</w:t>
      </w:r>
    </w:p>
    <w:p>
      <w:pPr>
        <w:spacing w:after="0" w:line="12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Our business strategy involves continued development and, where development is successful, commercialization of select successfully developed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 We anticipate that we may need to hire additional accounting, legal and financial staff with appropriate public company experience and technical accounting and other knowledge to address the added burdens of operating as a newly public company. There are likely to be infrastructure costs associated with public company compliance as well.</w:t>
      </w:r>
    </w:p>
    <w:p>
      <w:pPr>
        <w:spacing w:after="0" w:line="18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additional relationships with various strategic collaborators, suppliers and other third parties.</w:t>
      </w:r>
    </w:p>
    <w:p>
      <w:pPr>
        <w:spacing w:after="0" w:line="162"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Drs. Simon Pimstone and Y. Paul Goldberg each devote a small amount of their time to clinical work outside of their duties at our company, conducting, generally, two to three outpatient clinics per month.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180"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If we are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0" w:lineRule="exact"/>
        <w:rPr>
          <w:sz w:val="20"/>
          <w:szCs w:val="20"/>
          <w:color w:val="auto"/>
        </w:rPr>
      </w:pPr>
    </w:p>
    <w:p>
      <w:pPr>
        <w:ind w:right="1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w:t>
      </w:r>
    </w:p>
    <w:p>
      <w:pPr>
        <w:spacing w:after="0" w:line="225"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Mr. Ian Mortimer, our Chief Financial Officer and Chief Operating Officer; and Dr. Goldberg, our Vice President, Clinical Development, as well as other employees. In the near future, the loss of services of any of these individuals or one or more of our other members of senior management could materially delay or even prevent the successful development of our product candidates.</w:t>
      </w:r>
    </w:p>
    <w:p>
      <w:pPr>
        <w:spacing w:after="0" w:line="184"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4" w:lineRule="exact"/>
        <w:rPr>
          <w:sz w:val="20"/>
          <w:szCs w:val="20"/>
          <w:color w:val="auto"/>
        </w:rPr>
      </w:pPr>
    </w:p>
    <w:p>
      <w:pPr>
        <w:ind w:right="1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9" w:name="page30"/>
    <w:bookmarkEnd w:id="29"/>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suffer in the event of system failures.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Computer system, network or telecommunications failures due to events such as damage from malware, unauthorized access, terrorism, war, or natural disasters could interrupt our internal or partner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 While we have implemented security measures and, to date, have not detected a cyber security breach nor experienced a material system failure, our internal computer systems and those of our contractors and consultants are vulnerable to damage from these events.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121"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Glybera has been approved for commercial sale in the EU by the EMA, subject to uniQure’s compliance with certain post-approval reporting and monitoring obligations. Our collaborator for TV-45070, Teva, is based in Israel and a significant portion of the research and development activities under our collaboration with Teva are performed outside of North America. If we continue to engage in significant cross-border activities, we will be subject to risks related to international operations, including:</w:t>
      </w:r>
    </w:p>
    <w:p>
      <w:pPr>
        <w:spacing w:after="0" w:line="72"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and biologics in foreign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or open conflict in particular foreign economies and markets;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of doing business in another country;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117" w:lineRule="exact"/>
        <w:rPr>
          <w:rFonts w:ascii="Times New Roman" w:cs="Times New Roman" w:eastAsia="Times New Roman" w:hAnsi="Times New Roman"/>
          <w:sz w:val="18"/>
          <w:szCs w:val="18"/>
          <w:color w:val="auto"/>
        </w:rPr>
      </w:pPr>
    </w:p>
    <w:p>
      <w:pPr>
        <w:ind w:left="1040" w:right="60" w:hanging="519"/>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68" w:lineRule="exact"/>
        <w:rPr>
          <w:rFonts w:ascii="Times New Roman" w:cs="Times New Roman" w:eastAsia="Times New Roman" w:hAnsi="Times New Roman"/>
          <w:sz w:val="18"/>
          <w:szCs w:val="18"/>
          <w:color w:val="auto"/>
        </w:rPr>
      </w:pPr>
    </w:p>
    <w:p>
      <w:pPr>
        <w:ind w:left="1040" w:right="62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53"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Holders of our common shares may suffer adverse tax consequences if we are characterized as a passive foreign investment company.</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2015 and 2014, although we could be a PFIC in one or more subsequent years. Our status as a PFIC is a fact-intensive determination made on an annual basis and we cannot provide any assurance regarding our PFIC status for future taxable years.</w:t>
      </w:r>
    </w:p>
    <w:p>
      <w:pPr>
        <w:spacing w:after="0" w:line="188" w:lineRule="exact"/>
        <w:rPr>
          <w:sz w:val="20"/>
          <w:szCs w:val="20"/>
          <w:color w:val="auto"/>
        </w:rPr>
      </w:pPr>
    </w:p>
    <w:p>
      <w:pPr>
        <w:ind w:right="160" w:firstLine="518"/>
        <w:spacing w:after="0" w:line="289" w:lineRule="auto"/>
        <w:rPr>
          <w:sz w:val="20"/>
          <w:szCs w:val="20"/>
          <w:color w:val="auto"/>
        </w:rPr>
      </w:pPr>
      <w:r>
        <w:rPr>
          <w:rFonts w:ascii="Times New Roman" w:cs="Times New Roman" w:eastAsia="Times New Roman" w:hAnsi="Times New Roman"/>
          <w:sz w:val="17"/>
          <w:szCs w:val="17"/>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5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88"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293" w:lineRule="exact"/>
        <w:rPr>
          <w:sz w:val="20"/>
          <w:szCs w:val="20"/>
          <w:color w:val="auto"/>
        </w:rPr>
      </w:pPr>
    </w:p>
    <w:p>
      <w:pPr>
        <w:ind w:right="4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income tax in jurisdictions in which we are organized or operate, including the United States, which would reduce our future earnings.</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There is a risk that we may become subject to income tax in jurisdictions outside of Canada, including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shareholders and otherwise harm our business.</w:t>
      </w:r>
    </w:p>
    <w:p>
      <w:pPr>
        <w:spacing w:after="0" w:line="121"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68"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31" w:name="page32"/>
    <w:bookmarkEnd w:id="31"/>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62" w:lineRule="exact"/>
        <w:rPr>
          <w:sz w:val="20"/>
          <w:szCs w:val="20"/>
          <w:color w:val="auto"/>
        </w:rPr>
      </w:pPr>
    </w:p>
    <w:p>
      <w:pPr>
        <w:jc w:val="both"/>
        <w:ind w:right="100" w:firstLine="518"/>
        <w:spacing w:after="0" w:line="261"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 of Our Product Candidates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regulators in other jurisdictions are lengthy, time-consuming and inherently unpredictable.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timely regulatory approval for our product candidates, our business will be substantially harmed.</w:t>
      </w:r>
    </w:p>
    <w:p>
      <w:pPr>
        <w:spacing w:after="0" w:line="9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authorities may disagree with the design or implementation of our or our collaborators’ clinical trials;</w:t>
      </w:r>
    </w:p>
    <w:p>
      <w:pPr>
        <w:spacing w:after="0" w:line="117"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EMA or other regulatory authorities for approval;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40" w:right="36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authorities may disagree with our or our collaborators’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62"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80" w:lineRule="exact"/>
        <w:rPr>
          <w:sz w:val="20"/>
          <w:szCs w:val="20"/>
          <w:color w:val="auto"/>
        </w:rPr>
      </w:pPr>
    </w:p>
    <w:p>
      <w:pPr>
        <w:ind w:right="10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Clinical testing of product candidates is expensive and, depending on the stage of development, can take a substantial period of time to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 outcomes are inherently uncertain, and failure can occur at any time during the clinical development process.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color w:val="auto"/>
        </w:rPr>
        <w:t>Clinical trials can be halted or delayed for a variety of reasons, including those related to:</w:t>
      </w:r>
    </w:p>
    <w:p>
      <w:pPr>
        <w:spacing w:after="0" w:line="117"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effects or adverse events in study participants presenting an unacceptable safety risk;</w:t>
      </w:r>
    </w:p>
    <w:p>
      <w:pPr>
        <w:spacing w:after="0" w:line="117" w:lineRule="exact"/>
        <w:rPr>
          <w:rFonts w:ascii="Times New Roman" w:cs="Times New Roman" w:eastAsia="Times New Roman" w:hAnsi="Times New Roman"/>
          <w:sz w:val="18"/>
          <w:szCs w:val="18"/>
          <w:color w:val="auto"/>
        </w:rPr>
      </w:pPr>
    </w:p>
    <w:p>
      <w:pPr>
        <w:ind w:left="1040" w:right="88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reach agreement with prospective contract research organizations, or CROs, and clinical trial sites, or the breach of such agreements;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third-party contractors, such as CROs, or investigators to comply with regulatory requirements;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undertake and complete additional preclinical studies to generate data required to support the submission of an NDA;</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enroll sufficient patients to complete a protocol, particularly in orphan diseases;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having patients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drug product or drug substance storage and distribution;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7" w:lineRule="exact"/>
        <w:rPr>
          <w:rFonts w:ascii="Times New Roman" w:cs="Times New Roman" w:eastAsia="Times New Roman" w:hAnsi="Times New Roman"/>
          <w:sz w:val="18"/>
          <w:szCs w:val="18"/>
          <w:color w:val="auto"/>
        </w:rPr>
      </w:pPr>
    </w:p>
    <w:p>
      <w:pPr>
        <w:ind w:left="1040" w:right="68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manufacture, or obtain from third parties, adequate supply of drug substance or drug product sufficient to complete our preclinical studies and clinical trials;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w:t>
      </w:r>
    </w:p>
    <w:p>
      <w:pPr>
        <w:spacing w:after="0" w:line="225"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88"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89"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8"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Our TV-45070, GDC-0276 and GDC-0310 product candidates for treatment of pain and XEN801 product candidate for the treatment of acne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33" w:name="page34"/>
    <w:bookmarkEnd w:id="33"/>
    <w:p>
      <w:pPr>
        <w:ind w:right="4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51"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 For example, in July 2015, we and our partner Teva announced top line results from a Phase 2b study designed to evaluate the safety and efficacy of topically applied TV-45070 in patients with chronic pain due to OA of the knee. Results from this trial showed that TV-45070 did not demonstrate statistically significant difference from placebo in efficacy endpoints of reductions in pain due to OA and neither we nor Teva have plans for further development of TV-45070 in OA, although clinical development of TV-45070 in PHN continues.</w:t>
      </w:r>
    </w:p>
    <w:p>
      <w:pPr>
        <w:spacing w:after="0" w:line="18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case of some of our product candidates, we are seeking to develop treatments for diseases for which there is relatively limited clinical experience, and, in some cases our clinical trials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GDC-0276 and GDC-0310 are being developed, are inherently difficult to conduct. The primary measure of pain is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89" w:lineRule="exact"/>
        <w:rPr>
          <w:sz w:val="20"/>
          <w:szCs w:val="20"/>
          <w:color w:val="auto"/>
        </w:rPr>
      </w:pPr>
    </w:p>
    <w:p>
      <w:pPr>
        <w:ind w:right="260" w:firstLine="518"/>
        <w:spacing w:after="0" w:line="261" w:lineRule="auto"/>
        <w:rPr>
          <w:sz w:val="20"/>
          <w:szCs w:val="20"/>
          <w:color w:val="auto"/>
        </w:rPr>
      </w:pPr>
      <w:r>
        <w:rPr>
          <w:rFonts w:ascii="Times New Roman" w:cs="Times New Roman" w:eastAsia="Times New Roman" w:hAnsi="Times New Roman"/>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284" w:lineRule="exact"/>
        <w:rPr>
          <w:sz w:val="20"/>
          <w:szCs w:val="20"/>
          <w:color w:val="auto"/>
        </w:rPr>
      </w:pPr>
    </w:p>
    <w:p>
      <w:pPr>
        <w:ind w:right="4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5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68"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study protocol;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study in question;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study sites for prospective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studies;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studies;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The limited patient populations in orphan and niche indications present significant recruitment challenges for clinical trials. For example, studies estimate the prevalence of LPLD to be approximately 1:1,000,000. As an example of a rare childhood epilepsy disorder, the prevalence of Dravet Syndrome, or DS, is estimated to be 7,500-15,000 patients in the U.S.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5" w:right="279" w:bottom="1440" w:gutter="0" w:footer="0" w:header="0"/>
        </w:sectPr>
      </w:pPr>
    </w:p>
    <w:bookmarkStart w:id="34" w:name="page35"/>
    <w:bookmarkEnd w:id="34"/>
    <w:p>
      <w:pPr>
        <w:ind w:right="18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5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88"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by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121"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will be necessary to confirm and extend these observations.</w:t>
      </w:r>
    </w:p>
    <w:p>
      <w:pPr>
        <w:spacing w:after="0" w:line="2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92" w:lineRule="exact"/>
        <w:rPr>
          <w:sz w:val="20"/>
          <w:szCs w:val="20"/>
          <w:color w:val="auto"/>
        </w:rPr>
      </w:pPr>
    </w:p>
    <w:p>
      <w:pPr>
        <w:ind w:right="1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5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35" w:name="page36"/>
    <w:bookmarkEnd w:id="35"/>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80"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266" w:lineRule="exact"/>
        <w:rPr>
          <w:sz w:val="20"/>
          <w:szCs w:val="20"/>
          <w:color w:val="auto"/>
        </w:rPr>
      </w:pPr>
    </w:p>
    <w:p>
      <w:pPr>
        <w:ind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work with outside scientists and their institutions in executing our business strategy of developing product candidates using our Extreme Genetics discovery platform. These scientists may have other commitments or conflicts of interest, which could limit our access to their expertise and harm our ability to leverage our discovery platform.</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work with scientific advisors and collaborators at academic research institutions in connection with our Extreme Genetics discovery platform.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scientific advisors serve as our link to the various families with extreme phenotypes in that these advisors may:</w:t>
      </w:r>
    </w:p>
    <w:p>
      <w:pPr>
        <w:spacing w:after="0" w:line="99"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families as potential candidates for study;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their consent to participate in our research;</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medical examinations and gather medical histories;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initial analysis of suitability of the families to participate in our research based on the foregoing;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data and biological samples from the family members periodically in accordance with our study protocols.</w:t>
      </w:r>
    </w:p>
    <w:p>
      <w:pPr>
        <w:spacing w:after="0" w:line="22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51"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80"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68"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 or develop alternative sales channels;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51" w:right="319" w:bottom="1440" w:gutter="0" w:footer="0" w:header="0"/>
        </w:sectPr>
      </w:pPr>
    </w:p>
    <w:bookmarkStart w:id="36" w:name="page37"/>
    <w:bookmarkEnd w:id="36"/>
    <w:p>
      <w:pPr>
        <w:ind w:left="1040" w:right="340" w:hanging="519"/>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maintaining an independent sales and marketing organization.</w:t>
      </w:r>
    </w:p>
    <w:p>
      <w:pPr>
        <w:spacing w:after="0" w:line="22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92" w:lineRule="exact"/>
        <w:rPr>
          <w:sz w:val="20"/>
          <w:szCs w:val="20"/>
          <w:color w:val="auto"/>
        </w:rPr>
      </w:pPr>
    </w:p>
    <w:p>
      <w:pPr>
        <w:ind w:right="28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5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76"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0" w:lineRule="exact"/>
        <w:rPr>
          <w:sz w:val="20"/>
          <w:szCs w:val="20"/>
          <w:color w:val="auto"/>
        </w:rPr>
      </w:pPr>
    </w:p>
    <w:p>
      <w:pPr>
        <w:ind w:left="1040" w:right="28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any post-approval clinical trials;</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any of the foregoing could have a material and adverse effect on our business and results of operations.</w:t>
      </w:r>
    </w:p>
    <w:p>
      <w:pPr>
        <w:spacing w:after="0" w:line="329" w:lineRule="exact"/>
        <w:rPr>
          <w:sz w:val="20"/>
          <w:szCs w:val="20"/>
          <w:color w:val="auto"/>
        </w:rPr>
      </w:pPr>
    </w:p>
    <w:p>
      <w:pPr>
        <w:ind w:right="2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For example, studies estimate the prevalence of LPLD to be approximately 1:1,000,000. As an example of a rare childhood epilepsy disorder, the prevalence of DS is estimated to be 7,500-15,000 patients in the U.S. These estimates may prove to be incorrect. If the prevalence of such diseases is smaller than we have projected, then, even if our products are approved, we may not be able to successfully commercialize them.</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37" w:name="page38"/>
    <w:bookmarkEnd w:id="37"/>
    <w:p>
      <w:pPr>
        <w:ind w:right="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5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18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93"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92" w:lineRule="exact"/>
        <w:rPr>
          <w:sz w:val="20"/>
          <w:szCs w:val="20"/>
          <w:color w:val="auto"/>
        </w:rPr>
      </w:pPr>
    </w:p>
    <w:p>
      <w:pPr>
        <w:ind w:right="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4"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PPACA, was enacted in 2010 and includes measures that have significantly changed, or will significantly change, the way healthcare is financed by both governmental and private insurers. Among the provisions of PPACA of importance to the pharmaceutical industry are the following:</w:t>
      </w:r>
    </w:p>
    <w:p>
      <w:pPr>
        <w:spacing w:after="0" w:line="68" w:lineRule="exact"/>
        <w:rPr>
          <w:sz w:val="20"/>
          <w:szCs w:val="20"/>
          <w:color w:val="auto"/>
        </w:rPr>
      </w:pPr>
    </w:p>
    <w:p>
      <w:pPr>
        <w:ind w:left="1040" w:right="28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53"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rebates a manufacturer must pay under the Medicaid Drug Rebate Program to 23% and 13% of the average manufacturer price for branded and generic drugs,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38" w:name="page39"/>
    <w:bookmarkEnd w:id="38"/>
    <w:p>
      <w:pPr>
        <w:ind w:left="1040" w:right="160" w:hanging="519"/>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68"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ind w:left="1040" w:right="280" w:hanging="519"/>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17" w:lineRule="exact"/>
        <w:rPr>
          <w:rFonts w:ascii="Times New Roman" w:cs="Times New Roman" w:eastAsia="Times New Roman" w:hAnsi="Times New Roman"/>
          <w:sz w:val="18"/>
          <w:szCs w:val="18"/>
          <w:color w:val="auto"/>
        </w:rPr>
      </w:pPr>
    </w:p>
    <w:p>
      <w:pPr>
        <w:ind w:left="1040" w:right="60" w:hanging="519"/>
        <w:spacing w:after="0" w:line="254"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the 90th day of each subsequent calendar year, and disclosure of such information made on a publicly available website starting September 2014;</w:t>
      </w:r>
    </w:p>
    <w:p>
      <w:pPr>
        <w:spacing w:after="0" w:line="8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annually report drug samples that manufacturers and distributors provide to physicians, effective in 2012;</w:t>
      </w:r>
    </w:p>
    <w:p>
      <w:pPr>
        <w:spacing w:after="0" w:line="117" w:lineRule="exact"/>
        <w:rPr>
          <w:rFonts w:ascii="Times New Roman" w:cs="Times New Roman" w:eastAsia="Times New Roman" w:hAnsi="Times New Roman"/>
          <w:sz w:val="18"/>
          <w:szCs w:val="18"/>
          <w:color w:val="auto"/>
        </w:rPr>
      </w:pPr>
    </w:p>
    <w:p>
      <w:pPr>
        <w:ind w:left="1040" w:right="28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 products;</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3" w:lineRule="exact"/>
        <w:rPr>
          <w:rFonts w:ascii="Times New Roman" w:cs="Times New Roman" w:eastAsia="Times New Roman" w:hAnsi="Times New Roman"/>
          <w:sz w:val="18"/>
          <w:szCs w:val="18"/>
          <w:color w:val="auto"/>
        </w:rPr>
      </w:pPr>
    </w:p>
    <w:p>
      <w:pPr>
        <w:ind w:left="1040" w:right="60" w:hanging="519"/>
        <w:spacing w:after="0" w:line="266"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the Independent Payment Advisory Board which, beginning in 2014, has authority to recommend certain changes to the Medicare program that could result in reduced payments for prescription drugs and those recommendations could have the effect of law even if Congress does not act on the recommendations; and</w:t>
      </w:r>
    </w:p>
    <w:p>
      <w:pPr>
        <w:spacing w:after="0" w:line="68" w:lineRule="exact"/>
        <w:rPr>
          <w:rFonts w:ascii="Times New Roman" w:cs="Times New Roman" w:eastAsia="Times New Roman" w:hAnsi="Times New Roman"/>
          <w:sz w:val="18"/>
          <w:szCs w:val="18"/>
          <w:color w:val="auto"/>
        </w:rPr>
      </w:pPr>
    </w:p>
    <w:p>
      <w:pPr>
        <w:ind w:left="1040" w:right="440" w:hanging="519"/>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Innovation at CMS to test innovative payment and service delivery models to lower Medicare and Medicaid spending, potentially including prescription drug spending, that began, in 2011.</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Glybera and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Glybera and any future products profitably.</w:t>
      </w:r>
    </w:p>
    <w:p>
      <w:pPr>
        <w:spacing w:after="0" w:line="189"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4"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3" w:right="259" w:bottom="1440" w:gutter="0" w:footer="0" w:header="0"/>
        </w:sectPr>
      </w:pPr>
    </w:p>
    <w:bookmarkStart w:id="39" w:name="page40"/>
    <w:bookmarkEnd w:id="3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governments tend to impose strict price controls, which may adversely affect our future profitability.</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8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would have a material adverse effect on our business.</w:t>
      </w:r>
    </w:p>
    <w:p>
      <w:pPr>
        <w:spacing w:after="0" w:line="51"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We depend on Teva to collaborate with us to develop and globally commercialize TV-45070. Under the agreement, Teva controls all decision-making with respect to the clinical development and commercialization for TV-45070.</w:t>
      </w:r>
    </w:p>
    <w:p>
      <w:pPr>
        <w:spacing w:after="0" w:line="162"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72"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Teva or the Joint Development Committee regarding the development and commercialization of TV-45070;</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as to the timing, nature and extent of our development plans, including clinical trials or regulatory approval strategy;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rights if we fail to meet our obligations under the agreement;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control over clinical trials of TV-45070;</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management personnel at Teva, including in members of the Joint Development Committee;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Teva regarding the agreement, for example, with regard to ownership of intellectual property rights.</w:t>
      </w:r>
    </w:p>
    <w:p>
      <w:pPr>
        <w:spacing w:after="0" w:line="225"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62"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80"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40" w:name="page41"/>
    <w:bookmarkEnd w:id="40"/>
    <w:p>
      <w:pPr>
        <w:ind w:right="8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We have no control over the resources, time and effort that our collaborators may devote to our programs and limited access to information regarding or resulting from such programs. We are dependent on uniQure, and its licensee Chiesi to successfully commercialize Glybera and on Teva, Genentech, and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recognize revenue from successful collaborations may be impaired by multiple factors including:</w:t>
      </w:r>
    </w:p>
    <w:p>
      <w:pPr>
        <w:spacing w:after="0" w:line="117" w:lineRule="exact"/>
        <w:rPr>
          <w:sz w:val="20"/>
          <w:szCs w:val="20"/>
          <w:color w:val="auto"/>
        </w:rPr>
      </w:pPr>
    </w:p>
    <w:p>
      <w:pPr>
        <w:ind w:left="104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shift its priorities and resources away from our programs due to a change in business strategies, or a merger, acquisition, sale or downsizing of its company or business unit;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cease development in therapeutic areas which are the subject of our strategic alliances;</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change the success criteria for a particular program or product candidate thereby delaying or ceasing development of such program or candidate;</w:t>
      </w:r>
    </w:p>
    <w:p>
      <w:pPr>
        <w:spacing w:after="0" w:line="53"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develop a product that competes, either directly or indirectly, with our current or future products, if any;</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commercialization obligations may not commit sufficient financial or human resources to the marketing, distribution or sale of a product;</w:t>
      </w:r>
    </w:p>
    <w:p>
      <w:pPr>
        <w:spacing w:after="0" w:line="53"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manufacturing responsibilities may encounter regulatory, resource or quality issues and be unable to meet demand requirements;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exercise its rights under the agreement to terminate our collaboration;</w:t>
      </w:r>
    </w:p>
    <w:p>
      <w:pPr>
        <w:spacing w:after="0" w:line="117" w:lineRule="exact"/>
        <w:rPr>
          <w:rFonts w:ascii="Times New Roman" w:cs="Times New Roman" w:eastAsia="Times New Roman" w:hAnsi="Times New Roman"/>
          <w:sz w:val="18"/>
          <w:szCs w:val="18"/>
          <w:color w:val="auto"/>
        </w:rPr>
      </w:pPr>
    </w:p>
    <w:p>
      <w:pPr>
        <w:ind w:left="1040" w:right="60" w:hanging="519"/>
        <w:spacing w:after="0" w:line="266"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not adequately protect the intellectual property rights associated with a product or product candidate;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use our proprietary information or intellectual property in such a way as to invite litigation from a third party.</w:t>
      </w:r>
    </w:p>
    <w:p>
      <w:pPr>
        <w:spacing w:after="0" w:line="22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92" w:lineRule="exact"/>
        <w:rPr>
          <w:sz w:val="20"/>
          <w:szCs w:val="20"/>
          <w:color w:val="auto"/>
        </w:rPr>
      </w:pPr>
    </w:p>
    <w:p>
      <w:pPr>
        <w:ind w:right="10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5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1" w:name="page42"/>
    <w:bookmarkEnd w:id="41"/>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54"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certain of our current or future product candidates may be terminated or delayed;</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expenditures related to development of our product candidates would increase significantly and we may need to seek additional financing sooner than expected;</w:t>
      </w:r>
    </w:p>
    <w:p>
      <w:pPr>
        <w:spacing w:after="0" w:line="53" w:lineRule="exact"/>
        <w:rPr>
          <w:rFonts w:ascii="Times New Roman" w:cs="Times New Roman" w:eastAsia="Times New Roman" w:hAnsi="Times New Roman"/>
          <w:sz w:val="18"/>
          <w:szCs w:val="18"/>
          <w:color w:val="auto"/>
        </w:rPr>
      </w:pPr>
    </w:p>
    <w:p>
      <w:pPr>
        <w:ind w:left="1040" w:right="340" w:hanging="519"/>
        <w:spacing w:after="0" w:line="282"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hire additional employees or otherwise develop expertise, such as clinical, regulatory, sales and marketing expertise, which we do not currently have;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bear all of the risk related to the development of any such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any product that is commercialized could be reduced.</w:t>
      </w:r>
    </w:p>
    <w:p>
      <w:pPr>
        <w:spacing w:after="0" w:line="329" w:lineRule="exact"/>
        <w:rPr>
          <w:sz w:val="20"/>
          <w:szCs w:val="20"/>
          <w:color w:val="auto"/>
        </w:rPr>
      </w:pPr>
    </w:p>
    <w:p>
      <w:pPr>
        <w:ind w:right="5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88"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95" w:lineRule="exact"/>
        <w:rPr>
          <w:sz w:val="20"/>
          <w:szCs w:val="20"/>
          <w:color w:val="auto"/>
        </w:rPr>
      </w:pPr>
    </w:p>
    <w:p>
      <w:pPr>
        <w:ind w:right="20" w:firstLine="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76"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42" w:name="page43"/>
    <w:bookmarkEnd w:id="42"/>
    <w:p>
      <w:pPr>
        <w:ind w:firstLine="518"/>
        <w:spacing w:after="0" w:line="255" w:lineRule="auto"/>
        <w:rPr>
          <w:sz w:val="20"/>
          <w:szCs w:val="20"/>
          <w:color w:val="auto"/>
        </w:rPr>
      </w:pPr>
      <w:r>
        <w:rPr>
          <w:rFonts w:ascii="Times New Roman" w:cs="Times New Roman" w:eastAsia="Times New Roman" w:hAnsi="Times New Roman"/>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85"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62"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86"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unsuccessful in obtaining or maintaining adequate patent protection for one or more of our products or product candidates.</w:t>
      </w:r>
    </w:p>
    <w:p>
      <w:pPr>
        <w:spacing w:after="0" w:line="12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3" w:name="page44"/>
    <w:bookmarkEnd w:id="43"/>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employ reputable law firms and other professionals and rely on such third parties to effect payment of these fees with respect to the patents and patent applications that we own, and we rely upon our licensors or our other collaborators to effect payment of these fees with respect to the patents and patent applications that we license.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121"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examples are illustrative:</w:t>
      </w:r>
    </w:p>
    <w:p>
      <w:pPr>
        <w:spacing w:after="0" w:line="117" w:lineRule="exact"/>
        <w:rPr>
          <w:sz w:val="20"/>
          <w:szCs w:val="20"/>
          <w:color w:val="auto"/>
        </w:rPr>
      </w:pPr>
    </w:p>
    <w:p>
      <w:pPr>
        <w:ind w:left="104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7" w:lineRule="exact"/>
        <w:rPr>
          <w:rFonts w:ascii="Times New Roman" w:cs="Times New Roman" w:eastAsia="Times New Roman" w:hAnsi="Times New Roman"/>
          <w:sz w:val="18"/>
          <w:szCs w:val="18"/>
          <w:color w:val="auto"/>
        </w:rPr>
      </w:pPr>
    </w:p>
    <w:p>
      <w:pPr>
        <w:ind w:left="1040" w:right="62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68" w:lineRule="exact"/>
        <w:rPr>
          <w:rFonts w:ascii="Times New Roman" w:cs="Times New Roman" w:eastAsia="Times New Roman" w:hAnsi="Times New Roman"/>
          <w:sz w:val="18"/>
          <w:szCs w:val="18"/>
          <w:color w:val="auto"/>
        </w:rPr>
      </w:pPr>
    </w:p>
    <w:p>
      <w:pPr>
        <w:ind w:left="1040" w:right="86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53"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44" w:name="page45"/>
    <w:bookmarkEnd w:id="44"/>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products or product candidates could be found invalid or unenforceable if challenged.</w:t>
      </w:r>
    </w:p>
    <w:p>
      <w:pPr>
        <w:spacing w:after="0" w:line="121"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88"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4" w:lineRule="exact"/>
        <w:rPr>
          <w:sz w:val="20"/>
          <w:szCs w:val="20"/>
          <w:color w:val="auto"/>
        </w:rPr>
      </w:pPr>
    </w:p>
    <w:p>
      <w:pPr>
        <w:ind w:right="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5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Glybera, TV-45070, GDC-0276 and GDC-0310, and some of our earlier stage product candidates are held by our collaborators.</w:t>
      </w:r>
    </w:p>
    <w:p>
      <w:pPr>
        <w:spacing w:after="0" w:line="184"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5" w:name="page46"/>
    <w:bookmarkEnd w:id="45"/>
    <w:p>
      <w:pPr>
        <w:ind w:right="58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51"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88"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88"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shares.</w:t>
      </w:r>
    </w:p>
    <w:p>
      <w:pPr>
        <w:spacing w:after="0" w:line="288" w:lineRule="exact"/>
        <w:rPr>
          <w:sz w:val="20"/>
          <w:szCs w:val="20"/>
          <w:color w:val="auto"/>
        </w:rPr>
      </w:pPr>
    </w:p>
    <w:p>
      <w:pPr>
        <w:ind w:right="3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89" w:lineRule="exact"/>
        <w:rPr>
          <w:sz w:val="20"/>
          <w:szCs w:val="20"/>
          <w:color w:val="auto"/>
        </w:rPr>
      </w:pPr>
    </w:p>
    <w:p>
      <w:pPr>
        <w:ind w:right="100" w:firstLine="518"/>
        <w:spacing w:after="0" w:line="253" w:lineRule="auto"/>
        <w:rPr>
          <w:sz w:val="20"/>
          <w:szCs w:val="20"/>
          <w:color w:val="auto"/>
        </w:rPr>
      </w:pPr>
      <w:r>
        <w:rPr>
          <w:rFonts w:ascii="Times New Roman" w:cs="Times New Roman" w:eastAsia="Times New Roman" w:hAnsi="Times New Roman"/>
          <w:sz w:val="18"/>
          <w:szCs w:val="18"/>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93"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6" w:name="page47"/>
    <w:bookmarkEnd w:id="46"/>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80"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84" w:lineRule="exact"/>
        <w:rPr>
          <w:sz w:val="20"/>
          <w:szCs w:val="20"/>
          <w:color w:val="auto"/>
        </w:rPr>
      </w:pPr>
    </w:p>
    <w:p>
      <w:pPr>
        <w:ind w:right="5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93"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189"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88" w:lineRule="exact"/>
        <w:rPr>
          <w:sz w:val="20"/>
          <w:szCs w:val="20"/>
          <w:color w:val="auto"/>
        </w:rPr>
      </w:pPr>
    </w:p>
    <w:p>
      <w:pPr>
        <w:ind w:right="8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5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patent portfolio for Glybera is in-licensed from UBC. Under our existing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7" w:name="page48"/>
    <w:bookmarkEnd w:id="47"/>
    <w:p>
      <w:pPr>
        <w:ind w:right="8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 addition to patents, we rely on trade secrets, technical know-how and proprietary information concerning our Extreme Genetics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303" w:lineRule="exact"/>
        <w:rPr>
          <w:sz w:val="20"/>
          <w:szCs w:val="20"/>
          <w:color w:val="auto"/>
        </w:rPr>
      </w:pPr>
    </w:p>
    <w:p>
      <w:pPr>
        <w:ind w:right="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51"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and continues to develop and implement regulations and procedures to govern administration of the Leahy-Smith Act, and many of the substantive changes to patent law associated with the Leahy-Smith Act. The full effect of these changes are currently unclear as the USPTO has not yet adopted all pertinent final rules and regulations,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300" w:lineRule="exact"/>
        <w:rPr>
          <w:sz w:val="20"/>
          <w:szCs w:val="20"/>
          <w:color w:val="auto"/>
        </w:rPr>
      </w:pPr>
    </w:p>
    <w:p>
      <w:pPr>
        <w:ind w:right="1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5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84"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48" w:name="page49"/>
    <w:bookmarkEnd w:id="48"/>
    <w:p>
      <w:pPr>
        <w:ind w:right="2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5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93" w:lineRule="exact"/>
        <w:rPr>
          <w:sz w:val="20"/>
          <w:szCs w:val="20"/>
          <w:color w:val="auto"/>
        </w:rPr>
      </w:pPr>
    </w:p>
    <w:p>
      <w:pPr>
        <w:ind w:right="3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51" w:lineRule="exact"/>
        <w:rPr>
          <w:sz w:val="20"/>
          <w:szCs w:val="20"/>
          <w:color w:val="auto"/>
        </w:rPr>
      </w:pPr>
    </w:p>
    <w:p>
      <w:pPr>
        <w:ind w:right="220" w:firstLine="518"/>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117" w:lineRule="exact"/>
        <w:rPr>
          <w:sz w:val="20"/>
          <w:szCs w:val="20"/>
          <w:color w:val="auto"/>
        </w:rPr>
      </w:pPr>
    </w:p>
    <w:p>
      <w:pPr>
        <w:ind w:right="6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51"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7"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any resulting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common share price.</w:t>
      </w:r>
    </w:p>
    <w:p>
      <w:pPr>
        <w:spacing w:after="0" w:line="22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currently carry product liability insurance of $5,000,000 per occurrence and $5,000,000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common share price to decline and, if judgments exceed our insurance coverage, could adversely affect our future results of operations and business.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55" w:right="299" w:bottom="1440" w:gutter="0" w:footer="0" w:header="0"/>
        </w:sectPr>
      </w:pPr>
    </w:p>
    <w:bookmarkStart w:id="49" w:name="page50"/>
    <w:bookmarkEnd w:id="49"/>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3" w:lineRule="exact"/>
        <w:rPr>
          <w:sz w:val="20"/>
          <w:szCs w:val="20"/>
          <w:color w:val="auto"/>
        </w:rPr>
      </w:pPr>
    </w:p>
    <w:p>
      <w:pPr>
        <w:ind w:right="140" w:firstLine="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3"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1" w:lineRule="exact"/>
        <w:rPr>
          <w:sz w:val="20"/>
          <w:szCs w:val="20"/>
          <w:color w:val="auto"/>
        </w:rPr>
      </w:pPr>
    </w:p>
    <w:p>
      <w:pPr>
        <w:ind w:left="1040" w:right="100" w:hanging="519"/>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1" w:lineRule="exact"/>
        <w:rPr>
          <w:rFonts w:ascii="Times New Roman" w:cs="Times New Roman" w:eastAsia="Times New Roman" w:hAnsi="Times New Roman"/>
          <w:sz w:val="18"/>
          <w:szCs w:val="18"/>
          <w:color w:val="auto"/>
        </w:rPr>
      </w:pPr>
    </w:p>
    <w:p>
      <w:pPr>
        <w:ind w:left="1040" w:right="20" w:hanging="519"/>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40" w:right="70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executing a scheme to defraud any healthcare benefit program and making false statements relating to healthcare matters;</w:t>
      </w:r>
    </w:p>
    <w:p>
      <w:pPr>
        <w:spacing w:after="0" w:line="53" w:lineRule="exact"/>
        <w:rPr>
          <w:rFonts w:ascii="Times New Roman" w:cs="Times New Roman" w:eastAsia="Times New Roman" w:hAnsi="Times New Roman"/>
          <w:sz w:val="18"/>
          <w:szCs w:val="18"/>
          <w:color w:val="auto"/>
        </w:rPr>
      </w:pPr>
    </w:p>
    <w:p>
      <w:pPr>
        <w:ind w:left="1040" w:right="240" w:hanging="519"/>
        <w:spacing w:after="0" w:line="261"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and</w:t>
      </w:r>
    </w:p>
    <w:p>
      <w:pPr>
        <w:spacing w:after="0" w:line="117" w:lineRule="exact"/>
        <w:rPr>
          <w:rFonts w:ascii="Times New Roman" w:cs="Times New Roman" w:eastAsia="Times New Roman" w:hAnsi="Times New Roman"/>
          <w:sz w:val="18"/>
          <w:szCs w:val="18"/>
          <w:color w:val="auto"/>
        </w:rPr>
      </w:pPr>
    </w:p>
    <w:p>
      <w:pPr>
        <w:ind w:left="1040" w:right="40" w:hanging="519"/>
        <w:spacing w:after="0" w:line="255"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50" w:name="page51"/>
    <w:bookmarkEnd w:id="50"/>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89" w:lineRule="exact"/>
        <w:rPr>
          <w:sz w:val="20"/>
          <w:szCs w:val="20"/>
          <w:color w:val="auto"/>
        </w:rPr>
      </w:pPr>
    </w:p>
    <w:p>
      <w:pPr>
        <w:ind w:right="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93" w:lineRule="exact"/>
        <w:rPr>
          <w:sz w:val="20"/>
          <w:szCs w:val="20"/>
          <w:color w:val="auto"/>
        </w:rPr>
      </w:pPr>
    </w:p>
    <w:p>
      <w:pPr>
        <w:ind w:right="30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51"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We do not carry insurance for earthquakes or other natural disasters and although our business interruption insurance applies in the event of an earthquake, we may not carry sufficient business interruption insurance to compensate us for all losses that may occur.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In addition, we may lose samples or other valuable data. The occurrence of any of the forgoing could have a material adverse effect on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common share price may be volatile, and purchasers of our common shares could incur substantial losses.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Our common share price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54" w:lineRule="exact"/>
        <w:rPr>
          <w:sz w:val="20"/>
          <w:szCs w:val="20"/>
          <w:color w:val="auto"/>
        </w:rPr>
      </w:pPr>
    </w:p>
    <w:p>
      <w:pPr>
        <w:ind w:left="1040" w:right="56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any of our collaborators regarding our product candidates they are developing, including announcements regarding clinical or regulatory decisions or developments or our collaboration;</w:t>
      </w:r>
    </w:p>
    <w:p>
      <w:pPr>
        <w:spacing w:after="0" w:line="53" w:lineRule="exact"/>
        <w:rPr>
          <w:rFonts w:ascii="Times New Roman" w:cs="Times New Roman" w:eastAsia="Times New Roman" w:hAnsi="Times New Roman"/>
          <w:sz w:val="18"/>
          <w:szCs w:val="18"/>
          <w:color w:val="auto"/>
        </w:rPr>
      </w:pPr>
    </w:p>
    <w:p>
      <w:pPr>
        <w:ind w:left="1040" w:right="80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Glybera or to the use of any of our products and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of clinical trials of our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delays in obtaining or maintaining product approvals or clearances from regulatory authorities;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reimbursement announcements;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1" w:name="page52"/>
    <w:bookmarkEnd w:id="51"/>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or develop additional product candidates;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including our collaborators, CROs, clinical trial sponsors and clinical investigators;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Canada, the U.S. or other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scientific or management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future product candidates we develop independently, if approved;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quarterly variations in our financial results or those of our competitors;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composition of the board of directors or key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shares by us or our shareholders in the future, as well as the overall trading volume of our common shares;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040" w:right="100" w:hanging="519"/>
        <w:spacing w:after="0" w:line="313" w:lineRule="auto"/>
        <w:tabs>
          <w:tab w:leader="none" w:pos="10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30" w:lineRule="exact"/>
        <w:rPr>
          <w:rFonts w:ascii="Times New Roman" w:cs="Times New Roman" w:eastAsia="Times New Roman" w:hAnsi="Times New Roman"/>
          <w:sz w:val="17"/>
          <w:szCs w:val="17"/>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40" w:firstLine="51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2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in the public market could cause our common share price to fall.</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common share price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Certain holders of our common shares are party to our amended and restated investor rights agreement, as amended, and have rights, subject to some conditions, to require us to file registration statements covering the sale of their common shares or to include their common shares in registration statements that we may file for ourselves or other shareholders. We also register the offer and sale of all common shares that we may issue under our equity compensation plans.</w:t>
      </w:r>
    </w:p>
    <w:p>
      <w:pPr>
        <w:spacing w:after="0" w:line="180"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our common share price to decline.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43" w:right="279" w:bottom="1440" w:gutter="0" w:footer="0" w:header="0"/>
        </w:sectPr>
      </w:pPr>
    </w:p>
    <w:bookmarkStart w:id="52" w:name="page53"/>
    <w:bookmarkEnd w:id="52"/>
    <w:p>
      <w:pPr>
        <w:ind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67"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81" w:lineRule="exact"/>
        <w:rPr>
          <w:sz w:val="20"/>
          <w:szCs w:val="20"/>
          <w:color w:val="auto"/>
        </w:rPr>
      </w:pPr>
    </w:p>
    <w:p>
      <w:pPr>
        <w:ind w:left="1040" w:right="8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cannot amend our articles unless such amendment is approved by shareholders holding at least two-thirds of the shares entitled to vote on such approval;</w:t>
      </w:r>
    </w:p>
    <w:p>
      <w:pPr>
        <w:spacing w:after="0" w:line="53"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without shareholder approval, issue preferred shares having any terms, conditions, rights, preferences and privileges as the board of directors may determine; and</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must give advance notice to nominate directors or to submit proposals for consideration at shareholders’ meetings.</w:t>
      </w:r>
    </w:p>
    <w:p>
      <w:pPr>
        <w:spacing w:after="0" w:line="225"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civil liabilities may not be enforceable against us, our directors, or our officers</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such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92" w:lineRule="exact"/>
        <w:rPr>
          <w:sz w:val="20"/>
          <w:szCs w:val="20"/>
          <w:color w:val="auto"/>
        </w:rPr>
      </w:pPr>
    </w:p>
    <w:p>
      <w:pPr>
        <w:ind w:right="2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governed by the corporate laws of Canada which in some cases have a different effect on shareholders than the corporate laws of Delaware, U.S.</w:t>
      </w:r>
    </w:p>
    <w:p>
      <w:pPr>
        <w:spacing w:after="0" w:line="5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shares may not be maintained.</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53" w:name="page54"/>
    <w:bookmarkEnd w:id="53"/>
    <w:p>
      <w:pPr>
        <w:ind w:right="320"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67"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cease to be an “emerging growth company,” we will incur significant legal, accounting and other expenses that we did not incur as a private company.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We anticipate that we may need to hire additional accounting and financial staff with appropriate public company experience and technical accounting knowledge to address the added burdens of operating as a public company.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91"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18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88" w:lineRule="exact"/>
        <w:rPr>
          <w:sz w:val="20"/>
          <w:szCs w:val="20"/>
          <w:color w:val="auto"/>
        </w:rPr>
      </w:pPr>
    </w:p>
    <w:p>
      <w:pPr>
        <w:ind w:right="42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51"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our common share price may be more volatile.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4" w:name="page55"/>
    <w:bookmarkEnd w:id="54"/>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88" w:lineRule="exact"/>
        <w:rPr>
          <w:sz w:val="20"/>
          <w:szCs w:val="20"/>
          <w:color w:val="auto"/>
        </w:rPr>
      </w:pPr>
    </w:p>
    <w:p>
      <w:pPr>
        <w:ind w:right="160"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67" w:lineRule="exact"/>
        <w:rPr>
          <w:sz w:val="20"/>
          <w:szCs w:val="20"/>
          <w:color w:val="auto"/>
        </w:rPr>
      </w:pPr>
    </w:p>
    <w:p>
      <w:pPr>
        <w:ind w:right="260" w:firstLine="518"/>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shares.</w:t>
      </w:r>
    </w:p>
    <w:p>
      <w:pPr>
        <w:spacing w:after="0" w:line="189"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90" w:lineRule="exact"/>
        <w:rPr>
          <w:sz w:val="20"/>
          <w:szCs w:val="20"/>
          <w:color w:val="auto"/>
        </w:rPr>
      </w:pPr>
    </w:p>
    <w:p>
      <w:pPr>
        <w:ind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shares or rights to purchase common shares, including pursuant to our equity incentive plans, could cause you to incur dilution and could cause our common share price to fall.</w:t>
      </w:r>
    </w:p>
    <w:p>
      <w:pPr>
        <w:spacing w:after="0" w:line="5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As of March 31, 2016, options to purchase 1,934,734 of our common shares with a weighted-average exercise price of $7.16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thereof) is authorized to grant equity-based incentive awards to our employees, directors and consultants. Future option grants and issuances of common shares under our stock-based compensation plans may have an adverse effect on the market price of our common shares.</w:t>
      </w:r>
    </w:p>
    <w:p>
      <w:pPr>
        <w:spacing w:after="0" w:line="188"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at risk of securities class action litigation.</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common shares in the foreseeable future.</w:t>
      </w:r>
    </w:p>
    <w:p>
      <w:pPr>
        <w:spacing w:after="0" w:line="121"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80" w:lineRule="exact"/>
        <w:rPr>
          <w:sz w:val="20"/>
          <w:szCs w:val="20"/>
          <w:color w:val="auto"/>
        </w:rPr>
      </w:pPr>
    </w:p>
    <w:p>
      <w:pPr>
        <w:ind w:right="3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5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68" w:lineRule="exact"/>
        <w:rPr>
          <w:sz w:val="20"/>
          <w:szCs w:val="20"/>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impairment of the liquidity for our common shares, which may substantially decrease the trading price of our common shares;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40" w:firstLine="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issue an adverse opinion about our business, our common share price and trading volume could decline.</w:t>
      </w:r>
    </w:p>
    <w:p>
      <w:pPr>
        <w:spacing w:after="0" w:line="5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shares will be influenced by the research and reports that securities or industry analysts publish about us or our business. If too few securities or industry analysts cover our company, the trading price for our common shares would likely be negatively impacted. If securities and industry analysts who cover us downgrade our common shares or publish inaccurate or unfavorable research about our business, our common share price would likely decline. If one or more of these analysts cease coverage of our company or fail to publish reports on us regularly, demand for our common shares could decrease, which might cause our common share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Amendment #6, dated March 9, 2016, to the Collaborative Research and License Agreement, dated December 22, 2011, by and among the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Company, Genentech, Inc. and F. Hoffman-La Roche Ltd., as amended.</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right="40" w:hanging="1032"/>
        <w:spacing w:after="0" w:line="261" w:lineRule="auto"/>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March 31, 2016, formatted in XBRL: (i) Statements of Cash Flows, (ii) Statements of Operations, (iii) Statements of Comprehensive Income (Loss), (iv) Balance Sheets, and</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Notes to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2090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08" w:lineRule="exact"/>
        <w:rPr>
          <w:sz w:val="20"/>
          <w:szCs w:val="20"/>
          <w:color w:val="auto"/>
        </w:rPr>
      </w:pPr>
    </w:p>
    <w:p>
      <w:pPr>
        <w:ind w:left="520" w:right="40" w:hanging="512"/>
        <w:spacing w:after="0" w:line="261"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180" w:lineRule="exact"/>
        <w:rPr>
          <w:sz w:val="20"/>
          <w:szCs w:val="20"/>
          <w:color w:val="auto"/>
        </w:rPr>
      </w:pPr>
    </w:p>
    <w:p>
      <w:pPr>
        <w:ind w:left="520" w:right="68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XENON PHARMACEUTICALS INC.</w:t>
      </w:r>
    </w:p>
    <w:p>
      <w:pPr>
        <w:spacing w:after="0" w:line="205" w:lineRule="exact"/>
        <w:rPr>
          <w:sz w:val="20"/>
          <w:szCs w:val="20"/>
          <w:color w:val="auto"/>
        </w:rPr>
      </w:pPr>
    </w:p>
    <w:p>
      <w:pPr>
        <w:ind w:left="572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Simon Pimstone</w:t>
      </w:r>
    </w:p>
    <w:p>
      <w:pPr>
        <w:spacing w:after="0" w:line="2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Amendment #6, dated March 9, 2016, to the Collaborative Research and License Agreement, dated December 22, 2011, by and among the</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Company, Genentech, Inc. and F. Hoffman-La Roche Ltd., as amended.</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040" w:right="40" w:hanging="1032"/>
        <w:spacing w:after="0" w:line="261"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March 31, 2016, formatted in XBRL: (i) Statements of Cash Flows, (ii) Statements of Operations, (iii) Statements of Comprehensive Income (Loss), (iv) Balance Sheets, and</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Notes to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209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08" w:lineRule="exact"/>
        <w:rPr>
          <w:sz w:val="20"/>
          <w:szCs w:val="20"/>
          <w:color w:val="auto"/>
        </w:rPr>
      </w:pPr>
    </w:p>
    <w:p>
      <w:pPr>
        <w:ind w:left="520" w:right="40" w:hanging="512"/>
        <w:spacing w:after="0" w:line="26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180" w:lineRule="exact"/>
        <w:rPr>
          <w:sz w:val="20"/>
          <w:szCs w:val="20"/>
          <w:color w:val="auto"/>
        </w:rPr>
      </w:pPr>
    </w:p>
    <w:p>
      <w:pPr>
        <w:ind w:left="520" w:right="68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31"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2016</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Xenon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President and Chief Executive Officer</w:t>
      </w:r>
    </w:p>
    <w:p>
      <w:pPr>
        <w:spacing w:after="0" w:line="230" w:lineRule="auto"/>
        <w:rPr>
          <w:sz w:val="20"/>
          <w:szCs w:val="20"/>
          <w:color w:val="auto"/>
        </w:rPr>
      </w:pPr>
      <w:r>
        <w:rPr>
          <w:rFonts w:ascii="Times New Roman" w:cs="Times New Roman" w:eastAsia="Times New Roman" w:hAnsi="Times New Roman"/>
          <w:sz w:val="22"/>
          <w:szCs w:val="22"/>
          <w:color w:val="auto"/>
        </w:rPr>
        <w:t>3650 Gilmore Way</w:t>
      </w:r>
    </w:p>
    <w:p>
      <w:pPr>
        <w:spacing w:after="0" w:line="231" w:lineRule="auto"/>
        <w:rPr>
          <w:sz w:val="20"/>
          <w:szCs w:val="20"/>
          <w:color w:val="auto"/>
        </w:rPr>
      </w:pPr>
      <w:r>
        <w:rPr>
          <w:rFonts w:ascii="Times New Roman" w:cs="Times New Roman" w:eastAsia="Times New Roman" w:hAnsi="Times New Roman"/>
          <w:sz w:val="22"/>
          <w:szCs w:val="22"/>
          <w:color w:val="auto"/>
        </w:rPr>
        <w:t>Burnaby, BC</w:t>
      </w:r>
    </w:p>
    <w:p>
      <w:pPr>
        <w:spacing w:after="0"/>
        <w:rPr>
          <w:sz w:val="20"/>
          <w:szCs w:val="20"/>
          <w:color w:val="auto"/>
        </w:rPr>
      </w:pPr>
      <w:r>
        <w:rPr>
          <w:rFonts w:ascii="Times New Roman" w:cs="Times New Roman" w:eastAsia="Times New Roman" w:hAnsi="Times New Roman"/>
          <w:sz w:val="22"/>
          <w:szCs w:val="22"/>
          <w:color w:val="auto"/>
        </w:rPr>
        <w:t>V5G 4W8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Xenon Pharmaceuticals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 and Corporate Secretary</w:t>
      </w:r>
    </w:p>
    <w:p>
      <w:pPr>
        <w:spacing w:after="0" w:line="230" w:lineRule="auto"/>
        <w:rPr>
          <w:sz w:val="20"/>
          <w:szCs w:val="20"/>
          <w:color w:val="auto"/>
        </w:rPr>
      </w:pPr>
      <w:r>
        <w:rPr>
          <w:rFonts w:ascii="Times New Roman" w:cs="Times New Roman" w:eastAsia="Times New Roman" w:hAnsi="Times New Roman"/>
          <w:sz w:val="22"/>
          <w:szCs w:val="22"/>
          <w:color w:val="auto"/>
        </w:rPr>
        <w:t>3650 Gilmore Way</w:t>
      </w:r>
    </w:p>
    <w:p>
      <w:pPr>
        <w:spacing w:after="0" w:line="231" w:lineRule="auto"/>
        <w:rPr>
          <w:sz w:val="20"/>
          <w:szCs w:val="20"/>
          <w:color w:val="auto"/>
        </w:rPr>
      </w:pPr>
      <w:r>
        <w:rPr>
          <w:rFonts w:ascii="Times New Roman" w:cs="Times New Roman" w:eastAsia="Times New Roman" w:hAnsi="Times New Roman"/>
          <w:sz w:val="22"/>
          <w:szCs w:val="22"/>
          <w:color w:val="auto"/>
        </w:rPr>
        <w:t>Burnaby, BC</w:t>
      </w:r>
    </w:p>
    <w:p>
      <w:pPr>
        <w:spacing w:after="0"/>
        <w:rPr>
          <w:sz w:val="20"/>
          <w:szCs w:val="20"/>
          <w:color w:val="auto"/>
        </w:rPr>
      </w:pPr>
      <w:r>
        <w:rPr>
          <w:rFonts w:ascii="Times New Roman" w:cs="Times New Roman" w:eastAsia="Times New Roman" w:hAnsi="Times New Roman"/>
          <w:sz w:val="22"/>
          <w:szCs w:val="22"/>
          <w:color w:val="auto"/>
        </w:rPr>
        <w:t>V5G 4W8</w:t>
      </w:r>
    </w:p>
    <w:p>
      <w:pPr>
        <w:spacing w:after="0" w:line="17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Re: Collaborative Research and License Agreement between Xenon Pharmaceuticals Inc. (“</w:t>
      </w:r>
      <w:r>
        <w:rPr>
          <w:rFonts w:ascii="Times New Roman" w:cs="Times New Roman" w:eastAsia="Times New Roman" w:hAnsi="Times New Roman"/>
          <w:sz w:val="22"/>
          <w:szCs w:val="22"/>
          <w:b w:val="1"/>
          <w:bCs w:val="1"/>
          <w:color w:val="auto"/>
        </w:rPr>
        <w:t>Xenon</w:t>
      </w:r>
      <w:r>
        <w:rPr>
          <w:rFonts w:ascii="Times New Roman" w:cs="Times New Roman" w:eastAsia="Times New Roman" w:hAnsi="Times New Roman"/>
          <w:sz w:val="22"/>
          <w:szCs w:val="22"/>
          <w:color w:val="auto"/>
        </w:rPr>
        <w:t>”) and Genentech, Inc. (“</w:t>
      </w:r>
      <w:r>
        <w:rPr>
          <w:rFonts w:ascii="Times New Roman" w:cs="Times New Roman" w:eastAsia="Times New Roman" w:hAnsi="Times New Roman"/>
          <w:sz w:val="22"/>
          <w:szCs w:val="22"/>
          <w:b w:val="1"/>
          <w:bCs w:val="1"/>
          <w:color w:val="auto"/>
        </w:rPr>
        <w:t>GNE</w:t>
      </w:r>
      <w:r>
        <w:rPr>
          <w:rFonts w:ascii="Times New Roman" w:cs="Times New Roman" w:eastAsia="Times New Roman" w:hAnsi="Times New Roman"/>
          <w:sz w:val="22"/>
          <w:szCs w:val="22"/>
          <w:color w:val="auto"/>
        </w:rPr>
        <w:t>”) together with F. Hoffmann-La-Roche Ltd (“</w:t>
      </w:r>
      <w:r>
        <w:rPr>
          <w:rFonts w:ascii="Times New Roman" w:cs="Times New Roman" w:eastAsia="Times New Roman" w:hAnsi="Times New Roman"/>
          <w:sz w:val="22"/>
          <w:szCs w:val="22"/>
          <w:b w:val="1"/>
          <w:bCs w:val="1"/>
          <w:color w:val="auto"/>
        </w:rPr>
        <w:t>Roche</w:t>
      </w:r>
      <w:r>
        <w:rPr>
          <w:rFonts w:ascii="Times New Roman" w:cs="Times New Roman" w:eastAsia="Times New Roman" w:hAnsi="Times New Roman"/>
          <w:sz w:val="22"/>
          <w:szCs w:val="22"/>
          <w:color w:val="auto"/>
        </w:rPr>
        <w:t>”) (GNE and Roche, collectively, “</w:t>
      </w:r>
      <w:r>
        <w:rPr>
          <w:rFonts w:ascii="Times New Roman" w:cs="Times New Roman" w:eastAsia="Times New Roman" w:hAnsi="Times New Roman"/>
          <w:sz w:val="22"/>
          <w:szCs w:val="22"/>
          <w:b w:val="1"/>
          <w:bCs w:val="1"/>
          <w:color w:val="auto"/>
        </w:rPr>
        <w:t>Genentech</w:t>
      </w:r>
      <w:r>
        <w:rPr>
          <w:rFonts w:ascii="Times New Roman" w:cs="Times New Roman" w:eastAsia="Times New Roman" w:hAnsi="Times New Roman"/>
          <w:sz w:val="22"/>
          <w:szCs w:val="22"/>
          <w:color w:val="auto"/>
        </w:rPr>
        <w:t xml:space="preserve">”), made as of December 22, 2011, as amended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Simon,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Further to our recent discussions and in accordance with Section 16.14 of the Agreement, and in consideration of the premises and mutual covenants contained herein, Xenon and Genentech agree as follows:</w:t>
      </w:r>
    </w:p>
    <w:p>
      <w:pPr>
        <w:spacing w:after="0" w:line="154" w:lineRule="exact"/>
        <w:rPr>
          <w:sz w:val="20"/>
          <w:szCs w:val="20"/>
          <w:color w:val="auto"/>
        </w:rPr>
      </w:pPr>
    </w:p>
    <w:p>
      <w:pPr>
        <w:ind w:left="960" w:right="80" w:hanging="479"/>
        <w:spacing w:after="0" w:line="246" w:lineRule="auto"/>
        <w:tabs>
          <w:tab w:leader="none" w:pos="96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to the Agreement shall hereinafter be referred to as the “</w:t>
      </w:r>
      <w:r>
        <w:rPr>
          <w:rFonts w:ascii="Times New Roman" w:cs="Times New Roman" w:eastAsia="Times New Roman" w:hAnsi="Times New Roman"/>
          <w:sz w:val="22"/>
          <w:szCs w:val="22"/>
          <w:b w:val="1"/>
          <w:bCs w:val="1"/>
          <w:color w:val="auto"/>
        </w:rPr>
        <w:t>Letter Amendment #6</w:t>
      </w:r>
      <w:r>
        <w:rPr>
          <w:rFonts w:ascii="Times New Roman" w:cs="Times New Roman" w:eastAsia="Times New Roman" w:hAnsi="Times New Roman"/>
          <w:sz w:val="22"/>
          <w:szCs w:val="22"/>
          <w:color w:val="auto"/>
        </w:rPr>
        <w:t>”. Except as specifically defined below, capitalized terms used in this Letter Amendment #6 shall have the same meaning as ascribed to such terms in the Agreement.</w:t>
      </w:r>
    </w:p>
    <w:p>
      <w:pPr>
        <w:spacing w:after="0" w:line="167" w:lineRule="exact"/>
        <w:rPr>
          <w:rFonts w:ascii="Times New Roman" w:cs="Times New Roman" w:eastAsia="Times New Roman" w:hAnsi="Times New Roman"/>
          <w:sz w:val="22"/>
          <w:szCs w:val="22"/>
          <w:color w:val="auto"/>
        </w:rPr>
      </w:pPr>
    </w:p>
    <w:p>
      <w:pPr>
        <w:ind w:left="960" w:hanging="479"/>
        <w:spacing w:after="0"/>
        <w:tabs>
          <w:tab w:leader="none" w:pos="96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w:t>
      </w:r>
    </w:p>
    <w:p>
      <w:pPr>
        <w:spacing w:after="0" w:line="18" w:lineRule="exact"/>
        <w:rPr>
          <w:rFonts w:ascii="Times New Roman" w:cs="Times New Roman" w:eastAsia="Times New Roman" w:hAnsi="Times New Roman"/>
          <w:sz w:val="22"/>
          <w:szCs w:val="22"/>
          <w:b w:val="1"/>
          <w:bCs w:val="1"/>
          <w:color w:val="auto"/>
        </w:rPr>
      </w:pPr>
    </w:p>
    <w:p>
      <w:pPr>
        <w:ind w:left="1900" w:right="60" w:hanging="474"/>
        <w:spacing w:after="0" w:line="230" w:lineRule="auto"/>
        <w:tabs>
          <w:tab w:leader="none" w:pos="190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conflict between the terms of this Letter Amendment #6 and the terms of the Agreement, the terms of the Agreement shall prevail.</w:t>
      </w:r>
    </w:p>
    <w:p>
      <w:pPr>
        <w:spacing w:after="0" w:line="1" w:lineRule="exact"/>
        <w:rPr>
          <w:rFonts w:ascii="Times New Roman" w:cs="Times New Roman" w:eastAsia="Times New Roman" w:hAnsi="Times New Roman"/>
          <w:sz w:val="22"/>
          <w:szCs w:val="22"/>
          <w:color w:val="auto"/>
        </w:rPr>
      </w:pPr>
    </w:p>
    <w:p>
      <w:pPr>
        <w:ind w:left="1900" w:right="100" w:hanging="474"/>
        <w:spacing w:after="0" w:line="237" w:lineRule="auto"/>
        <w:tabs>
          <w:tab w:leader="none" w:pos="190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provided in this Letter Amendment #6, the Agreement remains in full force and effect, unamended.</w:t>
      </w:r>
    </w:p>
    <w:p>
      <w:pPr>
        <w:spacing w:after="0" w:line="174" w:lineRule="exact"/>
        <w:rPr>
          <w:rFonts w:ascii="Times New Roman" w:cs="Times New Roman" w:eastAsia="Times New Roman" w:hAnsi="Times New Roman"/>
          <w:sz w:val="22"/>
          <w:szCs w:val="22"/>
          <w:color w:val="auto"/>
        </w:rPr>
      </w:pPr>
    </w:p>
    <w:p>
      <w:pPr>
        <w:ind w:left="960" w:hanging="479"/>
        <w:spacing w:after="0"/>
        <w:tabs>
          <w:tab w:leader="none" w:pos="960"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Article 9 – Licenses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9.2 of the Agreement is hereby deleted and replaced in its entirety with the following:</w:t>
      </w:r>
    </w:p>
    <w:p>
      <w:pPr>
        <w:spacing w:after="0" w:line="210" w:lineRule="exact"/>
        <w:rPr>
          <w:rFonts w:ascii="Times New Roman" w:cs="Times New Roman" w:eastAsia="Times New Roman" w:hAnsi="Times New Roman"/>
          <w:sz w:val="22"/>
          <w:szCs w:val="22"/>
          <w:b w:val="1"/>
          <w:bCs w:val="1"/>
          <w:color w:val="auto"/>
        </w:rPr>
      </w:pPr>
    </w:p>
    <w:p>
      <w:pPr>
        <w:ind w:left="960" w:right="240"/>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“9.2 Genentech hereby grants to Xenon, under the Licensed IP (to the extent exclusively licensed to Genentech pursuant to Section 9.1 above) and the Genentech Background IP and Genentech Collaboration IP, a royalty free, non-exclusive, license to conduct research pursuant to the Research Program</w:t>
      </w:r>
    </w:p>
    <w:p>
      <w:pPr>
        <w:spacing w:after="0" w:line="187" w:lineRule="exact"/>
        <w:rPr>
          <w:rFonts w:ascii="Times New Roman" w:cs="Times New Roman" w:eastAsia="Times New Roman" w:hAnsi="Times New Roman"/>
          <w:sz w:val="22"/>
          <w:szCs w:val="22"/>
          <w:b w:val="1"/>
          <w:bCs w:val="1"/>
          <w:color w:val="auto"/>
        </w:rPr>
      </w:pPr>
    </w:p>
    <w:p>
      <w:pPr>
        <w:ind w:right="440" w:firstLine="8"/>
        <w:spacing w:after="0" w:line="298" w:lineRule="auto"/>
        <w:tabs>
          <w:tab w:leader="none" w:pos="229"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0" w:name="page61"/>
    <w:bookmarkEnd w:id="60"/>
    <w:p>
      <w:pPr>
        <w:ind w:left="952"/>
        <w:spacing w:after="0" w:line="258" w:lineRule="auto"/>
        <w:rPr>
          <w:sz w:val="20"/>
          <w:szCs w:val="20"/>
          <w:color w:val="auto"/>
        </w:rPr>
      </w:pPr>
      <w:r>
        <w:rPr>
          <w:rFonts w:ascii="Times New Roman" w:cs="Times New Roman" w:eastAsia="Times New Roman" w:hAnsi="Times New Roman"/>
          <w:sz w:val="22"/>
          <w:szCs w:val="22"/>
          <w:color w:val="auto"/>
        </w:rPr>
        <w:t>during the Research Term. Such license shall not be sublicensable or transferable, other than the grant of a sublicense to those Persons as contemplated by and in accordance with Section 3.7(a) above.</w:t>
      </w:r>
    </w:p>
    <w:p>
      <w:pPr>
        <w:spacing w:after="0" w:line="158" w:lineRule="exact"/>
        <w:rPr>
          <w:sz w:val="20"/>
          <w:szCs w:val="20"/>
          <w:color w:val="auto"/>
        </w:rPr>
      </w:pPr>
    </w:p>
    <w:p>
      <w:pPr>
        <w:ind w:left="952" w:right="260"/>
        <w:spacing w:after="0" w:line="238" w:lineRule="auto"/>
        <w:rPr>
          <w:sz w:val="20"/>
          <w:szCs w:val="20"/>
          <w:color w:val="auto"/>
        </w:rPr>
      </w:pPr>
      <w:r>
        <w:rPr>
          <w:rFonts w:ascii="Times New Roman" w:cs="Times New Roman" w:eastAsia="Times New Roman" w:hAnsi="Times New Roman"/>
          <w:sz w:val="22"/>
          <w:szCs w:val="22"/>
          <w:color w:val="auto"/>
        </w:rPr>
        <w:t>Genentech further grants to Xenon, during the Term, under the Licensed IP (to the extent exclusively licensed to Genentech pursuant to Section 9.1 above) and Genentech Collaboration IP, a royalty free, non-exclusive, license to make, use and test Collaboration Compounds solely for internal research purposes but not to develop, commercialize, offer for sale, sell, or import any such Collaboration Compounds (the “</w:t>
      </w:r>
      <w:r>
        <w:rPr>
          <w:rFonts w:ascii="Times New Roman" w:cs="Times New Roman" w:eastAsia="Times New Roman" w:hAnsi="Times New Roman"/>
          <w:sz w:val="22"/>
          <w:szCs w:val="22"/>
          <w:b w:val="1"/>
          <w:bCs w:val="1"/>
          <w:color w:val="auto"/>
        </w:rPr>
        <w:t>Research License</w:t>
      </w:r>
      <w:r>
        <w:rPr>
          <w:rFonts w:ascii="Times New Roman" w:cs="Times New Roman" w:eastAsia="Times New Roman" w:hAnsi="Times New Roman"/>
          <w:sz w:val="22"/>
          <w:szCs w:val="22"/>
          <w:color w:val="auto"/>
        </w:rPr>
        <w:t>”). Such Research License shall not be sublicensable or transferable.</w:t>
      </w:r>
    </w:p>
    <w:p>
      <w:pPr>
        <w:spacing w:after="0" w:line="177" w:lineRule="exact"/>
        <w:rPr>
          <w:sz w:val="20"/>
          <w:szCs w:val="20"/>
          <w:color w:val="auto"/>
        </w:rPr>
      </w:pPr>
    </w:p>
    <w:p>
      <w:pPr>
        <w:ind w:left="952"/>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in the foregoing, for purposes of the Research License, the following Collaboration Compounds will be considered “</w:t>
      </w:r>
      <w:r>
        <w:rPr>
          <w:rFonts w:ascii="Times New Roman" w:cs="Times New Roman" w:eastAsia="Times New Roman" w:hAnsi="Times New Roman"/>
          <w:sz w:val="22"/>
          <w:szCs w:val="22"/>
          <w:b w:val="1"/>
          <w:bCs w:val="1"/>
          <w:color w:val="auto"/>
        </w:rPr>
        <w:t>Excluded Collaboration Compounds</w:t>
      </w:r>
      <w:r>
        <w:rPr>
          <w:rFonts w:ascii="Times New Roman" w:cs="Times New Roman" w:eastAsia="Times New Roman" w:hAnsi="Times New Roman"/>
          <w:sz w:val="22"/>
          <w:szCs w:val="22"/>
          <w:color w:val="auto"/>
        </w:rPr>
        <w:t>” and deemed to be excluded from the scope of the Research License:</w:t>
      </w:r>
    </w:p>
    <w:p>
      <w:pPr>
        <w:spacing w:after="0" w:line="174" w:lineRule="exact"/>
        <w:rPr>
          <w:sz w:val="20"/>
          <w:szCs w:val="20"/>
          <w:color w:val="auto"/>
        </w:rPr>
      </w:pPr>
    </w:p>
    <w:p>
      <w:pPr>
        <w:ind w:left="2772" w:hanging="395"/>
        <w:spacing w:after="0"/>
        <w:tabs>
          <w:tab w:leader="none" w:pos="2772" w:val="left"/>
        </w:tabs>
        <w:numPr>
          <w:ilvl w:val="0"/>
          <w:numId w:val="51"/>
        </w:numPr>
        <w:rPr>
          <w:rFonts w:ascii="Times New Roman" w:cs="Times New Roman" w:eastAsia="Times New Roman" w:hAnsi="Times New Roman"/>
          <w:sz w:val="22"/>
          <w:szCs w:val="22"/>
          <w:color w:val="auto"/>
        </w:rPr>
      </w:pPr>
      <w:r>
        <w:rPr>
          <w:rFonts w:ascii="Arial" w:cs="Arial" w:eastAsia="Arial" w:hAnsi="Arial"/>
          <w:sz w:val="21"/>
          <w:szCs w:val="21"/>
          <w:color w:val="030303"/>
        </w:rPr>
        <w:t>[</w:t>
      </w:r>
      <w:r>
        <w:rPr>
          <w:rFonts w:ascii="Times New Roman" w:cs="Times New Roman" w:eastAsia="Times New Roman" w:hAnsi="Times New Roman"/>
          <w:sz w:val="21"/>
          <w:szCs w:val="21"/>
          <w:color w:val="030303"/>
        </w:rPr>
        <w:t>†</w:t>
      </w:r>
      <w:r>
        <w:rPr>
          <w:rFonts w:ascii="Arial" w:cs="Arial" w:eastAsia="Arial" w:hAnsi="Arial"/>
          <w:sz w:val="21"/>
          <w:szCs w:val="21"/>
          <w:color w:val="030303"/>
        </w:rPr>
        <w:t>]</w:t>
      </w:r>
      <w:r>
        <w:rPr>
          <w:rFonts w:ascii="Times New Roman" w:cs="Times New Roman" w:eastAsia="Times New Roman" w:hAnsi="Times New Roman"/>
          <w:sz w:val="21"/>
          <w:szCs w:val="21"/>
          <w:color w:val="000000"/>
        </w:rPr>
        <w:t>;</w:t>
      </w:r>
    </w:p>
    <w:p>
      <w:pPr>
        <w:spacing w:after="0" w:line="206" w:lineRule="exact"/>
        <w:rPr>
          <w:rFonts w:ascii="Times New Roman" w:cs="Times New Roman" w:eastAsia="Times New Roman" w:hAnsi="Times New Roman"/>
          <w:sz w:val="22"/>
          <w:szCs w:val="22"/>
          <w:color w:val="auto"/>
        </w:rPr>
      </w:pPr>
    </w:p>
    <w:p>
      <w:pPr>
        <w:ind w:left="2372" w:right="80" w:firstLine="5"/>
        <w:spacing w:after="0" w:line="258" w:lineRule="auto"/>
        <w:tabs>
          <w:tab w:leader="none" w:pos="273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Collaboration Compound(s) </w:t>
      </w:r>
      <w:r>
        <w:rPr>
          <w:rFonts w:ascii="Arial" w:cs="Arial" w:eastAsia="Arial" w:hAnsi="Arial"/>
          <w:sz w:val="20"/>
          <w:szCs w:val="20"/>
          <w:color w:val="030303"/>
        </w:rPr>
        <w:t>[</w:t>
      </w:r>
      <w:r>
        <w:rPr>
          <w:rFonts w:ascii="Times New Roman" w:cs="Times New Roman" w:eastAsia="Times New Roman" w:hAnsi="Times New Roman"/>
          <w:sz w:val="20"/>
          <w:szCs w:val="20"/>
          <w:color w:val="030303"/>
        </w:rPr>
        <w:t>†</w:t>
      </w:r>
      <w:r>
        <w:rPr>
          <w:rFonts w:ascii="Arial" w:cs="Arial" w:eastAsia="Arial" w:hAnsi="Arial"/>
          <w:sz w:val="20"/>
          <w:szCs w:val="20"/>
          <w:color w:val="030303"/>
        </w:rPr>
        <w:t>],</w:t>
      </w:r>
      <w:r>
        <w:rPr>
          <w:rFonts w:ascii="Times New Roman" w:cs="Times New Roman" w:eastAsia="Times New Roman" w:hAnsi="Times New Roman"/>
          <w:sz w:val="22"/>
          <w:szCs w:val="22"/>
          <w:color w:val="auto"/>
        </w:rPr>
        <w:t xml:space="preserve"> Xenon shall discontinue use under the Research License of such other Collaboration Compound(s); and</w:t>
      </w:r>
    </w:p>
    <w:p>
      <w:pPr>
        <w:spacing w:after="0" w:line="158" w:lineRule="exact"/>
        <w:rPr>
          <w:rFonts w:ascii="Times New Roman" w:cs="Times New Roman" w:eastAsia="Times New Roman" w:hAnsi="Times New Roman"/>
          <w:sz w:val="22"/>
          <w:szCs w:val="22"/>
          <w:color w:val="auto"/>
        </w:rPr>
      </w:pPr>
    </w:p>
    <w:p>
      <w:pPr>
        <w:ind w:left="3312" w:hanging="935"/>
        <w:spacing w:after="0"/>
        <w:tabs>
          <w:tab w:leader="none" w:pos="331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Collaboration Compounds </w:t>
      </w:r>
      <w:r>
        <w:rPr>
          <w:rFonts w:ascii="Arial" w:cs="Arial" w:eastAsia="Arial" w:hAnsi="Arial"/>
          <w:sz w:val="20"/>
          <w:szCs w:val="20"/>
          <w:color w:val="030303"/>
        </w:rPr>
        <w:t>[</w:t>
      </w:r>
      <w:r>
        <w:rPr>
          <w:rFonts w:ascii="Times New Roman" w:cs="Times New Roman" w:eastAsia="Times New Roman" w:hAnsi="Times New Roman"/>
          <w:sz w:val="20"/>
          <w:szCs w:val="20"/>
          <w:color w:val="030303"/>
        </w:rPr>
        <w:t>†</w:t>
      </w:r>
      <w:r>
        <w:rPr>
          <w:rFonts w:ascii="Arial" w:cs="Arial" w:eastAsia="Arial" w:hAnsi="Arial"/>
          <w:sz w:val="20"/>
          <w:szCs w:val="20"/>
          <w:color w:val="030303"/>
        </w:rPr>
        <w:t>]</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ind w:left="952" w:right="280" w:hanging="12"/>
        <w:spacing w:after="0" w:line="235" w:lineRule="auto"/>
        <w:rPr>
          <w:sz w:val="20"/>
          <w:szCs w:val="20"/>
          <w:color w:val="auto"/>
        </w:rPr>
      </w:pP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following the completion of the</w:t>
      </w:r>
      <w:r>
        <w:rPr>
          <w:rFonts w:ascii="Times New Roman" w:cs="Times New Roman" w:eastAsia="Times New Roman" w:hAnsi="Times New Roman"/>
          <w:sz w:val="22"/>
          <w:szCs w:val="22"/>
          <w:i w:val="1"/>
          <w:iCs w:val="1"/>
          <w:color w:val="auto"/>
        </w:rPr>
        <w:t xml:space="preserve"> </w:t>
      </w:r>
      <w:r>
        <w:rPr>
          <w:rFonts w:ascii="Arial" w:cs="Arial" w:eastAsia="Arial" w:hAnsi="Arial"/>
          <w:sz w:val="20"/>
          <w:szCs w:val="20"/>
          <w:color w:val="030303"/>
        </w:rPr>
        <w:t>[</w:t>
      </w:r>
      <w:r>
        <w:rPr>
          <w:rFonts w:ascii="Times New Roman" w:cs="Times New Roman" w:eastAsia="Times New Roman" w:hAnsi="Times New Roman"/>
          <w:sz w:val="20"/>
          <w:szCs w:val="20"/>
          <w:color w:val="030303"/>
        </w:rPr>
        <w:t>†</w:t>
      </w:r>
      <w:r>
        <w:rPr>
          <w:rFonts w:ascii="Arial" w:cs="Arial" w:eastAsia="Arial" w:hAnsi="Arial"/>
          <w:sz w:val="20"/>
          <w:szCs w:val="20"/>
          <w:color w:val="030303"/>
        </w:rPr>
        <w:t>]</w:t>
      </w:r>
      <w:r>
        <w:rPr>
          <w:rFonts w:ascii="Times New Roman" w:cs="Times New Roman" w:eastAsia="Times New Roman" w:hAnsi="Times New Roman"/>
          <w:sz w:val="22"/>
          <w:szCs w:val="22"/>
          <w:color w:val="auto"/>
        </w:rPr>
        <w:t>, the JRC will determine if any of the above-noted Excluded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Collaboration Compounds will (as of the completion of the </w:t>
      </w:r>
      <w:r>
        <w:rPr>
          <w:rFonts w:ascii="Arial" w:cs="Arial" w:eastAsia="Arial" w:hAnsi="Arial"/>
          <w:sz w:val="20"/>
          <w:szCs w:val="20"/>
          <w:color w:val="030303"/>
        </w:rPr>
        <w:t>[</w:t>
      </w:r>
      <w:r>
        <w:rPr>
          <w:rFonts w:ascii="Times New Roman" w:cs="Times New Roman" w:eastAsia="Times New Roman" w:hAnsi="Times New Roman"/>
          <w:sz w:val="20"/>
          <w:szCs w:val="20"/>
          <w:color w:val="030303"/>
        </w:rPr>
        <w:t>†</w:t>
      </w:r>
      <w:r>
        <w:rPr>
          <w:rFonts w:ascii="Arial" w:cs="Arial" w:eastAsia="Arial" w:hAnsi="Arial"/>
          <w:sz w:val="20"/>
          <w:szCs w:val="20"/>
          <w:color w:val="030303"/>
        </w:rPr>
        <w:t>]</w:t>
      </w:r>
      <w:r>
        <w:rPr>
          <w:rFonts w:ascii="Times New Roman" w:cs="Times New Roman" w:eastAsia="Times New Roman" w:hAnsi="Times New Roman"/>
          <w:sz w:val="22"/>
          <w:szCs w:val="22"/>
          <w:color w:val="auto"/>
        </w:rPr>
        <w:t>, or such other date as may otherwise be determined by the JRC) be considered Collaboration Compounds within the scope of the Research License.</w:t>
      </w:r>
    </w:p>
    <w:p>
      <w:pPr>
        <w:spacing w:after="0" w:line="178"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21"/>
          <w:szCs w:val="21"/>
          <w:color w:val="auto"/>
        </w:rPr>
        <w:t>The Parties agree that notwithstanding 3.8(a)(ii) of the Agreement, and in addition to the rights to transfer Collaboration</w:t>
      </w:r>
    </w:p>
    <w:p>
      <w:pPr>
        <w:spacing w:after="0" w:line="26" w:lineRule="exact"/>
        <w:rPr>
          <w:sz w:val="20"/>
          <w:szCs w:val="20"/>
          <w:color w:val="auto"/>
        </w:rPr>
      </w:pPr>
    </w:p>
    <w:p>
      <w:pPr>
        <w:ind w:left="932"/>
        <w:spacing w:after="0" w:line="244" w:lineRule="auto"/>
        <w:rPr>
          <w:sz w:val="20"/>
          <w:szCs w:val="20"/>
          <w:color w:val="auto"/>
        </w:rPr>
      </w:pPr>
      <w:r>
        <w:rPr>
          <w:rFonts w:ascii="Times New Roman" w:cs="Times New Roman" w:eastAsia="Times New Roman" w:hAnsi="Times New Roman"/>
          <w:sz w:val="21"/>
          <w:szCs w:val="21"/>
          <w:color w:val="auto"/>
        </w:rPr>
        <w:t xml:space="preserve">Compounds that are specifically set-out under Letter Amendment #4: Xenon may transfer those Collaboration Compounds that are within the scope of the Research License to Xenon CROs, solely for the research purposes provided under the Research License,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JRC (or, following the dissolution of the JRC, such former JRC member as is then-designated by Genentech) and a Genentech Alliance Manager designated by Genentech has first approved such transfer, </w:t>
      </w:r>
      <w:r>
        <w:rPr>
          <w:rFonts w:ascii="Times New Roman" w:cs="Times New Roman" w:eastAsia="Times New Roman" w:hAnsi="Times New Roman"/>
          <w:sz w:val="21"/>
          <w:szCs w:val="21"/>
          <w:i w:val="1"/>
          <w:iCs w:val="1"/>
          <w:color w:val="auto"/>
        </w:rPr>
        <w:t>and provided that</w:t>
      </w:r>
      <w:r>
        <w:rPr>
          <w:rFonts w:ascii="Times New Roman" w:cs="Times New Roman" w:eastAsia="Times New Roman" w:hAnsi="Times New Roman"/>
          <w:sz w:val="21"/>
          <w:szCs w:val="21"/>
          <w:color w:val="auto"/>
        </w:rPr>
        <w:t xml:space="preserve"> such Xenon CROs are subject to restrictions on use and disclosure substantially similar to the terms set forth in this Agreement; and the JRC (or, following the dissolution of the JRC, such former JRC member as is then-designated by Genentech) has the authority to approve, on behalf of Genentech, the publication by Xenon and/or Xenon CROs of the results of any activities that use and identify such transferred Collaboration Compounds.</w:t>
      </w:r>
    </w:p>
    <w:p>
      <w:pPr>
        <w:spacing w:after="0" w:line="200" w:lineRule="exact"/>
        <w:rPr>
          <w:sz w:val="20"/>
          <w:szCs w:val="20"/>
          <w:color w:val="auto"/>
        </w:rPr>
      </w:pPr>
    </w:p>
    <w:p>
      <w:pPr>
        <w:spacing w:after="0" w:line="202" w:lineRule="exact"/>
        <w:rPr>
          <w:sz w:val="20"/>
          <w:szCs w:val="20"/>
          <w:color w:val="auto"/>
        </w:rPr>
      </w:pPr>
    </w:p>
    <w:p>
      <w:pPr>
        <w:ind w:left="-8" w:right="400" w:firstLine="8"/>
        <w:spacing w:after="0" w:line="298" w:lineRule="auto"/>
        <w:tabs>
          <w:tab w:leader="none" w:pos="22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55" w:right="279" w:bottom="1440" w:gutter="0" w:footer="0" w:header="0"/>
        </w:sectPr>
      </w:pPr>
    </w:p>
    <w:bookmarkStart w:id="61" w:name="page62"/>
    <w:bookmarkEnd w:id="61"/>
    <w:p>
      <w:pPr>
        <w:ind w:left="952" w:right="120"/>
        <w:spacing w:after="0" w:line="258" w:lineRule="auto"/>
        <w:rPr>
          <w:sz w:val="20"/>
          <w:szCs w:val="20"/>
          <w:color w:val="auto"/>
        </w:rPr>
      </w:pPr>
      <w:r>
        <w:rPr>
          <w:rFonts w:ascii="Times New Roman" w:cs="Times New Roman" w:eastAsia="Times New Roman" w:hAnsi="Times New Roman"/>
          <w:sz w:val="22"/>
          <w:szCs w:val="22"/>
          <w:color w:val="auto"/>
        </w:rPr>
        <w:t>By the signatures below, the Parties have caused this Letter Amendment #6 to be executed by their respective duly authorized officers to be effective as of November 10, 2015.</w:t>
      </w:r>
    </w:p>
    <w:p>
      <w:pPr>
        <w:spacing w:after="0" w:line="158"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22"/>
          <w:szCs w:val="22"/>
          <w:color w:val="auto"/>
        </w:rPr>
        <w:t>Sincerely,</w:t>
      </w:r>
    </w:p>
    <w:p>
      <w:pPr>
        <w:spacing w:after="0" w:line="202"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22"/>
          <w:szCs w:val="22"/>
          <w:b w:val="1"/>
          <w:bCs w:val="1"/>
          <w:color w:val="auto"/>
        </w:rPr>
        <w:t>Genentech, Inc.</w:t>
      </w:r>
    </w:p>
    <w:p>
      <w:pPr>
        <w:spacing w:after="0" w:line="200" w:lineRule="exact"/>
        <w:rPr>
          <w:sz w:val="20"/>
          <w:szCs w:val="20"/>
          <w:color w:val="auto"/>
        </w:rPr>
      </w:pPr>
    </w:p>
    <w:p>
      <w:pPr>
        <w:spacing w:after="0" w:line="222"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Bruce Roth</w:t>
      </w:r>
    </w:p>
    <w:p>
      <w:pPr>
        <w:spacing w:after="0" w:line="206"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22"/>
          <w:szCs w:val="22"/>
          <w:b w:val="1"/>
          <w:bCs w:val="1"/>
          <w:color w:val="auto"/>
        </w:rPr>
        <w:t>F. Hoffmann-La Roche Ltd</w:t>
      </w:r>
    </w:p>
    <w:p>
      <w:pPr>
        <w:spacing w:after="0" w:line="200" w:lineRule="exact"/>
        <w:rPr>
          <w:sz w:val="20"/>
          <w:szCs w:val="20"/>
          <w:color w:val="auto"/>
        </w:rPr>
      </w:pPr>
    </w:p>
    <w:p>
      <w:pPr>
        <w:spacing w:after="0" w:line="222"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Stefan Arnold and /s/ Vikas Kabras</w:t>
      </w:r>
    </w:p>
    <w:p>
      <w:pPr>
        <w:spacing w:after="0" w:line="200" w:lineRule="exact"/>
        <w:rPr>
          <w:sz w:val="20"/>
          <w:szCs w:val="20"/>
          <w:color w:val="auto"/>
        </w:rPr>
      </w:pPr>
    </w:p>
    <w:p>
      <w:pPr>
        <w:spacing w:after="0" w:line="222"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22"/>
          <w:szCs w:val="22"/>
          <w:b w:val="1"/>
          <w:bCs w:val="1"/>
          <w:color w:val="auto"/>
        </w:rPr>
        <w:t>Xenon Pharmaceuticals Inc.</w:t>
      </w:r>
    </w:p>
    <w:p>
      <w:pPr>
        <w:spacing w:after="0" w:line="200" w:lineRule="exact"/>
        <w:rPr>
          <w:sz w:val="20"/>
          <w:szCs w:val="20"/>
          <w:color w:val="auto"/>
        </w:rPr>
      </w:pPr>
    </w:p>
    <w:p>
      <w:pPr>
        <w:spacing w:after="0" w:line="222" w:lineRule="exact"/>
        <w:rPr>
          <w:sz w:val="20"/>
          <w:szCs w:val="20"/>
          <w:color w:val="auto"/>
        </w:rPr>
      </w:pPr>
    </w:p>
    <w:p>
      <w:pPr>
        <w:ind w:left="952"/>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u w:val="single" w:color="auto"/>
          <w:color w:val="auto"/>
        </w:rPr>
        <w:t>/s/ Robin Sherrington</w:t>
      </w:r>
    </w:p>
    <w:p>
      <w:pPr>
        <w:spacing w:after="0" w:line="200" w:lineRule="exact"/>
        <w:rPr>
          <w:sz w:val="20"/>
          <w:szCs w:val="20"/>
          <w:color w:val="auto"/>
        </w:rPr>
      </w:pPr>
    </w:p>
    <w:p>
      <w:pPr>
        <w:spacing w:after="0" w:line="240" w:lineRule="exact"/>
        <w:rPr>
          <w:sz w:val="20"/>
          <w:szCs w:val="20"/>
          <w:color w:val="auto"/>
        </w:rPr>
      </w:pPr>
    </w:p>
    <w:p>
      <w:pPr>
        <w:ind w:left="-8" w:firstLine="8"/>
        <w:spacing w:after="0" w:line="298" w:lineRule="auto"/>
        <w:tabs>
          <w:tab w:leader="none" w:pos="22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DESIGNATES PORTIONS OF THIS DOCUMENT THAT HAVE BEEN OMITTED PURSUANT TO A REQUEST FOR CONFIDENTIAL TREATMENT FILED SEPARATELY WITH THE COMMISSION</w:t>
      </w:r>
    </w:p>
    <w:p>
      <w:pPr>
        <w:sectPr>
          <w:pgSz w:w="11900" w:h="16838" w:orient="portrait"/>
          <w:cols w:equalWidth="0" w:num="1">
            <w:col w:w="10972"/>
          </w:cols>
          <w:pgMar w:left="248" w:top="355" w:right="67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Pimstone, certify that:</w:t>
      </w:r>
    </w:p>
    <w:p>
      <w:pPr>
        <w:spacing w:after="0" w:line="225"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Xenon Pharmaceuticals Inc.;</w:t>
      </w:r>
    </w:p>
    <w:p>
      <w:pPr>
        <w:spacing w:after="0" w:line="225" w:lineRule="exact"/>
        <w:rPr>
          <w:rFonts w:ascii="Times New Roman" w:cs="Times New Roman" w:eastAsia="Times New Roman" w:hAnsi="Times New Roman"/>
          <w:sz w:val="18"/>
          <w:szCs w:val="18"/>
          <w:color w:val="auto"/>
        </w:rPr>
      </w:pPr>
    </w:p>
    <w:p>
      <w:pPr>
        <w:ind w:left="420" w:right="1220" w:hanging="412"/>
        <w:spacing w:after="0" w:line="266"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20" w:right="1280" w:hanging="412"/>
        <w:spacing w:after="0" w:line="313" w:lineRule="auto"/>
        <w:tabs>
          <w:tab w:leader="none" w:pos="4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420" w:right="1300" w:hanging="412"/>
        <w:spacing w:after="0" w:line="282"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840" w:right="1180" w:hanging="413"/>
        <w:spacing w:after="0" w:line="266"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40" w:right="1040" w:hanging="413"/>
        <w:spacing w:after="0" w:line="266"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40" w:right="1140" w:hanging="413"/>
        <w:spacing w:after="0" w:line="266"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40" w:right="1240" w:hanging="413"/>
        <w:spacing w:after="0" w:line="266"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right="1200" w:hanging="412"/>
        <w:spacing w:after="0" w:line="266"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40" w:right="1080" w:hanging="413"/>
        <w:spacing w:after="0" w:line="282"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right="1380" w:hanging="413"/>
        <w:spacing w:after="0" w:line="282"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200" w:lineRule="exact"/>
        <w:rPr>
          <w:sz w:val="20"/>
          <w:szCs w:val="20"/>
          <w:color w:val="auto"/>
        </w:rPr>
      </w:pPr>
    </w:p>
    <w:p>
      <w:pPr>
        <w:spacing w:after="0" w:line="2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auto"/>
        </w:rPr>
        <w:t>/s/ Simon Pimstone</w:t>
      </w:r>
    </w:p>
    <w:p>
      <w:pPr>
        <w:spacing w:after="0" w:line="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right="7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Mortimer, certify that:</w:t>
      </w:r>
    </w:p>
    <w:p>
      <w:pPr>
        <w:spacing w:after="0" w:line="225" w:lineRule="exact"/>
        <w:rPr>
          <w:sz w:val="20"/>
          <w:szCs w:val="20"/>
          <w:color w:val="auto"/>
        </w:rPr>
      </w:pPr>
    </w:p>
    <w:p>
      <w:pPr>
        <w:ind w:left="420" w:hanging="412"/>
        <w:spacing w:after="0"/>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Xenon Pharmaceuticals Inc.;</w:t>
      </w:r>
    </w:p>
    <w:p>
      <w:pPr>
        <w:spacing w:after="0" w:line="225" w:lineRule="exact"/>
        <w:rPr>
          <w:rFonts w:ascii="Times New Roman" w:cs="Times New Roman" w:eastAsia="Times New Roman" w:hAnsi="Times New Roman"/>
          <w:sz w:val="18"/>
          <w:szCs w:val="18"/>
          <w:color w:val="auto"/>
        </w:rPr>
      </w:pPr>
    </w:p>
    <w:p>
      <w:pPr>
        <w:ind w:left="420" w:right="1220" w:hanging="412"/>
        <w:spacing w:after="0" w:line="266"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20" w:right="1280" w:hanging="412"/>
        <w:spacing w:after="0" w:line="313" w:lineRule="auto"/>
        <w:tabs>
          <w:tab w:leader="none" w:pos="4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Times New Roman" w:cs="Times New Roman" w:eastAsia="Times New Roman" w:hAnsi="Times New Roman"/>
          <w:sz w:val="17"/>
          <w:szCs w:val="17"/>
          <w:color w:val="auto"/>
        </w:rPr>
      </w:pPr>
    </w:p>
    <w:p>
      <w:pPr>
        <w:ind w:left="420" w:right="1300" w:hanging="412"/>
        <w:spacing w:after="0" w:line="282"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840" w:right="1180" w:hanging="413"/>
        <w:spacing w:after="0" w:line="266" w:lineRule="auto"/>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40" w:right="1040" w:hanging="413"/>
        <w:spacing w:after="0" w:line="266" w:lineRule="auto"/>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40" w:right="1140" w:hanging="413"/>
        <w:spacing w:after="0" w:line="266" w:lineRule="auto"/>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40" w:right="1240" w:hanging="413"/>
        <w:spacing w:after="0" w:line="266" w:lineRule="auto"/>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right="1200" w:hanging="412"/>
        <w:spacing w:after="0" w:line="266" w:lineRule="auto"/>
        <w:tabs>
          <w:tab w:leader="none" w:pos="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40" w:right="1080" w:hanging="413"/>
        <w:spacing w:after="0" w:line="282" w:lineRule="auto"/>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right="1380" w:hanging="413"/>
        <w:spacing w:after="0" w:line="282" w:lineRule="auto"/>
        <w:tabs>
          <w:tab w:leader="none" w:pos="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200" w:lineRule="exact"/>
        <w:rPr>
          <w:sz w:val="20"/>
          <w:szCs w:val="20"/>
          <w:color w:val="auto"/>
        </w:rPr>
      </w:pPr>
    </w:p>
    <w:p>
      <w:pPr>
        <w:spacing w:after="0" w:line="2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/s/ Ian Mortimer</w:t>
      </w:r>
    </w:p>
    <w:p>
      <w:pPr>
        <w:spacing w:after="0" w:line="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jc w:val="center"/>
        <w:ind w:right="7260"/>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p>
      <w:pPr>
        <w:spacing w:after="0" w:line="9" w:lineRule="exact"/>
        <w:rPr>
          <w:sz w:val="20"/>
          <w:szCs w:val="20"/>
          <w:color w:val="auto"/>
        </w:rPr>
      </w:pPr>
    </w:p>
    <w:p>
      <w:pPr>
        <w:jc w:val="center"/>
        <w:ind w:right="72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420"/>
          </w:cols>
          <w:pgMar w:left="240" w:top="1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Xenon Pharmaceuticals Inc. (the “Company”) on Form 10-Q for the Quarter ended March 31, 2016, as filed with the Securities and Exchange Commission on the date hereof (the “Report”), I, Simon Pimstone, President and Chief Executive Officer </w:t>
      </w:r>
      <w:r>
        <w:rPr>
          <w:rFonts w:ascii="Times New Roman" w:cs="Times New Roman" w:eastAsia="Times New Roman" w:hAnsi="Times New Roman"/>
          <w:sz w:val="18"/>
          <w:szCs w:val="18"/>
          <w:i w:val="1"/>
          <w:iCs w:val="1"/>
          <w:color w:val="auto"/>
        </w:rPr>
        <w:t>(Principal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Officer) </w:t>
      </w:r>
      <w:r>
        <w:rPr>
          <w:rFonts w:ascii="Times New Roman" w:cs="Times New Roman" w:eastAsia="Times New Roman" w:hAnsi="Times New Roman"/>
          <w:sz w:val="18"/>
          <w:szCs w:val="18"/>
          <w:color w:val="auto"/>
        </w:rPr>
        <w:t>of the Company, certify, pursuant to 18 U.S.C. Section 1350, as adopted pursuant to Section 906 of the Sarbanes-Oxley Act of 2002, that to my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w:t>
      </w:r>
    </w:p>
    <w:p>
      <w:pPr>
        <w:spacing w:after="0" w:line="180" w:lineRule="exact"/>
        <w:rPr>
          <w:sz w:val="20"/>
          <w:szCs w:val="20"/>
          <w:color w:val="auto"/>
        </w:rPr>
      </w:pPr>
    </w:p>
    <w:p>
      <w:pPr>
        <w:ind w:left="840" w:hanging="413"/>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40" w:right="1180" w:hanging="413"/>
        <w:spacing w:after="0" w:line="282" w:lineRule="auto"/>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Simon Pimstone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Quarterly Report of Xenon Pharmaceuticals Inc. (the “Company”) on Form 10-Q for the quarter ended March 31, 2016, as filed with the Securities and Exchange Commission on the date hereof (the “Report”), I, Ian Mortimer, Chief Financial Officer and Chief Operating Officer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and Accounting Officer) </w:t>
      </w:r>
      <w:r>
        <w:rPr>
          <w:rFonts w:ascii="Times New Roman" w:cs="Times New Roman" w:eastAsia="Times New Roman" w:hAnsi="Times New Roman"/>
          <w:sz w:val="18"/>
          <w:szCs w:val="18"/>
          <w:color w:val="auto"/>
        </w:rPr>
        <w:t>of the Company, certify, pursuant to 18 U.S.C. Section 1350, as adopted pursuant to Section 906 of the Sarbanes-Oxley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2002, that to my knowledge:</w:t>
      </w:r>
    </w:p>
    <w:p>
      <w:pPr>
        <w:spacing w:after="0" w:line="180" w:lineRule="exact"/>
        <w:rPr>
          <w:sz w:val="20"/>
          <w:szCs w:val="20"/>
          <w:color w:val="auto"/>
        </w:rPr>
      </w:pPr>
    </w:p>
    <w:p>
      <w:pPr>
        <w:ind w:left="840" w:hanging="413"/>
        <w:spacing w:after="0"/>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40" w:right="1180" w:hanging="413"/>
        <w:spacing w:after="0" w:line="282" w:lineRule="auto"/>
        <w:tabs>
          <w:tab w:leader="none" w:pos="8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Ian Mortimer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327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4"/>
    </w:lvl>
    <w:lvl w:ilvl="1">
      <w:lvlJc w:val="left"/>
      <w:lvlText w:val="·"/>
      <w:numFmt w:val="bullet"/>
      <w:start w:val="1"/>
    </w:lvl>
  </w:abstractNum>
  <w:abstractNum w:abstractNumId="5">
    <w:nsid w:val="737B8DDC"/>
    <w:multiLevelType w:val="hybridMultilevel"/>
    <w:lvl w:ilvl="0">
      <w:lvlJc w:val="left"/>
      <w:lvlText w:val="%1."/>
      <w:numFmt w:val="decimal"/>
      <w:start w:val="7"/>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8"/>
    </w:lvl>
  </w:abstractNum>
  <w:abstractNum w:abstractNumId="8">
    <w:nsid w:val="4516DDE9"/>
    <w:multiLevelType w:val="hybridMultilevel"/>
    <w:lvl w:ilvl="0">
      <w:lvlJc w:val="left"/>
      <w:lvlText w:val="%1."/>
      <w:numFmt w:val="decimal"/>
      <w:start w:val="9"/>
    </w:lvl>
    <w:lvl w:ilvl="1">
      <w:lvlJc w:val="left"/>
      <w:lvlText w:val="(%2)"/>
      <w:numFmt w:val="lowerLetter"/>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0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0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2019-12-29T12:49:32Z</dcterms:created>
  <dcterms:modified xsi:type="dcterms:W3CDTF">2019-12-29T12:49:32Z</dcterms:modified>
</cp:coreProperties>
</file>