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ene-20260630.htm"/>
      <w:bookmarkStart w:id="1" w:name="ksxene20260630"/>
      <w:bookmarkEnd w:id="0"/>
      <w:bookmarkEnd w:id="1"/>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20"/>
          <w:u w:val="single"/>
        </w:rPr>
        <w:t>__________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b/>
          <w:color w:val="000000"/>
          <w:sz w:val="20"/>
          <w:u w:val="single"/>
        </w:rPr>
        <w:t>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001-36687</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120" w:after="120"/>
        <w:jc w:val="center"/>
        <w:rPr/>
      </w:pPr>
      <w:r>
        <w:rPr/>
        <w:t> </w:t>
      </w:r>
    </w:p>
    <w:p>
      <w:pPr>
        <w:pStyle w:val="TextBody"/>
        <w:bidi w:val="0"/>
        <w:jc w:val="left"/>
        <w:rPr/>
      </w:pPr>
      <w:r>
        <w:rPr/>
        <w:t> </w:t>
      </w:r>
    </w:p>
    <w:tbl>
      <w:tblPr>
        <w:tblW w:w="4427" w:type="dxa"/>
        <w:jc w:val="left"/>
        <w:tblInd w:w="0" w:type="dxa"/>
        <w:tblLayout w:type="fixed"/>
        <w:tblCellMar>
          <w:top w:w="28" w:type="dxa"/>
          <w:left w:w="28" w:type="dxa"/>
          <w:bottom w:w="28" w:type="dxa"/>
          <w:right w:w="28" w:type="dxa"/>
        </w:tblCellMar>
      </w:tblPr>
      <w:tblGrid>
        <w:gridCol w:w="3181"/>
        <w:gridCol w:w="1246"/>
      </w:tblGrid>
      <w:tr>
        <w:trPr/>
        <w:tc>
          <w:tcPr>
            <w:tcW w:w="31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98-0661854</w:t>
            </w:r>
          </w:p>
        </w:tc>
      </w:tr>
      <w:tr>
        <w:trPr/>
        <w:tc>
          <w:tcPr>
            <w:tcW w:w="31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8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3650 Gilmore Way</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Burnaby, British Columbia, Canada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V5G 4W8</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(604) 484-3300</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105" w:type="dxa"/>
        <w:jc w:val="left"/>
        <w:tblInd w:w="0" w:type="dxa"/>
        <w:tblLayout w:type="fixed"/>
        <w:tblCellMar>
          <w:top w:w="28" w:type="dxa"/>
          <w:left w:w="28" w:type="dxa"/>
          <w:bottom w:w="28" w:type="dxa"/>
          <w:right w:w="28" w:type="dxa"/>
        </w:tblCellMar>
      </w:tblPr>
      <w:tblGrid>
        <w:gridCol w:w="2671"/>
        <w:gridCol w:w="146"/>
        <w:gridCol w:w="826"/>
        <w:gridCol w:w="146"/>
        <w:gridCol w:w="33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Common Shares, without par value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XENE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8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12" w:type="dxa"/>
        <w:jc w:val="left"/>
        <w:tblInd w:w="0" w:type="dxa"/>
        <w:tblLayout w:type="fixed"/>
        <w:tblCellMar>
          <w:top w:w="28" w:type="dxa"/>
          <w:left w:w="28" w:type="dxa"/>
          <w:bottom w:w="28" w:type="dxa"/>
          <w:right w:w="28" w:type="dxa"/>
        </w:tblCellMar>
      </w:tblPr>
      <w:tblGrid>
        <w:gridCol w:w="1666"/>
        <w:gridCol w:w="146"/>
        <w:gridCol w:w="376"/>
        <w:gridCol w:w="146"/>
        <w:gridCol w:w="207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Smaller reporting company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3, 2026, the registrant had 96,840,432</w:t>
      </w:r>
      <w:r>
        <w:rPr>
          <w:rFonts w:ascii="Times New Roman" w:hAnsi="Times New Roman"/>
          <w:color w:val="000000"/>
          <w:sz w:val="20"/>
        </w:rPr>
        <w:t xml:space="preserve"> </w:t>
      </w:r>
      <w:r>
        <w:rPr>
          <w:rFonts w:ascii="Times New Roman" w:hAnsi="Times New Roman"/>
          <w:color w:val="000000"/>
          <w:sz w:val="18"/>
        </w:rPr>
        <w:t>common shares, without par value, outstanding.</w:t>
      </w:r>
      <w:r>
        <w:rPr>
          <w:rFonts w:ascii="Times New Roman" w:hAnsi="Times New Roman"/>
          <w:color w:val="000000"/>
          <w:sz w:val="20"/>
        </w:rPr>
        <w:t xml:space="preserve"> </w:t>
      </w:r>
    </w:p>
    <w:p>
      <w:pPr>
        <w:pStyle w:val="TextBody"/>
        <w:pBdr>
          <w:bottom w:val="double" w:sz="6" w:space="1" w:color="000000"/>
        </w:pBdr>
        <w:bidi w:val="0"/>
        <w:spacing w:before="80" w:after="283"/>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JUNE 30,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9077" w:type="dxa"/>
        <w:jc w:val="left"/>
        <w:tblInd w:w="0" w:type="dxa"/>
        <w:tblLayout w:type="fixed"/>
        <w:tblCellMar>
          <w:top w:w="28" w:type="dxa"/>
          <w:left w:w="28" w:type="dxa"/>
          <w:bottom w:w="28" w:type="dxa"/>
          <w:right w:w="28" w:type="dxa"/>
        </w:tblCellMar>
      </w:tblPr>
      <w:tblGrid>
        <w:gridCol w:w="8226"/>
        <w:gridCol w:w="851"/>
      </w:tblGrid>
      <w:tr>
        <w:trPr/>
        <w:tc>
          <w:tcPr>
            <w:tcW w:w="82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822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b/>
                <w:color w:val="000000"/>
                <w:sz w:val="16"/>
                <w:u w:val="single"/>
              </w:rPr>
            </w:pPr>
            <w:r>
              <w:rPr>
                <w:rFonts w:ascii="Times New Roman" w:hAnsi="Times New Roman"/>
                <w:b/>
                <w:color w:val="000000"/>
                <w:sz w:val="16"/>
                <w:u w:val="single"/>
              </w:rPr>
              <w:t>Page</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part_i_financial_information">
              <w:r>
                <w:rPr>
                  <w:rStyle w:val="InternetLink"/>
                  <w:rFonts w:ascii="Times New Roman" w:hAnsi="Times New Roman"/>
                  <w:color w:val="0000FF"/>
                  <w:sz w:val="20"/>
                  <w:u w:val="single"/>
                </w:rPr>
                <w:t>PART I. FINANCIAL INFORMATION</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22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22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cons_balance_sheets">
              <w:r>
                <w:rPr>
                  <w:rStyle w:val="InternetLink"/>
                  <w:rFonts w:ascii="Times New Roman" w:hAnsi="Times New Roman"/>
                  <w:color w:val="0000FF"/>
                  <w:sz w:val="20"/>
                  <w:u w:val="single"/>
                </w:rPr>
                <w:t>Condensed Consolidated Balance Sheets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cons_statements_operations">
              <w:r>
                <w:rPr>
                  <w:rStyle w:val="InternetLink"/>
                  <w:rFonts w:ascii="Times New Roman" w:hAnsi="Times New Roman"/>
                  <w:color w:val="0000FF"/>
                  <w:sz w:val="20"/>
                  <w:u w:val="single"/>
                </w:rPr>
                <w:t>Condensed Consolidated Statements of Operations and Comprehensive Loss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cons_statements_equity">
              <w:r>
                <w:rPr>
                  <w:rStyle w:val="InternetLink"/>
                  <w:rFonts w:ascii="Times New Roman" w:hAnsi="Times New Roman"/>
                  <w:color w:val="0000FF"/>
                  <w:sz w:val="20"/>
                  <w:u w:val="single"/>
                </w:rPr>
                <w:t>Condensed Consolidated Statements of Shareholders’ Equity</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cons_statements_cashflow">
              <w:r>
                <w:rPr>
                  <w:rStyle w:val="InternetLink"/>
                  <w:rFonts w:ascii="Times New Roman" w:hAnsi="Times New Roman"/>
                  <w:color w:val="0000FF"/>
                  <w:sz w:val="20"/>
                  <w:u w:val="single"/>
                </w:rPr>
                <w:t>Condensed Consolidated Statements of Cash Flows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notes_to_cons_financial_statements">
              <w:r>
                <w:rPr>
                  <w:rStyle w:val="InternetLink"/>
                  <w:rFonts w:ascii="Times New Roman" w:hAnsi="Times New Roman"/>
                  <w:color w:val="0000FF"/>
                  <w:sz w:val="20"/>
                  <w:u w:val="single"/>
                </w:rPr>
                <w:t>Notes to Condensed Consolidated Financial Statements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2_management_discussion_analysis">
              <w:r>
                <w:rPr>
                  <w:rStyle w:val="InternetLink"/>
                  <w:rFonts w:ascii="Times New Roman" w:hAnsi="Times New Roman"/>
                  <w:color w:val="0000FF"/>
                  <w:sz w:val="20"/>
                  <w:u w:val="single"/>
                </w:rPr>
                <w:t>Item 2. Management’s Discussion and Analysis of Financial Condition and Results of Operations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16</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4_controls_and_procedures">
              <w:r>
                <w:rPr>
                  <w:rStyle w:val="InternetLink"/>
                  <w:rFonts w:ascii="Times New Roman" w:hAnsi="Times New Roman"/>
                  <w:color w:val="0000FF"/>
                  <w:sz w:val="20"/>
                  <w:u w:val="single"/>
                </w:rPr>
                <w:t>Item 4. Controls and Procedures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part_ii_other_information">
              <w:r>
                <w:rPr>
                  <w:rStyle w:val="InternetLink"/>
                  <w:rFonts w:ascii="Times New Roman" w:hAnsi="Times New Roman"/>
                  <w:color w:val="0000FF"/>
                  <w:sz w:val="20"/>
                  <w:u w:val="single"/>
                </w:rPr>
                <w:t>PART II. OTHER INFORMATION</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25</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Item 1. Legal Proceedings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25</w:t>
            </w:r>
          </w:p>
        </w:tc>
      </w:tr>
      <w:tr>
        <w:trPr/>
        <w:tc>
          <w:tcPr>
            <w:tcW w:w="8226" w:type="dxa"/>
            <w:tcBorders/>
            <w:tcMar>
              <w:top w:w="0" w:type="dxa"/>
              <w:left w:w="0" w:type="dxa"/>
              <w:bottom w:w="0" w:type="dxa"/>
              <w:right w:w="0" w:type="dxa"/>
            </w:tcMar>
            <w:vAlign w:val="center"/>
          </w:tcPr>
          <w:p>
            <w:pPr>
              <w:pStyle w:val="TableContents"/>
              <w:bidi w:val="0"/>
              <w:ind w:left="0" w:right="0" w:firstLine="490"/>
              <w:jc w:val="left"/>
              <w:rPr/>
            </w:pPr>
            <w:r>
              <w:rPr/>
              <w:t> </w:t>
            </w:r>
          </w:p>
          <w:p>
            <w:pPr>
              <w:pStyle w:val="TableContents"/>
              <w:bidi w:val="0"/>
              <w:spacing w:before="0" w:after="283"/>
              <w:ind w:left="0" w:right="0" w:firstLine="490"/>
              <w:jc w:val="left"/>
              <w:rPr/>
            </w:pPr>
            <w:hyperlink w:anchor="item_1a_risk_factors">
              <w:r>
                <w:rPr>
                  <w:rStyle w:val="InternetLink"/>
                  <w:rFonts w:ascii="Times New Roman" w:hAnsi="Times New Roman"/>
                  <w:color w:val="0000FF"/>
                  <w:sz w:val="20"/>
                  <w:u w:val="single"/>
                </w:rPr>
                <w:t>Item 1A. Risk Factors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25</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5_other_information">
              <w:r>
                <w:rPr>
                  <w:rStyle w:val="InternetLink"/>
                  <w:rFonts w:ascii="Times New Roman" w:hAnsi="Times New Roman"/>
                  <w:color w:val="0000FF"/>
                  <w:sz w:val="20"/>
                  <w:u w:val="single"/>
                </w:rPr>
                <w:t>Item 5. Other Information</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65</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Item 6. Exhibits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66</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signatures">
              <w:r>
                <w:rPr>
                  <w:rStyle w:val="InternetLink"/>
                  <w:rFonts w:ascii="Times New Roman" w:hAnsi="Times New Roman"/>
                  <w:color w:val="0000FF"/>
                  <w:sz w:val="20"/>
                  <w:u w:val="single"/>
                </w:rPr>
                <w:t>SIGNATURES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Quarterly Report on Form 10-Q, “we,” “our,” “us,” “Xenon,” and “the Company” refer to Xenon Pharmaceuticals Inc. and its subsidiary. “Xenon” and the Xenon logo are the property of Xenon Pharmaceuticals Inc. and are registered in the United States and used or registered in various other jurisdictions. This report contains references to our trademarks and to trademarks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highlighted in the section of this report captioned “Risk Factors.” The following is a summary of the principal risks we face: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and anticipate that we will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additional funding, which may not be available on acceptable terms, if at all. Failure to obtain capital when needed may force us to delay, limit or terminate our product discovery and development programs or commercialization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substantially depends upon the successful development of azetukalner. If we are unable to obtain regulatory approval for, and successfully commercialize, azetukalner, our business may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studies may fail to demonstrate adequately the safety and efficacy of our, or our collaborators’, product candidates at any stage of clinical development. Terminating the development of any of our, or our collaborators’, product candidates could materially harm our business and the market price of our common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find it difficult to enroll patients in our clinical studies which could delay or prevent the successful completion of clinical studies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incur unexpected costs or experience delays in completing, or ultimately be unable to complete, the development and commercialization of our, or our collaborators’,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FDA, EMA and regulators in other foreign jurisdictions are lengthy, time-consuming and inherently unpredictable. If we, or our collaborators, are unable to obtain regulatory approval for our product candidates in a timely manner, or at all, our business may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our own sales, marketing and distribution capabilities or enter into agreements for these purposes, we may not be successful in independently commercializing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for successful development and commercialization of our partnered products and product candidates are dependent upon the research, development and marketing efforts of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manufacture our product candidates may increase the risk that we will not have sufficient quantities of our product candidates, raw materials, APIs or drug products when needed or at an acceptable cost.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pre-clinical studies and clinical studies. If these third parties do not successfully carry out their contractual duties, including to comply with applicable laws and regulations or meet expected deadlines, our business could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unsuccessful in obtaining or maintaining adequate patent protection for one or more of our products, product candidates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operations could suffer in the event of an actual or perceived information security incident such as a cybersecurity breach, system failure or other compromise of our systems and/or information, including information held by a third-party contractor or vendor.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shares may be volatile, and purchasers of our common shares could incur substantial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and issuances of our common shares or securities convertible into or exchangeable for common shares would cause our shareholders to incur dilution and could cause the market price of our common shares to fall.</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100" w:after="283"/>
        <w:jc w:val="left"/>
        <w:rPr/>
      </w:pPr>
      <w:r>
        <w:rPr/>
        <w:t> </w:t>
      </w:r>
    </w:p>
    <w:p>
      <w:pPr>
        <w:pStyle w:val="TextBody"/>
        <w:bidi w:val="0"/>
        <w:spacing w:before="100" w:after="283"/>
        <w:jc w:val="left"/>
        <w:rPr/>
      </w:pPr>
      <w:r>
        <w:rPr/>
        <w:t> </w:t>
      </w:r>
    </w:p>
    <w:p>
      <w:pPr>
        <w:pStyle w:val="TextBody"/>
        <w:bidi w:val="0"/>
        <w:spacing w:before="100" w:after="283"/>
        <w:jc w:val="left"/>
        <w:rPr/>
      </w:pPr>
      <w:r>
        <w:rPr/>
        <w:t> </w:t>
      </w:r>
    </w:p>
    <w:p>
      <w:pPr>
        <w:pStyle w:val="TextBody"/>
        <w:bidi w:val="0"/>
        <w:spacing w:before="100" w:after="283"/>
        <w:jc w:val="left"/>
        <w:rPr/>
      </w:pPr>
      <w:r>
        <w:rPr/>
        <w:t> </w:t>
      </w:r>
    </w:p>
    <w:p>
      <w:pPr>
        <w:pStyle w:val="TextBody"/>
        <w:bidi w:val="0"/>
        <w:spacing w:before="10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4" w:name="cons_balance_sheets"/>
      <w:bookmarkEnd w:id="4"/>
      <w:r>
        <w:rPr>
          <w:rFonts w:ascii="Times New Roman" w:hAnsi="Times New Roman"/>
          <w:color w:val="000000"/>
          <w:sz w:val="20"/>
        </w:rPr>
        <w:t>Condensed Consolidated Balance Sheets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amounts)</w:t>
      </w:r>
    </w:p>
    <w:p>
      <w:pPr>
        <w:pStyle w:val="TextBody"/>
        <w:bidi w:val="0"/>
        <w:jc w:val="left"/>
        <w:rPr/>
      </w:pPr>
      <w:r>
        <w:rPr/>
        <w:t> </w:t>
      </w:r>
    </w:p>
    <w:tbl>
      <w:tblPr>
        <w:tblW w:w="9694" w:type="dxa"/>
        <w:jc w:val="left"/>
        <w:tblInd w:w="0" w:type="dxa"/>
        <w:tblLayout w:type="fixed"/>
        <w:tblCellMar>
          <w:top w:w="28" w:type="dxa"/>
          <w:left w:w="28" w:type="dxa"/>
          <w:bottom w:w="28" w:type="dxa"/>
          <w:right w:w="28" w:type="dxa"/>
        </w:tblCellMar>
      </w:tblPr>
      <w:tblGrid>
        <w:gridCol w:w="6241"/>
        <w:gridCol w:w="146"/>
        <w:gridCol w:w="211"/>
        <w:gridCol w:w="991"/>
        <w:gridCol w:w="166"/>
        <w:gridCol w:w="146"/>
        <w:gridCol w:w="211"/>
        <w:gridCol w:w="991"/>
        <w:gridCol w:w="59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Marketable securities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560,649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long-term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long-term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(note 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long-term</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without par value; unlimited shares authorized; issued and</w:t>
              <w:br/>
              <w:t>   outstanding: 96,752,884 (December 31, 2025 - 80,010,790)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228,234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(1,245,380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5" w:name="cons_statements_operations"/>
      <w:bookmarkEnd w:id="5"/>
      <w:r>
        <w:rPr>
          <w:rFonts w:ascii="Times New Roman" w:hAnsi="Times New Roman"/>
          <w:color w:val="000000"/>
          <w:sz w:val="20"/>
        </w:rPr>
        <w:t>Condensed Consolidated Statements of Operations and Comprehensive Loss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174,467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(166,967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(149,952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recovery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(149,753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Unrealized gain (loss) on available-for-sale </w:t>
              <w:br/>
              <w:t>   securities (note 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99,609,804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78,953,445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93,477,761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78,820,474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6" w:name="cons_statements_equity"/>
      <w:bookmarkEnd w:id="6"/>
      <w:r>
        <w:rPr>
          <w:rFonts w:ascii="Times New Roman" w:hAnsi="Times New Roman"/>
          <w:color w:val="000000"/>
          <w:sz w:val="20"/>
        </w:rPr>
        <w:t>Condensed Consolidated Statements of Shareholders’ Equity</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9"/>
        <w:gridCol w:w="146"/>
        <w:gridCol w:w="1036"/>
        <w:gridCol w:w="146"/>
        <w:gridCol w:w="146"/>
        <w:gridCol w:w="211"/>
        <w:gridCol w:w="931"/>
        <w:gridCol w:w="146"/>
        <w:gridCol w:w="146"/>
        <w:gridCol w:w="211"/>
        <w:gridCol w:w="781"/>
        <w:gridCol w:w="166"/>
        <w:gridCol w:w="146"/>
        <w:gridCol w:w="211"/>
        <w:gridCol w:w="991"/>
        <w:gridCol w:w="166"/>
        <w:gridCol w:w="146"/>
        <w:gridCol w:w="312"/>
        <w:gridCol w:w="934"/>
        <w:gridCol w:w="166"/>
        <w:gridCol w:w="146"/>
        <w:gridCol w:w="242"/>
        <w:gridCol w:w="899"/>
        <w:gridCol w:w="211"/>
      </w:tblGrid>
      <w:tr>
        <w:trPr/>
        <w:tc>
          <w:tcPr>
            <w:tcW w:w="1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 xml:space="preserve">other </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shareholders'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76,416,086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w:t>
              <w:br/>
              <w:t>   pursuant to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76,586,359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w:t>
              <w:br/>
              <w:t>   pursuant to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76,939,811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2"/>
        <w:gridCol w:w="146"/>
        <w:gridCol w:w="1036"/>
        <w:gridCol w:w="146"/>
        <w:gridCol w:w="146"/>
        <w:gridCol w:w="211"/>
        <w:gridCol w:w="931"/>
        <w:gridCol w:w="146"/>
        <w:gridCol w:w="146"/>
        <w:gridCol w:w="211"/>
        <w:gridCol w:w="781"/>
        <w:gridCol w:w="166"/>
        <w:gridCol w:w="146"/>
        <w:gridCol w:w="211"/>
        <w:gridCol w:w="991"/>
        <w:gridCol w:w="166"/>
        <w:gridCol w:w="146"/>
        <w:gridCol w:w="211"/>
        <w:gridCol w:w="631"/>
        <w:gridCol w:w="166"/>
        <w:gridCol w:w="146"/>
        <w:gridCol w:w="211"/>
        <w:gridCol w:w="931"/>
        <w:gridCol w:w="211"/>
      </w:tblGrid>
      <w:tr>
        <w:trPr/>
        <w:tc>
          <w:tcPr>
            <w:tcW w:w="1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80,010,790</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1,598,571</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228,234</w:t>
            </w:r>
          </w:p>
        </w:tc>
        <w:tc>
          <w:tcPr>
            <w:tcW w:w="16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(1,245,380</w:t>
            </w:r>
          </w:p>
        </w:tc>
        <w:tc>
          <w:tcPr>
            <w:tcW w:w="16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581,760</w:t>
            </w:r>
          </w:p>
        </w:tc>
        <w:tc>
          <w:tcPr>
            <w:tcW w:w="21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r>
      <w:tr>
        <w:trPr/>
        <w:tc>
          <w:tcPr>
            <w:tcW w:w="1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shares and</w:t>
              <w:br/>
              <w:t>   pre-funded warrants,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15,370,962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w:t>
              <w:br/>
              <w:t>   pursuant to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96,624,123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(1,347,682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1,337,819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pursuant </w:t>
              <w:br/>
              <w:t>  to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96,752,884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1,242,396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7" w:name="cons_statements_cashflow"/>
      <w:bookmarkEnd w:id="7"/>
      <w:r>
        <w:rPr>
          <w:rFonts w:ascii="Times New Roman" w:hAnsi="Times New Roman"/>
          <w:color w:val="000000"/>
          <w:sz w:val="20"/>
        </w:rPr>
        <w:t>Condensed Consolidated Statements of Cash Flows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w:t>
      </w:r>
    </w:p>
    <w:p>
      <w:pPr>
        <w:pStyle w:val="TextBody"/>
        <w:bidi w:val="0"/>
        <w:jc w:val="left"/>
        <w:rPr/>
      </w:pPr>
      <w:r>
        <w:rPr/>
        <w:t> </w:t>
      </w:r>
    </w:p>
    <w:tbl>
      <w:tblPr>
        <w:tblW w:w="10004" w:type="dxa"/>
        <w:jc w:val="left"/>
        <w:tblInd w:w="0" w:type="dxa"/>
        <w:tblLayout w:type="fixed"/>
        <w:tblCellMar>
          <w:top w:w="28" w:type="dxa"/>
          <w:left w:w="28" w:type="dxa"/>
          <w:bottom w:w="28" w:type="dxa"/>
          <w:right w:w="28" w:type="dxa"/>
        </w:tblCellMar>
      </w:tblPr>
      <w:tblGrid>
        <w:gridCol w:w="6831"/>
        <w:gridCol w:w="146"/>
        <w:gridCol w:w="211"/>
        <w:gridCol w:w="841"/>
        <w:gridCol w:w="166"/>
        <w:gridCol w:w="146"/>
        <w:gridCol w:w="211"/>
        <w:gridCol w:w="841"/>
        <w:gridCol w:w="611"/>
      </w:tblGrid>
      <w:tr>
        <w:trPr/>
        <w:tc>
          <w:tcPr>
            <w:tcW w:w="6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receivable and 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foreign exchange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(gain)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(125,885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offerings,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135,381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stock options and pre-funded warrants exercised on a cashless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8" w:name="notes_to_cons_financial_statements"/>
      <w:bookmarkEnd w:id="8"/>
      <w:r>
        <w:rPr>
          <w:rFonts w:ascii="Times New Roman" w:hAnsi="Times New Roman"/>
          <w:color w:val="000000"/>
          <w:sz w:val="20"/>
        </w:rPr>
        <w:t>Notes to Condensed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and per share amounts)</w:t>
      </w:r>
    </w:p>
    <w:p>
      <w:pPr>
        <w:pStyle w:val="TextBody"/>
        <w:bidi w:val="0"/>
        <w:jc w:val="left"/>
        <w:rPr/>
      </w:pPr>
      <w:r>
        <w:rPr/>
        <w:t> </w:t>
      </w:r>
    </w:p>
    <w:tbl>
      <w:tblPr>
        <w:tblW w:w="971" w:type="dxa"/>
        <w:jc w:val="left"/>
        <w:tblInd w:w="0" w:type="dxa"/>
        <w:tblLayout w:type="fixed"/>
        <w:tblCellMar>
          <w:top w:w="28" w:type="dxa"/>
          <w:left w:w="28" w:type="dxa"/>
          <w:bottom w:w="28" w:type="dxa"/>
          <w:right w:w="28" w:type="dxa"/>
        </w:tblCellMar>
      </w:tblPr>
      <w:tblGrid>
        <w:gridCol w:w="161"/>
        <w:gridCol w:w="146"/>
        <w:gridCol w:w="146"/>
        <w:gridCol w:w="109"/>
        <w:gridCol w:w="109"/>
        <w:gridCol w:w="146"/>
        <w:gridCol w:w="15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9"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4"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w:t>
      </w:r>
    </w:p>
    <w:p>
      <w:pPr>
        <w:pStyle w:val="TextBody"/>
        <w:bidi w:val="0"/>
        <w:jc w:val="left"/>
        <w:rPr>
          <w:rFonts w:ascii="Times New Roman" w:hAnsi="Times New Roman"/>
          <w:b/>
          <w:color w:val="000000"/>
          <w:sz w:val="20"/>
        </w:rPr>
      </w:pPr>
      <w:r>
        <w:rPr>
          <w:rFonts w:ascii="Times New Roman" w:hAnsi="Times New Roman"/>
          <w:b/>
          <w:color w:val="000000"/>
          <w:sz w:val="20"/>
        </w:rPr>
        <w:t>Nature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Xenon Pharmaceuticals Inc. (the “Company”), incorporated in 1996 under the predecessor to the Business Corporations Act (British Columbia) and continued federally in 2000 under the Canada Business Corporations Act, is a neuroscience-focused biopharmaceutical company dedicated to drug discovery, clinical development, and commercialization of life-changing therapeutics for patients in need.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incurred significant operating losses since inception. As of June 30, 2026, the Company had an accumulated deficit of $1,458,418 and a net loss of $213,038 for the six months ended June 30, 2026. Management expects to continue to incur significant expenses in excess of revenue and to incur operating losses for the foreseeable future. To date, the Company has financed its operations primarily through the sale of equity securities, funding received from collaboration and license agreements, and debt financings.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as the Company can generate substantial product revenue, if ever, management expects to finance the Company’s cash needs through a combination of collaboration agreements, equity and debt financings. The continuation of research and development activities and the future commercialization of its products are dependent on the Company’s ability to successfully raise additional funds when needed. It is not possible to predict either the outcome of future research and development programs or the Company’s ability to continue to fund these programs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 Company had cash, cash equivalents and marketable securities of $1,245,097. Although the Company has incurred recurring losses and expects to continue to incur losses for the foreseeable future, the Company expects the cash, cash equivalents and marketable securities to be sufficient to fund current operations for at least the next 12 months from the issuance of the financial statements.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are presented in U.S. dollars and include the accounts of the Company and its wholly-owned subsidiary, Xenon Pharmaceuticals USA Inc., a Delaware corporation. All intercompany transactions and balances have been eliminated on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interim condensed consolidated financial statements have been prepared in accordance with generally accepted accounting principles in the United States (“GAAP”) and pursuant to the rules and regulations of the United States Securities and Exchange Commission (“SEC”) for interim financial information. Certain information has been reclassified to conform with the financial presentation adopted for the current year. Accordingly, these condensed consolidated financial statements do not include all of the information and footnotes required for complete consolidated financial statements and should be read in conjunction with the audited consolidated financial statements and notes for the year ended December 31, 2025 included in the Company’s 2025 Annual Report on Form 10-K filed with the SEC and with the securities commissions in British Columbia, Alberta and Ontario on February 26,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reflect all adjustments, consisting of normal recurring adjustments, which, in the opinion of management, are necessary for a fair presentation of results for the interim periods presented. The results of operations for the three and six month periods ended June 30, 2026 and 2025 are not necessarily indicative of results that can be expected for a full year. These unaudited interim condensed consolidated financial statements follow the same significant accounting policies as those described in the notes to the audited consolidated financial statements of the Company included in the Company’s 2025 Annual Report on Form 10-K for the year ended December 31, 2025, with the exception of the policy described in note 3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September 2025, the Financial Accounting Standards Board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which updates the accounting for internal-use software costs by replacing prescriptive development-stage guidance with a principles-based capitalization model and incorporating website development guidance into Subtopic 350-40. The Company early adopted this ASU effective January 1, 2026, on a prospective basis. The adoption of this ASU did not have a material effect on the Company’s consolidated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hierarchy consists of the following three levels: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1 - </w:t>
      </w:r>
      <w:r>
        <w:rPr>
          <w:rFonts w:ascii="Times New Roman" w:hAnsi="Times New Roman"/>
          <w:color w:val="000000"/>
          <w:sz w:val="20"/>
        </w:rPr>
        <w:t>Unadjusted quoted prices in active markets for identical instruments.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Level 2 -</w:t>
      </w:r>
      <w:r>
        <w:rPr>
          <w:rFonts w:ascii="Times New Roman" w:hAnsi="Times New Roman"/>
          <w:color w:val="000000"/>
          <w:sz w:val="20"/>
        </w:rPr>
        <w:t xml:space="preserve"> Inputs other than quoted prices included within Level 1 that are observable for the asset or liability, either directly or indirectly. Level 2 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Level 3 -</w:t>
      </w:r>
      <w:r>
        <w:rPr>
          <w:rFonts w:ascii="Times New Roman" w:hAnsi="Times New Roman"/>
          <w:color w:val="000000"/>
          <w:sz w:val="20"/>
        </w:rPr>
        <w:t xml:space="preserve"> Inputs are unobservable and reflect the Company’s assumptions as to what market participants would use in pricing the asset or liability. The Company develops these inputs based on the best information available.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carrying amounts of cash and cash equivalents, other receivables, and accounts payable and accrued liabilities approximate their fair value due to the nature and short-term maturity of these instruments.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fair value hierarchy levels used to determine the fair values of the Company’s cash and cash equivalents and marketable securities:</w:t>
      </w:r>
    </w:p>
    <w:p>
      <w:pPr>
        <w:pStyle w:val="TextBody"/>
        <w:bidi w:val="0"/>
        <w:jc w:val="both"/>
        <w:rPr/>
      </w:pPr>
      <w:r>
        <w:rPr/>
        <w:t> </w:t>
      </w:r>
    </w:p>
    <w:tbl>
      <w:tblPr>
        <w:tblW w:w="11138" w:type="dxa"/>
        <w:jc w:val="left"/>
        <w:tblInd w:w="0" w:type="dxa"/>
        <w:tblLayout w:type="fixed"/>
        <w:tblCellMar>
          <w:top w:w="28" w:type="dxa"/>
          <w:left w:w="28" w:type="dxa"/>
          <w:bottom w:w="28" w:type="dxa"/>
          <w:right w:w="28" w:type="dxa"/>
        </w:tblCellMar>
      </w:tblPr>
      <w:tblGrid>
        <w:gridCol w:w="1341"/>
        <w:gridCol w:w="146"/>
        <w:gridCol w:w="211"/>
        <w:gridCol w:w="781"/>
        <w:gridCol w:w="146"/>
        <w:gridCol w:w="146"/>
        <w:gridCol w:w="211"/>
        <w:gridCol w:w="781"/>
        <w:gridCol w:w="146"/>
        <w:gridCol w:w="146"/>
        <w:gridCol w:w="211"/>
        <w:gridCol w:w="346"/>
        <w:gridCol w:w="146"/>
        <w:gridCol w:w="146"/>
        <w:gridCol w:w="211"/>
        <w:gridCol w:w="931"/>
        <w:gridCol w:w="146"/>
        <w:gridCol w:w="146"/>
        <w:gridCol w:w="211"/>
        <w:gridCol w:w="781"/>
        <w:gridCol w:w="146"/>
        <w:gridCol w:w="146"/>
        <w:gridCol w:w="211"/>
        <w:gridCol w:w="781"/>
        <w:gridCol w:w="146"/>
        <w:gridCol w:w="146"/>
        <w:gridCol w:w="211"/>
        <w:gridCol w:w="346"/>
        <w:gridCol w:w="146"/>
        <w:gridCol w:w="146"/>
        <w:gridCol w:w="211"/>
        <w:gridCol w:w="781"/>
        <w:gridCol w:w="391"/>
      </w:tblGrid>
      <w:tr>
        <w:trPr/>
        <w:tc>
          <w:tcPr>
            <w:tcW w:w="1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money market fund,</w:t>
              <w:br/>
              <w:t>  mutual funds, commercial</w:t>
              <w:br/>
              <w:t>  paper and U.S. treasuries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199,163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199,163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 xml:space="preserve">Guaranteed investment </w:t>
              <w:br/>
              <w:t>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142,593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39,559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Corporate debt securities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499,513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499,513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189,986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756,315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1,125,570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229,545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386,875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488,782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756,315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1,245,097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311,989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274,049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586,038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the Company’s commercial paper and corporate debt securities are based on prices obtained from independent pricing sources. Securities with validated quotes from pricing services are reflected within Level 2, as they are primarily based on observable pricing for similar assets or other market observable inputs. Typical inputs used by these pricing services include, but are not limited to, reported trades, benchmark yields, issuer spreads, bids, offers or estimates of cash flow, prepayment spreads and default rates.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and December 31, 2025, the Company did not hold any securities classified as Level 3 and there were no securities transferred between Level 1 and Level 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Amortized cost, unrealized gain (loss) recognized in accumulated other comprehensive income (loss) and fair value of available-for-sale securities consisted of the following:</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109"/>
        <w:gridCol w:w="146"/>
        <w:gridCol w:w="211"/>
        <w:gridCol w:w="931"/>
        <w:gridCol w:w="146"/>
        <w:gridCol w:w="146"/>
        <w:gridCol w:w="226"/>
        <w:gridCol w:w="678"/>
        <w:gridCol w:w="166"/>
        <w:gridCol w:w="146"/>
        <w:gridCol w:w="211"/>
        <w:gridCol w:w="931"/>
        <w:gridCol w:w="146"/>
        <w:gridCol w:w="146"/>
        <w:gridCol w:w="211"/>
        <w:gridCol w:w="781"/>
        <w:gridCol w:w="146"/>
        <w:gridCol w:w="146"/>
        <w:gridCol w:w="244"/>
        <w:gridCol w:w="661"/>
        <w:gridCol w:w="146"/>
        <w:gridCol w:w="146"/>
        <w:gridCol w:w="211"/>
        <w:gridCol w:w="781"/>
        <w:gridCol w:w="393"/>
      </w:tblGrid>
      <w:tr>
        <w:trPr/>
        <w:tc>
          <w:tcPr>
            <w:tcW w:w="2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Guaranteed investment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112,098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183,329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349,723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non-current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1,125,570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Allowance for credit losses or impairment on these marketable securities has not been recognized as these securities are high credit quality, investment grade securities that the Company does not intend to sell and will not be required to sell prior to their anticipated recovery. The change in fair value is primarily due to changes in interest and foreign exchange rates.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research laboratories and office space in Burnaby, British Columbia, which expires on June 30, 2032 and has two renewal options for 5 years each, which were not considered in the determination of the right-of-use asset and lease liability. The Company has an additional operating lease for office space in Needham, Massachusetts, which commenced in October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components of the operating leases were as follows:</w:t>
      </w:r>
    </w:p>
    <w:p>
      <w:pPr>
        <w:pStyle w:val="TextBody"/>
        <w:bidi w:val="0"/>
        <w:jc w:val="both"/>
        <w:rPr/>
      </w:pPr>
      <w:r>
        <w:rPr/>
        <w:t> </w:t>
      </w:r>
    </w:p>
    <w:tbl>
      <w:tblPr>
        <w:tblW w:w="7092" w:type="dxa"/>
        <w:jc w:val="left"/>
        <w:tblInd w:w="0" w:type="dxa"/>
        <w:tblLayout w:type="fixed"/>
        <w:tblCellMar>
          <w:top w:w="28" w:type="dxa"/>
          <w:left w:w="28" w:type="dxa"/>
          <w:bottom w:w="28" w:type="dxa"/>
          <w:right w:w="28" w:type="dxa"/>
        </w:tblCellMar>
      </w:tblPr>
      <w:tblGrid>
        <w:gridCol w:w="2131"/>
        <w:gridCol w:w="146"/>
        <w:gridCol w:w="307"/>
        <w:gridCol w:w="613"/>
        <w:gridCol w:w="212"/>
        <w:gridCol w:w="212"/>
        <w:gridCol w:w="307"/>
        <w:gridCol w:w="613"/>
        <w:gridCol w:w="146"/>
        <w:gridCol w:w="146"/>
        <w:gridCol w:w="280"/>
        <w:gridCol w:w="560"/>
        <w:gridCol w:w="194"/>
        <w:gridCol w:w="194"/>
        <w:gridCol w:w="280"/>
        <w:gridCol w:w="560"/>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Variable lease expense</w:t>
            </w:r>
            <w:r>
              <w:rPr>
                <w:rFonts w:ascii="Times New Roman" w:hAnsi="Times New Roman"/>
                <w:color w:val="000000"/>
                <w:sz w:val="13"/>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Variable lease costs are payments that vary because of changes in facts or circumstances and include common area maintenance and property taxes related to the premises. Variable lease costs are excluded from the calculation of minimum lease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Supplemental lease information is presented below:</w:t>
      </w:r>
    </w:p>
    <w:p>
      <w:pPr>
        <w:pStyle w:val="TextBody"/>
        <w:bidi w:val="0"/>
        <w:jc w:val="both"/>
        <w:rPr/>
      </w:pPr>
      <w:r>
        <w:rPr/>
        <w:t> </w:t>
      </w:r>
    </w:p>
    <w:tbl>
      <w:tblPr>
        <w:tblW w:w="6781" w:type="dxa"/>
        <w:jc w:val="left"/>
        <w:tblInd w:w="0" w:type="dxa"/>
        <w:tblLayout w:type="fixed"/>
        <w:tblCellMar>
          <w:top w:w="28" w:type="dxa"/>
          <w:left w:w="28" w:type="dxa"/>
          <w:bottom w:w="28" w:type="dxa"/>
          <w:right w:w="28" w:type="dxa"/>
        </w:tblCellMar>
      </w:tblPr>
      <w:tblGrid>
        <w:gridCol w:w="4116"/>
        <w:gridCol w:w="146"/>
        <w:gridCol w:w="207"/>
        <w:gridCol w:w="513"/>
        <w:gridCol w:w="271"/>
        <w:gridCol w:w="146"/>
        <w:gridCol w:w="207"/>
        <w:gridCol w:w="513"/>
        <w:gridCol w:w="271"/>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 and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Future minimum lease payments as of June 30, 2026 were as follows: </w:t>
      </w:r>
    </w:p>
    <w:p>
      <w:pPr>
        <w:pStyle w:val="TextBody"/>
        <w:bidi w:val="0"/>
        <w:jc w:val="both"/>
        <w:rPr/>
      </w:pPr>
      <w:r>
        <w:rPr/>
        <w:t> </w:t>
      </w:r>
    </w:p>
    <w:tbl>
      <w:tblPr>
        <w:tblW w:w="4700" w:type="dxa"/>
        <w:jc w:val="left"/>
        <w:tblInd w:w="0" w:type="dxa"/>
        <w:tblLayout w:type="fixed"/>
        <w:tblCellMar>
          <w:top w:w="28" w:type="dxa"/>
          <w:left w:w="28" w:type="dxa"/>
          <w:bottom w:w="28" w:type="dxa"/>
          <w:right w:w="28" w:type="dxa"/>
        </w:tblCellMar>
      </w:tblPr>
      <w:tblGrid>
        <w:gridCol w:w="3181"/>
        <w:gridCol w:w="346"/>
        <w:gridCol w:w="211"/>
        <w:gridCol w:w="57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09"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2031 and thereafter</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Accounts payable and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payable and accrued liabilities consisted of the following:</w:t>
      </w:r>
    </w:p>
    <w:p>
      <w:pPr>
        <w:pStyle w:val="TextBody"/>
        <w:bidi w:val="0"/>
        <w:jc w:val="left"/>
        <w:rPr/>
      </w:pPr>
      <w:r>
        <w:rPr/>
        <w:t> </w:t>
      </w:r>
    </w:p>
    <w:tbl>
      <w:tblPr>
        <w:tblW w:w="7572" w:type="dxa"/>
        <w:jc w:val="left"/>
        <w:tblInd w:w="0" w:type="dxa"/>
        <w:tblLayout w:type="fixed"/>
        <w:tblCellMar>
          <w:top w:w="28" w:type="dxa"/>
          <w:left w:w="28" w:type="dxa"/>
          <w:bottom w:w="28" w:type="dxa"/>
          <w:right w:w="28" w:type="dxa"/>
        </w:tblCellMar>
      </w:tblPr>
      <w:tblGrid>
        <w:gridCol w:w="4761"/>
        <w:gridCol w:w="146"/>
        <w:gridCol w:w="211"/>
        <w:gridCol w:w="676"/>
        <w:gridCol w:w="146"/>
        <w:gridCol w:w="146"/>
        <w:gridCol w:w="260"/>
        <w:gridCol w:w="835"/>
        <w:gridCol w:w="391"/>
      </w:tblGrid>
      <w:tr>
        <w:trPr/>
        <w:tc>
          <w:tcPr>
            <w:tcW w:w="4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compensation, benefits, and related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and other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Share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2020, the Company entered into an “at-the-market” equity offering sales agreement, amended as of March 2022, with Jefferies LLC and Stifel, Nicolaus &amp; Company, Incorporated, pursuant to which the Company may sell common shares from time to time (the “ATM Program”). During the period from January 1, 2026 to February 26, 2026, the Company sold an aggregate of 3,134,119 common shares under the ATM Program for proceeds of $129,975, net of commissions and transaction expenses. On February 27, 2026, the Company refreshed the ATM Program by filing a new prospectus supplement, pursuant to which the Company may sell common shares having gross proceeds of up to $400,000, from time to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2026, the Company entered into an underwriting agreement with J.P. Morgan Securities LLC, Jefferies LLC, TD Securities (USA) LLC, Stifel, Nicolaus &amp; Company, Incorporated, RBC Capital Markets, LLC, and William Blair &amp; Company, L.L.C., relating to an underwritten public offering of 12,236,843 common shares, including 1,710,526 shares sold upon the full exercise of the underwriters' over-allotment option, at a public offering price of $57.00 per common share and pre-funded warrants to purchase 877,194 common shares at $56.9999 per pre-funded warrant (note 8b), with each pre-funded warrant having an exercise price of $0.0001. The public offering was completed in March 2026, and the Company received proceeds of $707,551, net of underwriting discounts, commissions, and offering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Pre-funded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pre-funded warrants activity:</w:t>
      </w:r>
    </w:p>
    <w:p>
      <w:pPr>
        <w:pStyle w:val="TextBody"/>
        <w:bidi w:val="0"/>
        <w:jc w:val="both"/>
        <w:rPr/>
      </w:pPr>
      <w:r>
        <w:rPr/>
        <w:t> </w:t>
      </w:r>
    </w:p>
    <w:tbl>
      <w:tblPr>
        <w:tblW w:w="8377" w:type="dxa"/>
        <w:jc w:val="left"/>
        <w:tblInd w:w="0" w:type="dxa"/>
        <w:tblLayout w:type="fixed"/>
        <w:tblCellMar>
          <w:top w:w="28" w:type="dxa"/>
          <w:left w:w="28" w:type="dxa"/>
          <w:bottom w:w="28" w:type="dxa"/>
          <w:right w:w="28" w:type="dxa"/>
        </w:tblCellMar>
      </w:tblPr>
      <w:tblGrid>
        <w:gridCol w:w="2836"/>
        <w:gridCol w:w="146"/>
        <w:gridCol w:w="146"/>
        <w:gridCol w:w="931"/>
        <w:gridCol w:w="146"/>
        <w:gridCol w:w="146"/>
        <w:gridCol w:w="146"/>
        <w:gridCol w:w="931"/>
        <w:gridCol w:w="146"/>
        <w:gridCol w:w="146"/>
        <w:gridCol w:w="146"/>
        <w:gridCol w:w="931"/>
        <w:gridCol w:w="166"/>
        <w:gridCol w:w="146"/>
        <w:gridCol w:w="146"/>
        <w:gridCol w:w="931"/>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the Company issued 118,980 common shares upon the exercise of 118,982 pre-funded warrants pursuant to a net exercise mechanism under the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pre-funded warrant is exercisable for the purchase of a common share at the holder’s discretion at an exercise price of $0.0001, subject to certain post-exercise beneficial ownership limitations as provided under the terms of the pre-funded warrant.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the pre-funded warrants meet the condition for equity classification, net proceeds from issuances of the pre-funded warrants are recorded in additional paid-in capital. Upon exercise of the pre-funded warrants, the historical costs recorded in additional paid-in capital along with the exercise price collected from holder will be recorded in common shares. Pre-funded warrants to purchase 2,931,293 (2025 – 2,173,081) common shares are not included in the number of issued and outstanding common shares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Amended and Restated 2025 Inducement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2025, the board of directors of the Company adopted Amended and Restated 2025 Inducement Equity Incentive Plan. Pursuant to the terms of the Amended and Restated 2025 Inducement Plan, the Company may grant nonstatutory stock options, stock appreciation rights, restricted share units (“RSUs”), restricted stock, and performance share units (“PSUs”) as an inducement material to individuals being hired, or rehired following a bona fide period of interruption of employment, as an employee of the Company or any of its subsidiaries, and its terms are substantially similar to the Company’s Amended and Restated 2014 Equity Incentive Plan, including with respect to treatment of equity awards in the event of a “merger” or “change of control” as defined under the 2025 Inducement Plan, but with such other terms and conditions intended to comply with the Nasdaq inducement award exception or to comply with the Nasdaq acquisition and merger exception. The Company has reserved 900,000 common shares for issuance under the Amended and Restated 2025 Inducement Plan. In accordance with Nasdaq Listing Rule 5635(c)(4), the Company did not seek approval of the Amended and Restated 2025 Inducement Plan by its shareholders. On April 7, 2026, the Company amended and restated the Amended and Restated 2025 Inducement Equity Incentive Plan to increase the aggregate number of common shares reserved for issuance from 900,000 shares to 1,175,000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2026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 2026, the shareholders of the Company approved the 2026 Equity Incentive Plan (the “2026 Plan”), which replaced the Amended and Restated 2014 Equity Incentive Plan (the “Amended and Restated 2014 Plan”), and no further awards will be granted under the Amended and Restated 2014 Plan. Pursuant to the terms of the 2026 Plan, the Company may grant nonstatutory stock options, stock appreciation rights, RSUs, restricted stock, PSUs and other stock-based awards to employees, officers and directors, consultants, and advisors of the Company. The aggregate number of common shares authorized for issuance under the 2026 Plan consists of: (i) 4,400,000 common shares and (ii) the sum of the number of common shares that remained available for issuance under the Amended and Restated 2014 Plan as of June 1, 2026 and the number of common shares subject to awards granted under the Amended and Restated 2014 Plan that were outstanding as of June 1, 2026, and which awards expire, terminate, or are otherwise surrendered, cancelled, forfeited, or repurchased by the Company at their original issuance price pursuant to a contractual repurchase right, and any common shares subject to awards under the Amended and Restated 2014 Plan that would otherwise have been returned to, and become available for the grant of new awards under the Amended and Restated 2014 Plan. The aggregate number of common shares included in clause (ii) is limited to 14,720,800 common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components of stock-based compensation expense:</w:t>
      </w:r>
    </w:p>
    <w:p>
      <w:pPr>
        <w:pStyle w:val="TextBody"/>
        <w:bidi w:val="0"/>
        <w:jc w:val="both"/>
        <w:rPr/>
      </w:pPr>
      <w:r>
        <w:rPr/>
        <w:t> </w:t>
      </w:r>
    </w:p>
    <w:tbl>
      <w:tblPr>
        <w:tblW w:w="9427" w:type="dxa"/>
        <w:jc w:val="left"/>
        <w:tblInd w:w="0" w:type="dxa"/>
        <w:tblLayout w:type="fixed"/>
        <w:tblCellMar>
          <w:top w:w="28" w:type="dxa"/>
          <w:left w:w="28" w:type="dxa"/>
          <w:bottom w:w="28" w:type="dxa"/>
          <w:right w:w="28" w:type="dxa"/>
        </w:tblCellMar>
      </w:tblPr>
      <w:tblGrid>
        <w:gridCol w:w="4246"/>
        <w:gridCol w:w="146"/>
        <w:gridCol w:w="231"/>
        <w:gridCol w:w="741"/>
        <w:gridCol w:w="160"/>
        <w:gridCol w:w="160"/>
        <w:gridCol w:w="231"/>
        <w:gridCol w:w="741"/>
        <w:gridCol w:w="166"/>
        <w:gridCol w:w="146"/>
        <w:gridCol w:w="211"/>
        <w:gridCol w:w="677"/>
        <w:gridCol w:w="146"/>
        <w:gridCol w:w="146"/>
        <w:gridCol w:w="211"/>
        <w:gridCol w:w="677"/>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by award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16,732</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stock option activity: </w:t>
      </w:r>
    </w:p>
    <w:p>
      <w:pPr>
        <w:pStyle w:val="TextBody"/>
        <w:bidi w:val="0"/>
        <w:jc w:val="both"/>
        <w:rPr/>
      </w:pPr>
      <w:r>
        <w:rPr/>
        <w:t> </w:t>
      </w:r>
    </w:p>
    <w:tbl>
      <w:tblPr>
        <w:tblW w:w="9249" w:type="dxa"/>
        <w:jc w:val="left"/>
        <w:tblInd w:w="0" w:type="dxa"/>
        <w:tblLayout w:type="fixed"/>
        <w:tblCellMar>
          <w:top w:w="28" w:type="dxa"/>
          <w:left w:w="28" w:type="dxa"/>
          <w:bottom w:w="28" w:type="dxa"/>
          <w:right w:w="28" w:type="dxa"/>
        </w:tblCellMar>
      </w:tblPr>
      <w:tblGrid>
        <w:gridCol w:w="2836"/>
        <w:gridCol w:w="146"/>
        <w:gridCol w:w="146"/>
        <w:gridCol w:w="1036"/>
        <w:gridCol w:w="166"/>
        <w:gridCol w:w="299"/>
        <w:gridCol w:w="1172"/>
        <w:gridCol w:w="146"/>
        <w:gridCol w:w="146"/>
        <w:gridCol w:w="146"/>
        <w:gridCol w:w="1036"/>
        <w:gridCol w:w="166"/>
        <w:gridCol w:w="299"/>
        <w:gridCol w:w="1172"/>
        <w:gridCol w:w="14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11,074,720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cancelled or expired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11,810,532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end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both"/>
        <w:rPr>
          <w:rFonts w:ascii="sans-serif" w:hAnsi="sans-serif"/>
          <w:sz w:val="22"/>
        </w:rPr>
      </w:pPr>
      <w:r>
        <w:rPr>
          <w:rFonts w:ascii="Times New Roman" w:hAnsi="Times New Roman"/>
          <w:color w:val="000000"/>
          <w:sz w:val="20"/>
        </w:rPr>
        <w:t>During the six months ended June 30, 2026, 513,500</w:t>
      </w:r>
      <w:r>
        <w:rPr>
          <w:rFonts w:ascii="sans-serif" w:hAnsi="sans-serif"/>
          <w:color w:val="000000"/>
          <w:sz w:val="22"/>
        </w:rPr>
        <w:t xml:space="preserve"> </w:t>
      </w:r>
      <w:r>
        <w:rPr>
          <w:rFonts w:ascii="Times New Roman" w:hAnsi="Times New Roman"/>
          <w:color w:val="000000"/>
          <w:sz w:val="20"/>
        </w:rPr>
        <w:t xml:space="preserve">(2025 </w:t>
      </w:r>
      <w:r>
        <w:rPr>
          <w:rFonts w:ascii="sans-serif" w:hAnsi="sans-serif"/>
          <w:color w:val="000000"/>
          <w:sz w:val="22"/>
        </w:rPr>
        <w:t xml:space="preserve">– </w:t>
      </w:r>
      <w:r>
        <w:rPr>
          <w:rFonts w:ascii="Times New Roman" w:hAnsi="Times New Roman"/>
          <w:color w:val="000000"/>
          <w:sz w:val="20"/>
        </w:rPr>
        <w:t>85,230) stock options were exercised for the same number of common shares in exchange for cash. In the same period, the Company issued 568,841</w:t>
      </w:r>
      <w:r>
        <w:rPr>
          <w:rFonts w:ascii="sans-serif" w:hAnsi="sans-serif"/>
          <w:color w:val="000000"/>
          <w:sz w:val="22"/>
        </w:rPr>
        <w:t xml:space="preserve"> </w:t>
      </w:r>
      <w:r>
        <w:rPr>
          <w:rFonts w:ascii="Times New Roman" w:hAnsi="Times New Roman"/>
          <w:color w:val="000000"/>
          <w:sz w:val="20"/>
        </w:rPr>
        <w:t>(2025</w:t>
      </w:r>
      <w:r>
        <w:rPr>
          <w:rFonts w:ascii="sans-serif" w:hAnsi="sans-serif"/>
          <w:color w:val="000000"/>
          <w:sz w:val="22"/>
        </w:rPr>
        <w:t xml:space="preserve"> – </w:t>
      </w:r>
      <w:r>
        <w:rPr>
          <w:rFonts w:ascii="Times New Roman" w:hAnsi="Times New Roman"/>
          <w:color w:val="000000"/>
          <w:sz w:val="20"/>
        </w:rPr>
        <w:t>438,495) common shares for the cashless exercise of 1,102,626</w:t>
      </w:r>
      <w:r>
        <w:rPr>
          <w:rFonts w:ascii="sans-serif" w:hAnsi="sans-serif"/>
          <w:color w:val="000000"/>
          <w:sz w:val="22"/>
        </w:rPr>
        <w:t xml:space="preserve"> </w:t>
      </w:r>
      <w:r>
        <w:rPr>
          <w:rFonts w:ascii="Times New Roman" w:hAnsi="Times New Roman"/>
          <w:color w:val="000000"/>
          <w:sz w:val="20"/>
        </w:rPr>
        <w:t>(2025</w:t>
      </w:r>
      <w:r>
        <w:rPr>
          <w:rFonts w:ascii="sans-serif" w:hAnsi="sans-serif"/>
          <w:color w:val="000000"/>
          <w:sz w:val="22"/>
        </w:rPr>
        <w:t xml:space="preserve"> – </w:t>
      </w:r>
      <w:r>
        <w:rPr>
          <w:rFonts w:ascii="Times New Roman" w:hAnsi="Times New Roman"/>
          <w:color w:val="000000"/>
          <w:sz w:val="20"/>
        </w:rPr>
        <w:t>916,765) 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each stock option granted is estimated using the Black-Scholes option-pricing model with the following weighted-average assumptions:</w:t>
      </w:r>
    </w:p>
    <w:p>
      <w:pPr>
        <w:pStyle w:val="TextBody"/>
        <w:bidi w:val="0"/>
        <w:jc w:val="both"/>
        <w:rPr/>
      </w:pPr>
      <w:r>
        <w:rPr/>
        <w:t> </w:t>
      </w:r>
    </w:p>
    <w:tbl>
      <w:tblPr>
        <w:tblW w:w="9636" w:type="dxa"/>
        <w:jc w:val="left"/>
        <w:tblInd w:w="0" w:type="dxa"/>
        <w:tblLayout w:type="fixed"/>
        <w:tblCellMar>
          <w:top w:w="28" w:type="dxa"/>
          <w:left w:w="28" w:type="dxa"/>
          <w:bottom w:w="28" w:type="dxa"/>
          <w:right w:w="28" w:type="dxa"/>
        </w:tblCellMar>
      </w:tblPr>
      <w:tblGrid>
        <w:gridCol w:w="4426"/>
        <w:gridCol w:w="146"/>
        <w:gridCol w:w="241"/>
        <w:gridCol w:w="653"/>
        <w:gridCol w:w="309"/>
        <w:gridCol w:w="167"/>
        <w:gridCol w:w="241"/>
        <w:gridCol w:w="653"/>
        <w:gridCol w:w="271"/>
        <w:gridCol w:w="146"/>
        <w:gridCol w:w="220"/>
        <w:gridCol w:w="596"/>
        <w:gridCol w:w="283"/>
        <w:gridCol w:w="152"/>
        <w:gridCol w:w="220"/>
        <w:gridCol w:w="596"/>
        <w:gridCol w:w="31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 of stock options granted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unrecognized stock-based compensation expense related to unvested stock options was $124,939, which is expected to be recognized over 2.73 years.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RSU activity: </w:t>
      </w:r>
    </w:p>
    <w:p>
      <w:pPr>
        <w:pStyle w:val="TextBody"/>
        <w:bidi w:val="0"/>
        <w:jc w:val="both"/>
        <w:rPr/>
      </w:pPr>
      <w:r>
        <w:rPr/>
        <w:t> </w:t>
      </w:r>
    </w:p>
    <w:tbl>
      <w:tblPr>
        <w:tblW w:w="8739" w:type="dxa"/>
        <w:jc w:val="left"/>
        <w:tblInd w:w="0" w:type="dxa"/>
        <w:tblLayout w:type="fixed"/>
        <w:tblCellMar>
          <w:top w:w="28" w:type="dxa"/>
          <w:left w:w="28" w:type="dxa"/>
          <w:bottom w:w="28" w:type="dxa"/>
          <w:right w:w="28" w:type="dxa"/>
        </w:tblCellMar>
      </w:tblPr>
      <w:tblGrid>
        <w:gridCol w:w="2836"/>
        <w:gridCol w:w="146"/>
        <w:gridCol w:w="146"/>
        <w:gridCol w:w="781"/>
        <w:gridCol w:w="166"/>
        <w:gridCol w:w="299"/>
        <w:gridCol w:w="1172"/>
        <w:gridCol w:w="146"/>
        <w:gridCol w:w="146"/>
        <w:gridCol w:w="146"/>
        <w:gridCol w:w="781"/>
        <w:gridCol w:w="166"/>
        <w:gridCol w:w="299"/>
        <w:gridCol w:w="1172"/>
        <w:gridCol w:w="14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RSUs generally vest annually over a one-year period for directors and a four-year period for employees and officers, subject to continued service on each vesting date. As of June 30, 2026, the unrecognized stock-based compensation expense related to unvested RSUs was $25,319, which is expected to be recognized over 3.25 years.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PSU activity: </w:t>
      </w:r>
    </w:p>
    <w:p>
      <w:pPr>
        <w:pStyle w:val="TextBody"/>
        <w:bidi w:val="0"/>
        <w:jc w:val="both"/>
        <w:rPr/>
      </w:pPr>
      <w:r>
        <w:rPr/>
        <w:t> </w:t>
      </w:r>
    </w:p>
    <w:tbl>
      <w:tblPr>
        <w:tblW w:w="8739" w:type="dxa"/>
        <w:jc w:val="left"/>
        <w:tblInd w:w="0" w:type="dxa"/>
        <w:tblLayout w:type="fixed"/>
        <w:tblCellMar>
          <w:top w:w="28" w:type="dxa"/>
          <w:left w:w="28" w:type="dxa"/>
          <w:bottom w:w="28" w:type="dxa"/>
          <w:right w:w="28" w:type="dxa"/>
        </w:tblCellMar>
      </w:tblPr>
      <w:tblGrid>
        <w:gridCol w:w="2836"/>
        <w:gridCol w:w="146"/>
        <w:gridCol w:w="146"/>
        <w:gridCol w:w="781"/>
        <w:gridCol w:w="166"/>
        <w:gridCol w:w="299"/>
        <w:gridCol w:w="1172"/>
        <w:gridCol w:w="146"/>
        <w:gridCol w:w="146"/>
        <w:gridCol w:w="146"/>
        <w:gridCol w:w="781"/>
        <w:gridCol w:w="166"/>
        <w:gridCol w:w="299"/>
        <w:gridCol w:w="1172"/>
        <w:gridCol w:w="14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PSUs vest upon the achievement of certain predefined company-specific performance-based criteria, subject to continued employment to each performance objective achievement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there was no unrecognized stock-based compensation expense related to unvested PSUs that is probable to be achieved. There is $6,867 of unrecognized stock-compensation expense related to PSUs that is not considered probable to be achieved. The recognition of these expenses is subject to the achievement of the performance-based criteria, which are reassessed at each reporting date.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2019, the Company entered into a license and collaboration agreement with Neurocrine Biosciences, Inc. to develop treatments for epilepsy, as described in the Company’s 2025 Annual Report on Form 10-K. The agreement also included a multi-year research collaboration to discover, identify and develop additional novel Nav1.6 and dual Nav1.2/1.6 inhibitors, which was completed in June 2022. As part of this ongoing collaboration, in February 2025, NBI-921355 progressed into a Phase 1 first-in-human study as a potential treatment for certain types of epilepsy and a $7,500 milestone was recognized in the six months ended June 30, 2025. Consideration associated with performance milestones is recognized as revenue using the most likely amount method when it is probable that a significant reversal of the cumulative revenue recognized will not occur.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common share: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96,678,511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76,780,364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90,838,269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76,647,393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pre-funded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99,609,804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78,953,445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93,477,761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78,820,474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weighted-average number of common shares used in the basic and diluted net loss per common share calculations includes the weighted-average pre-funded warrants outstanding during the period, as they are exercisable at any time for nominal cash consideration (note 8b).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reported net losses for the three and six month periods ended June 30, 2026 and 2025, and therefore excluded the potentially dilutive outstanding securities from the computation of diluted net loss per common share as their inclusion would have had an anti-dilutive effect.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potentially dilutive securities: </w:t>
      </w:r>
    </w:p>
    <w:p>
      <w:pPr>
        <w:pStyle w:val="TextBody"/>
        <w:bidi w:val="0"/>
        <w:jc w:val="both"/>
        <w:rPr/>
      </w:pPr>
      <w:r>
        <w:rPr/>
        <w:t> </w:t>
      </w:r>
    </w:p>
    <w:tbl>
      <w:tblPr>
        <w:tblW w:w="4385" w:type="dxa"/>
        <w:jc w:val="left"/>
        <w:tblInd w:w="0" w:type="dxa"/>
        <w:tblLayout w:type="fixed"/>
        <w:tblCellMar>
          <w:top w:w="28" w:type="dxa"/>
          <w:left w:w="28" w:type="dxa"/>
          <w:bottom w:w="28" w:type="dxa"/>
          <w:right w:w="28" w:type="dxa"/>
        </w:tblCellMar>
      </w:tblPr>
      <w:tblGrid>
        <w:gridCol w:w="1246"/>
        <w:gridCol w:w="146"/>
        <w:gridCol w:w="146"/>
        <w:gridCol w:w="1036"/>
        <w:gridCol w:w="146"/>
        <w:gridCol w:w="146"/>
        <w:gridCol w:w="146"/>
        <w:gridCol w:w="1036"/>
        <w:gridCol w:w="146"/>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11,810,532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12,682,213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Asset purchase agreement with 1st Order Pharmaceuticals, Inc. (“1st Order”):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2017, the Company acquired azetukalner from 1st Order pursuant to an asset purchase agreement. In August 2020, the Company and 1st Order amended the asset purchase agreement to amend certain definitions in the agreement and to modify the payment schedule for certain milestones. Through June 30, 2026, the Company has paid $2,000 based on progress against these milestones. Future potential payments to 1st Order include up to $6,000 in regulatory milestones. There are no royalty obligations to 1st Order.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is subject to claims and legal proceedings arising in the ordinary course of business, and such claims, individually or in the aggregate, are not likely to have a material adverse effect on the Company’s condensed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Guarantees and indemnifications: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third-party claims or damages arising from these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as a single reportable segment dedicated to drug discovery, clinical development, and commercialization of life-changing therapeutics for patients in need. The Company has no products approved for sale and has not generated any revenue from product sales. The Company’s Chief Executive Officer acts as the chief operating decision maker and manages the Company’s operations on a consolidated basis, using net loss to assess performance and allocate resources. The accounting policies for the operating segment are consistent with the Company's policies for the consolidated financial statements. The measure of segment assets is reported on the condensed consolidated balance sheet as total consolidated assets, with a majority of these assets located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information about reported segment revenues, significant segment expenses, and segment loss:</w:t>
      </w:r>
    </w:p>
    <w:p>
      <w:pPr>
        <w:pStyle w:val="TextBody"/>
        <w:bidi w:val="0"/>
        <w:jc w:val="both"/>
        <w:rPr/>
      </w:pPr>
      <w:r>
        <w:rPr/>
        <w:t> </w:t>
      </w:r>
    </w:p>
    <w:tbl>
      <w:tblPr>
        <w:tblW w:w="9567" w:type="dxa"/>
        <w:jc w:val="left"/>
        <w:tblInd w:w="0" w:type="dxa"/>
        <w:tblLayout w:type="fixed"/>
        <w:tblCellMar>
          <w:top w:w="28" w:type="dxa"/>
          <w:left w:w="28" w:type="dxa"/>
          <w:bottom w:w="28" w:type="dxa"/>
          <w:right w:w="28" w:type="dxa"/>
        </w:tblCellMar>
      </w:tblPr>
      <w:tblGrid>
        <w:gridCol w:w="3991"/>
        <w:gridCol w:w="146"/>
        <w:gridCol w:w="211"/>
        <w:gridCol w:w="841"/>
        <w:gridCol w:w="166"/>
        <w:gridCol w:w="146"/>
        <w:gridCol w:w="211"/>
        <w:gridCol w:w="736"/>
        <w:gridCol w:w="166"/>
        <w:gridCol w:w="146"/>
        <w:gridCol w:w="211"/>
        <w:gridCol w:w="841"/>
        <w:gridCol w:w="166"/>
        <w:gridCol w:w="146"/>
        <w:gridCol w:w="211"/>
        <w:gridCol w:w="841"/>
        <w:gridCol w:w="3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Azetukalner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Pain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discovery and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segment items include foreign exchange gain (loss) and income tax recovery.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_discussion_analysis"/>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This section should be read in conjunction with our unaudited interim condensed consolidated financial statements and related notes included in Part I, Item 1 of this report and our audited consolidated financial statements and related notes thereto and management’s discussion and analysis of financial condition and results of operations for the year ended December 31, 2025 included in our Annual Report on Form 10-K filed with the U.S. Securities and Exchange Commission on February 26, 2026 and with the securities commissions in British Columbia, Alberta and Ontario on February 26, 2026.</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sz w:val="20"/>
        </w:rPr>
      </w:pPr>
      <w:r>
        <w:rPr>
          <w:rFonts w:ascii="Times New Roman" w:hAnsi="Times New Roman"/>
          <w:i/>
          <w:color w:val="000000"/>
          <w:sz w:val="20"/>
        </w:rPr>
        <w:t>Certain statements contained in this Quarterly Report on Form 10-Q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identify additional products or product candidates either from our internal research efforts or through acquiring or in-licensing other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timing, cost, progress and success of our research and development programs, pre-clinical studies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sufficient numbers of patients for our current and future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 sufficient amounts or on terms acceptable to us, including funding necessary to complete further development, approval and, if approved,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independently develop and commercialize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the success of competing therapies that are or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pre-commercial, commercialization, marketing and manufacturing capabilities and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intellectual property protection for our product candidates and the duration of such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therapeutic benefits, effectiveness and safety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our and our collaborators’ ability to obtain and maintain, regulatory approvals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of the size and characteristics of the markets that may be addressed by our products and product candidates and our ability to serve those markets, either alone or in partnership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federal, state and foreign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current and future healthcare reforms, including those affecting the delivery of or payment for healthcare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market risk, including interest rate changes and foreign currency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engage and retain the employees required to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direct and indirect impact of pandemics, epidemics and other public health emergencies on our business and operations, including supply chain, manufacturing, research and development costs, clinical study conduct, clinical study data and employees.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except as required by law. In this report, “we,” “our,” “us,” “Xenon,” and “the Company” refer to Xenon Pharmaceuticals Inc. and its subsidiary. Unless otherwise noted, all dollar amounts in this report are expressed in United States dollars.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a neuroscience-focused biopharmaceutical company dedicated to drug discovery, clinical development, and commercialization of life-changing therapeutics for patients in need.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Azetukalner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Azetukalner is a novel, potent Kv7 potassium channel opener in late-stage development for multiple potential indications, including two in epilepsy – focal onset seizures (FOS) and primary generalized tonic-clonic seizures (PGTCS) – as well as neuropsychiatric disorders, including major depressive disorder (MDD) and bipolar depression (BPD).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Epilepsy Programs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remain on track to submit our New Drug Application (NDA) for azetukalner in FOS in the third quarter of 2026, having completed a pre-NDA meeting with the U.S. Food and Drug Administration (FDA).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Phase 3 X-TOLE3 study of azetukalner in FOS continues to enroll and is intended to support regulatory submissions outside of the United States. X-TOLE3 enrollment outside of Japan is expected to complete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3 X-ACKT study of azetukalner in PGTCS continues to enroll and is intended to support regulatory submissions for an additional epilepsy indication.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Neuropsychiatry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Enrollment is ongoing in the Phase 3 X-NOVA2 and X-NOVA3 studies evaluating azetukalner in patients with MDD, with topline data from X-NOVA2 expected in H1 2027.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Enrollment is ongoing in the Phase 3 X-CEED study evaluating azetukalner in patients with BPD I or II.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Programs for Pain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expand our portfolio of potent, selective ion channel modulators using our strong heritage in human genetics, deep understanding of ion channel biology, and expertise in novel chemistries. This includes clinical-stage candidates targeting Nav1.7 and Kv7, which are important novel targets for pain.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Nav1.7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1 Single Ascending Dose (SAD)/Multiple Ascending Dose (MAD) study in healthy adult participants is ongoing for XEN1701 targeting Nav1.7. Study completion is expected in H2 2026 to support initiating a Phase 2 proof-of-concept study in acute pain.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recently received approval of our Clinical Trial Application (CTA) to initiate a Phase 1 study of XEN1720 targeting Nav1.7. The Phase 1 SAD/MAD study in healthy adult participants is now underway.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Kv7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1 SAD/MAD study in healthy adult participants is ongoing for XEN1120 targeting Kv7. Study completion is expected in H2 2026 to support initiating a Phase 2 proof-of-concept study in acute pain.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Early-Stage R&amp;D and Partnered Programs for Epilepsy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azetukalner, we are committed to advancing additional novel treatment approaches to address significant unmet needs in epilepsy.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IND-enabling studies are ongoing for our oral small molecule Nav1.1 program. Pre-clinical data suggest that targeting Nav1.1 could potentially address the underlying cause and symptoms of Dravet syndrome.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collaboration with Neurocrine Biosciences, a Phase 1b study is ongoing for NBI-921355, an investigational, selective inhibitor of voltage-gated sodium channels Nav1.2 and Nav1.6 in development for the potential treatment of certain types of epilepsy. Data from the Phase 1b study are expected in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the sale of equity securities, funding received from our licensees and collaborators, and debt financing. For the six months ended June 30, 2026 and 2025, we recognized revenue of nil and $7.5 million, respectively, in connection with our agreement with Neurocrine Biosciences. To date, we have not had any products approved for sale and have not generated any revenue from product sales. We do not expect to generate revenue from product sales unless and until we successfully complete development and obtain regulatory approval for a product candidate, which we expect will take a number of years, if ever, and the outcome of which is subject to significant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require additional capital to develop our product candidates and fund operations for the foreseeable future. We have incurred net losses in each year since inception and expect to continue to incur net losses for the foreseeable future. We had a net loss of $213.0 million and $149.8 million for the six months ended June 30, 2026 and 2025, respectively. As of June 30, 2026, we had an accumulated deficit of $1,458.4 million. Substantially all of our net losses have resulted from costs incurred in connection with our research and development programs and from general and administrative costs associated with our operations. We anticipate that our operating expenses will increase substantially, particularly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prepare for the potential commercial launch of azetukalner;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significantly to further develop azetukalner for our current and future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into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any of our product candidates that successfully complete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our product candidates for clinical development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commercial, clinical, scientific, management and administrative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assets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and expand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additional infrastructure to support our operations and any future commercialization efforts.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revenue has been primarily derived from collaboration and licensing agreements and we have not generated any revenue from product sales. If our development efforts for our product candidates are successful and result in regulatory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generate revenue in the future from payments as a result of license or collaboration agreements for any of our product candidates or intellectual property, such as our license and collaboration agreement with Neurocrine Biosciences, or the Neurocrine Collaboration. We cannot provide assurance as to the timing of future milestone or royalty payments under the Neurocrine Collaboration, or that we will receive any of these payments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NBI-921355, a Nav1.2 and Nav1.6 sodium channel inhibitor in development for the potential treatment for certain types of epilepsy, progressed into a Phase 1 clinical study in healthy adult participants, triggering a $7.5 million milestone which was recognized as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represent costs incurred to conduct development of our proprietary product candidates and our drug discovery efforts, including any acquired or in-licensed product candidates or technology, and costs to support any partnered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costs incurred in performing research and development activities,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consisting of salaries, benefits and stock-based compensation for employees engaged in scientific research and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expenses incurred in connection with the pre-clinical and clinical development of our product candidates, including under agreements with clinical research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expenses relating to formulation, process development and manufacture of drug substance and drug product for use in our pre-clinical testing, clinical studies and potential commercial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acquisition, license and collaboration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consumables;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indirect costs incurred in support of overall research and development activities, including facilities, depreciation and information technology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Project-specific expenses reflect costs directly attributable to our clinical development candidates for which we have incurred significant expenses. All remaining research and development expenses are reflected in pre-clinical, discovery and other program expenses.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all research and development costs as incurred. Payments we make for research and development services prior to the services being rendered are recorded as prepaid assets in our consolidated balance sheets and are expensed as the services are provided. Costs for certain development activities are recognized based on an evaluation of the progress to completion of specific tasks using information and data provided to us by our vendors and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research and development expenses will increase substantially in the future as we continue to invest in research and development activities related to developing our product candidates, including investments in manufacturing, as our programs advance into later stages of development and we continue to conduct clinical studies, advance our internal drug discovery programs into pre-clinical development and continue our early-stage research. Product candidates in later stages of clinical development generally have higher development costs than those in earlier stages of clinical development, primarily due to the increased size, scope and duration of later-stage 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 timelines, likelihood of regulatory approval, and commercialization and associated costs are uncertain, difficult to estimate, and can vary significantly. The process of conducting the necessary clinical research to obtain regulatory approval is costly and time-consuming, and the successful development of our product candidates is highly uncertain. As a result, we cannot accurately estimate or know the nature, timing and costs that will be necessary to complete the pre-clinical and clinical development for any of our product candidates or when and to what extent we may generate revenue from the commercialization and sale of any of our product candidates or achieve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consisting of salaries, benefits and stock-based compensation for our employees engaged in executive, finance, legal, business development, commercial and administrative functions, insurance costs, professional fees for auditing, tax and legal services, costs related to maintenance and filing of intellectual property, costs incurred as we prepare for commercialization, and allocated facility-related and information technology costs not otherwise included in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general and administrative expenses will increase in the future as we expand our operating activities to support our continued research activities and development of our product candidates, and as we prepare for commercialization. We will also continue to incur increased accounting, audit, legal, regulatory, compliance and director and officer insurance costs as well as investor and public relations expenses associated with operating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Interest income consists of income earned on our cash and investment balances. We anticipate that our interest income will continue to fluctuate depending on our cash and investment balances and interest rates.</w:t>
      </w:r>
    </w:p>
    <w:p>
      <w:pPr>
        <w:pStyle w:val="TextBody"/>
        <w:bidi w:val="0"/>
        <w:spacing w:before="120" w:after="283"/>
        <w:jc w:val="left"/>
        <w:rPr>
          <w:rFonts w:ascii="Times New Roman" w:hAnsi="Times New Roman"/>
          <w:sz w:val="20"/>
        </w:rPr>
      </w:pPr>
      <w:r>
        <w:rPr>
          <w:rFonts w:ascii="Times New Roman" w:hAnsi="Times New Roman"/>
          <w:i/>
          <w:color w:val="000000"/>
          <w:sz w:val="20"/>
        </w:rPr>
        <w:t>Foreign exchange gain (loss).</w:t>
      </w:r>
      <w:r>
        <w:rPr>
          <w:rFonts w:ascii="Times New Roman" w:hAnsi="Times New Roman"/>
          <w:color w:val="000000"/>
          <w:sz w:val="20"/>
        </w:rPr>
        <w:t xml:space="preserve"> Foreign exchange gain (loss) consists of gains and losses from the impact of foreign exchange fluctuations on our monetary assets and liabilities that are denominated in currencies other than the U.S. dollar (principally the Canadian dollar). We will continue to incur substantial expenses in Canadian dollars and will remain subject to risks associated with foreign currency fluctuations.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condensed consolidated financial statements, which have been prepared in conformity with generally accepted accounting principles in the United States, or GAAP. The preparation of our condensed consolidated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significant estimates include those related to research and development costs and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and significant judgments and estimates during the six months ended June 30, 2026, as compared to those disclosed in “Management’s Discussion and Analysis of Financial Conditions and Results of Operations - Critical Accounting Policies and Significant Judgments and Estimates” included in our 2025 Annual Report on Form 10-K filed with the U.S. Securities and Exchange Commission, or SEC, and with the securities commissions in British Columbia, Alberta and Ontario, or the Canadian Securities Commissions, on February 26, 2026. We believe that the accounting policies discussed in the Annual Report are critical to understanding our historical and future performance, as these policies relate to the more significant areas involving management’s judgments and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3"/>
        <w:gridCol w:w="146"/>
        <w:gridCol w:w="211"/>
        <w:gridCol w:w="841"/>
        <w:gridCol w:w="166"/>
        <w:gridCol w:w="146"/>
        <w:gridCol w:w="211"/>
        <w:gridCol w:w="736"/>
        <w:gridCol w:w="166"/>
        <w:gridCol w:w="146"/>
        <w:gridCol w:w="246"/>
        <w:gridCol w:w="859"/>
        <w:gridCol w:w="166"/>
        <w:gridCol w:w="146"/>
        <w:gridCol w:w="211"/>
        <w:gridCol w:w="841"/>
        <w:gridCol w:w="166"/>
        <w:gridCol w:w="146"/>
        <w:gridCol w:w="211"/>
        <w:gridCol w:w="841"/>
        <w:gridCol w:w="166"/>
        <w:gridCol w:w="146"/>
        <w:gridCol w:w="246"/>
        <w:gridCol w:w="859"/>
        <w:gridCol w:w="393"/>
      </w:tblGrid>
      <w:tr>
        <w:trPr/>
        <w:tc>
          <w:tcPr>
            <w:tcW w:w="1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2026 vs.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2026 vs. 2025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(66,242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recognize any revenue during the six months ended June 30, 2026. Collaboration revenue of $7.5 million recognized during the six months ended June 30, 2025 was related to a milestone payment in connection with the Neurocrine Collaboration.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research and development expenses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3"/>
        <w:gridCol w:w="146"/>
        <w:gridCol w:w="215"/>
        <w:gridCol w:w="689"/>
        <w:gridCol w:w="148"/>
        <w:gridCol w:w="148"/>
        <w:gridCol w:w="215"/>
        <w:gridCol w:w="689"/>
        <w:gridCol w:w="146"/>
        <w:gridCol w:w="146"/>
        <w:gridCol w:w="240"/>
        <w:gridCol w:w="772"/>
        <w:gridCol w:w="166"/>
        <w:gridCol w:w="146"/>
        <w:gridCol w:w="211"/>
        <w:gridCol w:w="781"/>
        <w:gridCol w:w="146"/>
        <w:gridCol w:w="146"/>
        <w:gridCol w:w="211"/>
        <w:gridCol w:w="781"/>
        <w:gridCol w:w="146"/>
        <w:gridCol w:w="146"/>
        <w:gridCol w:w="240"/>
        <w:gridCol w:w="772"/>
        <w:gridCol w:w="396"/>
      </w:tblGrid>
      <w:tr>
        <w:trPr/>
        <w:tc>
          <w:tcPr>
            <w:tcW w:w="2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2026 vs.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2026 vs. 2025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Azetukalner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Pain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discovery and 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unallocated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99,224</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51,547</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 external costs related to azetukalner increased by $12.4 million and $27.9 million for the three months and six months ended June 30, 2026, respectively, primarily due to our ongoing Phase 3 clinical studies in the MDD and BPD programs, as well as manufacturing activities to support our planned NDA submission. Pain programs costs increased by $4.7 million and $8.0 million for the three months and six months ended June 30, 2026, respectively, primarily due to our ongoing Phase 1 clinical studies of XEN1701 and XEN1120, as well as manufacturing activities to support the clinical studies. Personnel-related costs increased by $5.7 million and $14.3 million for the three months and six months ended June 30, 2026, respectively, due to higher headcount supporting our late-stage product candidate development and an increase in stock-based compensation.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general and administrative expenses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1"/>
        <w:gridCol w:w="146"/>
        <w:gridCol w:w="218"/>
        <w:gridCol w:w="699"/>
        <w:gridCol w:w="151"/>
        <w:gridCol w:w="151"/>
        <w:gridCol w:w="218"/>
        <w:gridCol w:w="699"/>
        <w:gridCol w:w="146"/>
        <w:gridCol w:w="146"/>
        <w:gridCol w:w="300"/>
        <w:gridCol w:w="763"/>
        <w:gridCol w:w="146"/>
        <w:gridCol w:w="146"/>
        <w:gridCol w:w="211"/>
        <w:gridCol w:w="676"/>
        <w:gridCol w:w="146"/>
        <w:gridCol w:w="146"/>
        <w:gridCol w:w="211"/>
        <w:gridCol w:w="676"/>
        <w:gridCol w:w="146"/>
        <w:gridCol w:w="146"/>
        <w:gridCol w:w="300"/>
        <w:gridCol w:w="763"/>
        <w:gridCol w:w="194"/>
      </w:tblGrid>
      <w:tr>
        <w:trPr/>
        <w:tc>
          <w:tcPr>
            <w:tcW w:w="2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2026 vs.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2026 vs. 2025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Personnel-related costs increased by $2.7 million and $5.2 million for the three months and six months ended June 30, 2026, respectively, primarily due to higher headcount to support our expanding research and development activities and future potential commercialization as well as an increase in stock-based compensation expense. Professional and consulting fees increased by $1.6 million and $3.4 million for the three months and six months ended June 30, 2026, respectively, due to an increase in pre-commercial expenses and higher expenses related to maintenance and filing of intellectual property. </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other income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5"/>
        <w:gridCol w:w="146"/>
        <w:gridCol w:w="232"/>
        <w:gridCol w:w="746"/>
        <w:gridCol w:w="182"/>
        <w:gridCol w:w="161"/>
        <w:gridCol w:w="232"/>
        <w:gridCol w:w="630"/>
        <w:gridCol w:w="146"/>
        <w:gridCol w:w="146"/>
        <w:gridCol w:w="333"/>
        <w:gridCol w:w="998"/>
        <w:gridCol w:w="166"/>
        <w:gridCol w:w="146"/>
        <w:gridCol w:w="211"/>
        <w:gridCol w:w="676"/>
        <w:gridCol w:w="146"/>
        <w:gridCol w:w="146"/>
        <w:gridCol w:w="211"/>
        <w:gridCol w:w="676"/>
        <w:gridCol w:w="146"/>
        <w:gridCol w:w="146"/>
        <w:gridCol w:w="333"/>
        <w:gridCol w:w="998"/>
        <w:gridCol w:w="217"/>
      </w:tblGrid>
      <w:tr>
        <w:trPr/>
        <w:tc>
          <w:tcPr>
            <w:tcW w:w="2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2026 vs.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2026 vs. 2025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11,834</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increased by $4.9 million and $3.8 million for the three and six months ended June 30, 2026, respectively, due to a higher average balance of cash and cash equivalents and marketable securities, partially offset by lower average market yields on investments. The foreign exchange gain decreased by $2.0 million and $1.5 million for the three and six months ended June 30, 2026, respectively, due to fluctuations in the value of the Canadian dollar, partially offset by a lower balance of cash and cash equivalents and marketable securities denominated in Canadian dollars.</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the sale of equity securities, funding received from collaboration and license agreements, and debt financing. Since our initial public offering through June 30, 2026, we have raised aggregate net cash proceeds of approximately $2.3 billion primarily from the issuance of equity securities. As of June 30, 2026, we had cash and cash equivalents and marketable securities of $1,245.1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for any obligations of our collaborators to make milestone payments under our agreements with them, we do not have any committed external sources of capital. Until such time as we can generate substantial product revenue, if ever, we expect to finance our cash needs through a combination of collaboration agreements and equity or debt financings.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an “at-the-market” equity offering sales agreement, amended as of March 2022, with Jefferies LLC and Stifel, Nicolaus &amp; Company, Incorporated, pursuant to which we may sell common shares from time to time (the “ATM Program”). During the period from January 1, 2026 to February 26, 2026, we sold an aggregate of 3,134,119 common shares under the ATM Program for proceeds of $130.0 million, net of commissions and transaction expenses. On February 27, 2026, we refreshed the ATM Program by filing a new prospectus supplement, pursuant to which we may sell common shares having gross proceeds of up to $400.0 million, from time to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10, 2026, we entered into an underwriting agreement with J.P. Morgan Securities LLC, Jefferies LLC, TD Securities (USA) LLC, Stifel, Nicolaus &amp; Company, Incorporated, RBC Capital Markets, LLC, and William Blair &amp; Company, L.L.C., relating to an underwritten public offering of 12,236,843 common shares, including 1,710,526 shares sold upon the full exercise of the underwriters' over-allotment option, at a public offering price of $57.00 per common share and pre-funded warrants to purchase 877,194 common shares at $56.9999 per pre-funded warrant, with each pre-funded warrant having an exercise price of $0.0001. The public offering was completed in March 2026, and we received proceeds of $707.6 million, net of underwriting discounts, commissions, and offering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inception. As of June 30, 2026, we had an accumulated deficit of $1,458.4 million. We expect to incur operating losses that may fluctuate significantly from quarter to quarter and year to year over the next several years. In addition, we expect to continue to incur significant expenses in excess of our revenue for the foreseeable future as we prepare for the potential commercial launch of azetukalner; invest significantly to further develop azetukalner for our current and future indications; advance additional product candidates into pre-clinical and clinical development; seek regulatory and marketing approvals for any of our product candidates that successfully complete clinical studies; manufacture larger quantities of our product candidates of clinical development and potential commercialization; hire additional commercial, clinical, scientific, management and administrative personnel; acquire or in-license other product candidates and technologies; make milestone or other payments under our in-license or other agreements, including, without limitation, payments to 1st Order Pharmaceuticals, Inc and other third parties; maintain, protect and expand our intellectual property portfolio; establish a sales, marketing, distribution and other commercial infrastructure to commercialize any products for which we may obtain marketing approval; create additional infrastructure and incur additional costs to support our operations and our product development and planned future commercialization efforts; and experience any delays or encounter issues with any of the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our current product candidates, as well as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the costs involved in, obtaining marketing approvals for our product candidates and any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future product candidates that we may pursue and their development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approved, the costs of commercialization activities for any product candidate that receives regulatory approval to the extent such costs are not the responsibility of an existing or future collaborator,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receipt of regulatory approval, revenue, if any, received from commercial sales of our product candidates and any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our existing collaborations generate substantial milestone payments and, ultimately, royalties on future approved products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collaborations and to establish new collaborations, licensing or other arrangements and the financial terms of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and initiate pre-commercial and commercial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patents, including litigation costs and the outcome of such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costs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However, our estimates and assumptions may prove to be wrong, and we cannot guarantee that our existing capital resources will be sufficient to conduct and complete all of our anticipated research and development efforts and future commercialization efforts. Additionally, the process of testing drug candidates in clinical studies is costly, and the timing of progress in these studies remains uncertain. Further, inflation may affect our use of capital resources by increasing our cost of labor and research and development expenses. Our long-term funding requirements will consist of operational, capital, and manufacturing expenditures, including those contractual commitments described below. Because of the inherent risks and uncertainties associated with the development and commercialization of our product candidates, we are unable to estimate the amounts of capital outflows and operating expenditures associated with our long-term anticipated pre-clinical studies and clinical studies.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 for the six months ended June 30, 2026 and 2025 (in thousands):</w:t>
      </w:r>
    </w:p>
    <w:p>
      <w:pPr>
        <w:pStyle w:val="TextBody"/>
        <w:bidi w:val="0"/>
        <w:jc w:val="left"/>
        <w:rPr/>
      </w:pPr>
      <w:r>
        <w:rPr/>
        <w:t> </w:t>
      </w:r>
    </w:p>
    <w:tbl>
      <w:tblPr>
        <w:tblW w:w="6974" w:type="dxa"/>
        <w:jc w:val="left"/>
        <w:tblInd w:w="0" w:type="dxa"/>
        <w:tblLayout w:type="fixed"/>
        <w:tblCellMar>
          <w:top w:w="28" w:type="dxa"/>
          <w:left w:w="28" w:type="dxa"/>
          <w:bottom w:w="28" w:type="dxa"/>
          <w:right w:w="28" w:type="dxa"/>
        </w:tblCellMar>
      </w:tblPr>
      <w:tblGrid>
        <w:gridCol w:w="4201"/>
        <w:gridCol w:w="146"/>
        <w:gridCol w:w="211"/>
        <w:gridCol w:w="841"/>
        <w:gridCol w:w="166"/>
        <w:gridCol w:w="146"/>
        <w:gridCol w:w="211"/>
        <w:gridCol w:w="84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2026, net cash used in operating activities totaled $184.3 million, compared to $125.9 million for the same period in 2025. The increase in cash used in operating activities was primarily driven by higher research and development and general and administrative expenses, no revenue recognized in the six months ended June 30, 2026, lower cash received from interest income, and changes in operating assets and liabilities.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cash used in investing activities totaled $738.5 million, compared to net cash provided of $116.8 million for the same period in 2025. The change was driven primarily by an increase in the purchase of marketable securities, net of redemptions.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cash provided by financing activities was $843.0 million, compared to $1.2 million for the same period in 2025. The increase was primarily related to $837.5 million net proceeds from offerings, as well as an increase in proceeds from stock option exercises.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significant contractual obligations as of December 31, 2025 were reported in our Annual Report on Form 10-K, filed with the SEC and the Canadian Securities Commissions on February 26,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there have been no material changes from the contractual commitments previously disclosed in the Annual Report on Form 10-K. </w:t>
      </w:r>
    </w:p>
    <w:p>
      <w:pPr>
        <w:pStyle w:val="TextBody"/>
        <w:bidi w:val="0"/>
        <w:spacing w:before="36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w:t>
      </w:r>
      <w:r>
        <w:rPr>
          <w:rFonts w:ascii="Times New Roman" w:hAnsi="Times New Roman"/>
          <w:color w:val="000000"/>
          <w:sz w:val="20"/>
        </w:rPr>
        <w:t xml:space="preserve"> </w:t>
      </w:r>
      <w:r>
        <w:rPr>
          <w:rFonts w:ascii="Times New Roman" w:hAnsi="Times New Roman"/>
          <w:b/>
          <w:color w:val="000000"/>
          <w:sz w:val="20"/>
        </w:rPr>
        <w:t>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various market risks, including changes in currency exchange rates and interest rates. Market risk is the potential loss arising from adverse changes in market rates and prices.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U.S. dollar denominated cash and cash equivalents and marketable securities of $1,204.0 million and Canadian dollar denominated cash and cash equivalents and marketable securities of CAD$58.3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foreign currency exchange rate risk in part, as a result of entering into transactions denominated in currencies other than U.S. dollars, particularly those denominated in Canadian dollars. We also hold Canadian dollar denominated cash and cash equivalents, other receivables, and accounts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foreign currency exchange rates can create significant foreign exchange gains or losses to us. We do not currently hedge our exposure and thus assume the risk of future gains or losses on the amounts of Canadian dollars held. We do not believe that an immediate 10% increase or decrease in the relative value of the U.S. dollar to the Canadian dollar would have a material effect on our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and cash equivalents and marketable securities of $1,245.1 million. Interest rate risk relates to potential changes in interest income and the fair value of our investment portfolio. Cash and cash equivalents are short-term in nature and would not have a material impact from changes in interest rates. Marketable securities are primarily fixed-income securities and are subject to fair value changes as interest rates fluctuate. A 100 basis point, or 1%, unfavorable change in interest rates would have resulted in approximately a $7.8 million decrease in the fair value of our marketable securities as of June 30, 2026. We do not enter into investments for speculative purposes and have not used any derivative financial instruments to manage interest rate exposure.</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Evaluation of disclosure controls and procedures. Our management, with the participation of our Chief Executive Officer and our Chief Financial Officer, have evaluated our disclosure controls and procedures (as defined in Rules 13a-15(e) and 15d-15(e) under the Securities Exchange Act of 1934, as amended)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in design and operation, at the reasonable assurance level.</w:t>
      </w:r>
    </w:p>
    <w:p>
      <w:pPr>
        <w:pStyle w:val="TextBody"/>
        <w:bidi w:val="0"/>
        <w:spacing w:before="120" w:after="283"/>
        <w:jc w:val="left"/>
        <w:rPr>
          <w:rFonts w:ascii="Times New Roman" w:hAnsi="Times New Roman"/>
          <w:sz w:val="20"/>
        </w:rPr>
      </w:pPr>
      <w:r>
        <w:rPr>
          <w:rFonts w:ascii="Times New Roman" w:hAnsi="Times New Roman"/>
          <w:color w:val="000000"/>
          <w:sz w:val="20"/>
        </w:rPr>
        <w:t>(b) Changes in internal control over financial reporting</w:t>
      </w:r>
      <w:r>
        <w:rPr>
          <w:rFonts w:ascii="Times New Roman" w:hAnsi="Times New Roman"/>
          <w:i/>
          <w:color w:val="000000"/>
          <w:sz w:val="20"/>
        </w:rPr>
        <w:t>.</w:t>
      </w:r>
      <w:r>
        <w:rPr>
          <w:rFonts w:ascii="Times New Roman" w:hAnsi="Times New Roman"/>
          <w:color w:val="000000"/>
          <w:sz w:val="20"/>
        </w:rPr>
        <w:t xml:space="preserve"> There were no changes in our internal control over financial reporting during the period ended June 30, 2026 that have materially affected, or are reasonably likely to materially affect, our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Inherent limitation on the effectiveness of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spacing w:before="36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bookmarkStart w:id="14" w:name="about_this_prospectus_supplement"/>
      <w:bookmarkEnd w:id="14"/>
      <w:r>
        <w:rPr>
          <w:rFonts w:ascii="Times New Roman" w:hAnsi="Times New Roman"/>
          <w:color w:val="000000"/>
          <w:sz w:val="20"/>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10-Q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Condition and Capital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anticipate that we will continue to incur significant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capital expenditures and significant risk that a product candidate may fail to demonstrate adequate efficacy or an acceptable safety profile, gain regulatory approval and become commercially viable. We have no products approved for commercial sale and have not generated any revenue from product sales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pre-clinical studies, manufacturing of investigational drug and our clinical studies. Our financial condition and operating results, including net losses, may fluctuate significantly from quarter to quarter and year to year. Accordingly, you should not rely upon the results of any quarterly or annual periods as indications of future operating performance. We do not expect to have sustained profitability for the foreseeable future. We had net losses of $213.0 million and $149.8 million for the six months ended June 30, 2026 and 2025, respectively, and an accumulated deficit of $1,458.4 million as of June 30, 2026, which were driven by expenses incurred in connection with our research and development programs and from general and administrative costs associated with our operations. We expect to continue to incur significant losses for the foreseeable future, and we expect these losses to increase as we continue our research and development of, and seek regulatory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significant expenses and increasing operating losses for the foreseeable future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authorization for and prepare for the potential commercial launch of azetukalner;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to further develop azetukalner for our current and future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into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and marketing approvals for any of our product candidates that successfully complete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our product candidates for clinical development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commercial, clinical, scientific, management and administrative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assets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protect and expand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additional infrastructure to support our operations and any future commercialization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expenses could increase beyond expectations for a variety of reasons, including if we are required by the U.S. Food and Drug Administration, or FDA, the European Medicines Agency, or EMA, or other regulatory authorities to perform clinical and other studies including post-approval commitments in addition to those that we currently anticipate, or if there are any delays in establishing appropriate manufacturing arrangements to support our clinical studies, the development of any of our product candidates or commercialization. Our prior losses, combined with expected future losses, have had and will continue to have an adverse effect on our shareholders’ equity and working capital.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generate any revenue from product sales and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on our ability, alone or with collaborators, to successfully complete the development of, and obtain the regulatory approvals necessary to commercialize, our product candidates. Successful commercialization will require achievement of many key milestones, including demonstrating safety and efficacy in clinical studies, obtaining regulatory, including marketing, approval for these product candidates, manufacturing, marketing and selling those products for which we, or any of our existing or future collaborators, may obtain regulatory approval, satisfying any post-marketing requirements and obtaining reimbursement for our products from private insurance or government payers. Because of the uncertainties and risks associated with these activities, we are unable to accurately and precisely predict the timing and amount of revenues, the extent of any further losses or if or when we might achieve profitability. We and our existing or future collaborators may never succeed in these activities and, even if we do, we may never generate revenues that are large enough for us to achieve profitability. Even if we do achieve profitability, we may not be able to sustain or increase profitability on a quarterly or annual basis. Additionally, our expenses could increase if we are required by the FDA, EMA or other regulatory authorities to perform clinical studies in addition to those currently expected, or if there are any delays in completing our clinical studies or the development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fail in clinical studies or do not gain regulatory approval, or if any of our future products, if any, once approved, fail to achieve market acceptance or adequate market share, we may never become profitable. If we are unable to generate sufficient revenue to become profitable and remain so, our financial condition and operating results will be negatively impacted, and the market price of our common shares might be adversely impacted.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to raise additional funding, which may not be available on acceptable terms, if at all. Failure to obtain capital when needed may force us to delay, limit or terminate our product discovery and development programs or commercialization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dedicated most of our resources to the discovery and development of our pre-clinical and clinical product candidates. We expect to continue to spend substantial amounts of resources to continue the pre-clinical and clinical development of our current and future programs. If we are able to gain marketing approval for product candidates that we develop, we will require significant additional amounts of capital in order to launch and commercialize such product candidates to the extent that such launch and commercialization are not the responsibility of a collaborator. In addition, other unanticipated costs may arise in the course of our development efforts. Because the design and outcome of our planned and anticipated clinical studies is highly uncertain, we cannot reasonably estimate the actual amounts necessary to successfully complete the development and commercialization of any product candidate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current product candidates, as well as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and any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future product candidates that we may pursue and their development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approved, the costs of commercialization activities for any product candidate that receives regulatory approval to the extent such costs are not the responsibility of an existing or future collaborator, including the costs and timing of establishing product sales, marketing, distribution and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receipt of regulatory approval, revenue, if any, received from commercial sales of our product candidates and any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existing collaborations generate substantial milestone payments and, ultimately, royalties on future approved products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collaborations and to establish new collaborations, licensing or other arrangements and the financial terms of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any transactions to acquire or in-license other product candidates and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research and development efforts and initiate pre-commercial and commercial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defending and enforcing patents, including litigation costs and the outcome of such litigation;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ongoing costs of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plan may change as a result of many factors currently unknown to us, and we may need to seek additional funds sooner than planned. Raising funds in the future may present additional challenges and future financing may not be available in sufficient amounts or on terms acceptable to us, if at all. If we are unable to raise additional capital in sufficient amounts or on terms acceptable to us, we may have to significantly delay, reduce or terminate our product development programs or plans for commercialization.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allocate our limited resources to pursue a particular product candidate or indication and fail to capitalize on other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management resources, we focus on a limited number of research programs and product candidates. As a result, we may forgo or delay pursuit of opportunities with other product candidates or for our current product candidates in other indications that later prove to have greater commercial potential. Our resource allocation decisions may cause us to fail to capitalize on viable commercial drugs or profitable market opportunities. Our spend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may cause dilution to our existing shareholders,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planned operations. Unless and until we can generate a substantial amount of revenue from any approved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also would dilute all of our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we have also financed our operations through the incurrence of debt. Any future incurrence of indebtedness would result in increased fixed payment obligations and, potentially, the imposition of restrictive covenants. Such covenants could include limitations on our ability to incur additional debt, limitations on our ability to acquire, sell or license intellectual property rights and other operating restrictions that could adversely impact our ability to conduct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be required to seek funds through collaborations or marketing, distribution or licensing arrangements, or royalty-based financings with third parties, and we may have to relinquish valuable rights to our technologies, future revenue streams or product candidates, or grant licenses on terms that may not be favorable to us. If we are unable to raise additional capital when needed, we may be required to delay, reduce or terminate our product discovery and development programs, commercialization efforts, or grant rights to develop and market product candidates that we would otherwise prefer to develop and market ourselves. In addition, any additional fundraising efforts may divert our management from their day-to-day activities, which may adversely affect our ability to develop and commercialize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subject to risks associated with currency fluctuations which could impact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cash and cash equivalents and marketable securities are denominated in Canadian dollars, and we incur significant expenses in Canadian dollars in connection with our operations in Canada. We do not currently engage in foreign currency hedging arrangements for our Canadian dollar expenditures, and, consequently, foreign currency fluctuations, including as a result of trade relations between Canada and the United States, may adversely affect our earnings; however, in the future, we may engage in exchange rate hedging activities in an effort to mitigate the impact of exchange rate fluctuations. Any hedging technique we implement may fail to be effective. If our hedging activities are not effective, changes in currency exchange rates may have a more significant impact on the market price of our common shares.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and our collaborators face substantial competition in the markets for our product candidates, which may result in others discovering, developing or commercializing products before us or doing so more successfully than we, or our collaborators,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characterized by rapidly advancing technologies, intense competition and a strong emphasis on proprietary products. We face potential competition in drug discovery and product development from many different approaches and sources, including major pharmaceutical, specialty pharmaceutical and biotechnology companies, academic institutions, governmental agencies, as well as public and private research institutions. Any product candidates that we, or our collaborators, successfully develop and commercialize will compete with existing products and any new products that may become available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key competitive factors affecting the success of all of our product candidates, if approved, are likely to be their efficacy, safety and/or tolerability, convenience and ease of administration, price, the potential advantages of alternative products, the level of generic competition, and the availability of coverage and adequate reimbursement from government and other third-party payers.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studies,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collaboration arrangements with large and established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foreign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third-party payers or public health systems to secure favorable coverage and reimbursement as well as the commercial success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one or more of our proprietary or partnered products were approved for the treatment of epilepsy, we anticipate that they could potentially compete with other anti-seizure medications, or ASMs, or one another. If one or more of our proprietary products were approved for the treatment of major depressive disorder, or MDD, we anticipate that they could potentially compete with other anti-depressant medications, or ADs. In addition, we plan to develop one or more proprietary products for the treatment of bipolar disorder, or BPD, and if any such products were approved for treatment of BPD, we anticipate that they could potentially compete with other anticonvulsant and antipsychotic medications.</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no marketed proprietary products and are advancing clinical development through Phase 3 clinical studies for our azetukalner program in epilepsy, major depressive disorder, and bipolar depression. These studies may not result in regulatory approval or successful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company, we have no previous experience in completing a Phase 3 clinical study and related regulatory requirements including a New Drug Application, or NDA, or equivalent submission, or the commercialization of products. We have not yet demonstrated our ability to independently and repeatedly conduct clinical development after Phase 2, obtain regulatory approval, manufacture drug substance or drug product on a registrational and commercial scale or arrange for a third-party to do so on our behalf, and commercialize therapeutic products. We will need to develop such abilities if we are to execute on our business strategy to develop and independently commercialize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are advancing our Phase 3 clinical studies in azetukalner, significant risks remain. There can be no assurance that these or any future clinical studies will be successful, that we will be able to obtain regulatory approval, or that we will be able to manufacture or independently commercialize any product candidates. We may encounter delays or difficulties in advancing our product candidates through late-stage development, obtaining regulatory approval, or achieving commercial success, which could adversely affect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execute on our business plan for the development of independent programs, we will need to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 agreement with multiple regulatory agencies on clinical and pre-clinical studies required for registration;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execute our clinical development and manufacturing plans for later-stage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required regulatory approvals in each jurisdiction in which we will seek to commercialize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and maintain appropriate pre-commercialization capabilities as well as commercial sales, distribution and marketing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and implement effective market access strategy and gain market acceptance for our future products,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 our spending as costs and expenses increase due to clinical studies, regulatory approvals and commercialization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unsuccessful in accomplishing these objectives, we will not be able to develop and commercialize any future product candidates independently and could fail to realize the potential advantages of doing so.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not successful in discovering, developing and commercializing additional product candidates, our ability to expand our business and achieve our strategic objectives may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built a product development pipeline by identifying product candidates either from our internal research efforts or through acquiring or in-licensing other product candidates or technologies. Both our internal discovery efforts and our assessment of potential acquisition or in-licensing opportunities require substantial technical, financial and human resources, regardless of whether we identify any viable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identify additional product candidates suitable for clinical development and commercialization either from our internal research efforts or through acquiring or in-licensing other product candidates or technologies, we may not be able to obtain product revenue in future periods, which likely would result in significant harm to our financial position and adversely impact the market price of our common shares.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attract and retain our executive officers and key personnel, we may be unable to successfully develop our product candidates, perform our obligations under our collaboration agreements, conduct our clinical studies and commercialize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clinical and scientific personnel. 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upon our executive officers, including Mr. Ian Mortimer, our President and Chief Executive Officer. The loss of services of one or more of our executive officers could materially delay or even prevent the successful development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collaborators and other personnel may engage in misconduct or other improper activities, including non-compliance with legal and regulatory standards and requirements, which could cause significant liability for us and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collaborators, vendors, investigational site staff, consultants, commercial partners and other personnel. Misconduct by those parties could include intentional, reckless and/or negligent conduct or disclosure of unauthorized activities to us that violates: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of the FDA, EMA and other foreign regulators, including those laws requiring the reporting of true, complete and accurate information to such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insider trading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privacy, data protection and security;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healthcare fraud and abuse laws and regulations in the U.S. and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that require the reporting of financial information or data accurately.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sales, marketing and business arrangements in the healthcare industry are subject to extensive laws and regulations intended to prevent fraud, misconduct, kickbacks, self-dealing and other abusive practices. Additionally, we are subject to applicable foreign, federal and state data privacy and security laws. For additional information, see “Risk Factors — 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 and regulations may restrict or prohibit a wide range of pricing, discounting, marketing and promotion, sales commission, customer incentive programs and other business arrangements. Any misconduct could also involve the improper use or misrepresentation of information obtained in the course of clinical studies or creating fraudulent data in our pre-clinical studies or clinical studies, which could result in regulatory sanctions and cause serious harm to our reputation. We have adopted a code of conduct applicable to all of our employees, officers, directors, agents and representatives, including consultants, but it is not always possible to identify and deter misconduct, and the precautions we take to detect and prevent misconduct may not be effective in controlling unknown or unmanaged risks or losses or in protecting us from governmental investigations or other actions or claims, demands, or lawsuits stemming from an actual or alleged failure to comply with these laws and regulations. Additionally, we are subject to the risk that a person or government could allege such fraud or other misconduct, even if none occurred. If any such actions are instituted against us, and we are not successful in defending ourselves, achieving a favorable settlement or otherwise asserting our rights, those actions could have a significant impact on our business,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Additionally, defending against any such actions can be costly, time-consuming and may require significant financial and personnel resources. Therefore, even if we are successful in defending against any such actions that may be brought against us, our business may be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difficulties in managing our growth, including headcount, and expanding our operations successfully.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strategy involves continued development and, where development is successful, commercialization of select product candidates. In order to execute on this strategy, we will need to build out a regulatory, sales, manufacturing, supply chain and marketing infrastructure and expand our development capabilities or contract with third parties to provide these capabilities and infrastructure for us. To achieve this, we will need to identify, hire and integrate personnel, compensate our employees on adequate terms in an increasingly competitive, inflationary market and continue to implement and improve our managerial, operational and financial systems. As our operations expand, we expect that we will need to manage additional relationships with various strategic collaborators, suppliers and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growth will impose significant added responsibilities on members of management including the need to identify, recruit, maintain, motivate and integrate additional employees.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business, give rise to operational errors, loss of business opportunities, loss of employees and reduced productivity amongst remaining employees. Our expected growth could require significant capital expenditures and may divert financial resources from other projects, such as the development of existing and additional product candidates. 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process personal data and other sensitive information, including our proprietary and confidential business data, trade secrets, intellectual property, data about study participants collected in connection with clinical studies, and other sensitive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federal, state, and local governments have enacted numerous data privacy and security laws, including data breach notification laws, personal data privacy laws, and consumer protection laws. For example, the U.S. federal Health Insurance Portability and Accountability Act of 1996, or HIPAA, as amended by the Health Information Technology for Economic and Clinical Health Act of 2009, or HITECH, imposes specific requirements relating to the privacy, security, and transmission of individually identifiable health information that apply to most U.S. healthcare providers with which we interact, such as our U.S. clinical study sites. At the state level, many jurisdictions in which we are operating also have laws and regulations relating to data privacy, cybersecurity and protection of personal information, including the California Consumer Privacy Act, or CCPA. CCPA and similar state comprehensive consumer privacy laws create consumer rights protection and impose obligations on businesses on which they apply, including requirements to conduct data processing risk assessments, to enter data processing agreements with vendors and other third-parties with whom a business shares personal information, and to make detailed disclosures to residents of those states about the business' data collection, use and sharing practices. Many of these state laws also allow for statutory fines for noncompliance. In addition, several states have enacted health-focused consumer privacy laws, such as Washington state's My Health, My Data Act, which impose obligations related to the collection and sharing of certain health-related information that is not subject to HIPAA and that does not fall within certain other exceptions in the law. Although these state consumer data and consumer health data privacy laws generally exempt some data processed in the context of clinical studies, to the extent they are applicable in our business and operations, these laws may increase compliance costs and potential liability with respect to other personal information we maintain about residents of these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data privacy and security laws have been proposed and enacted at the federal, state, and local levels in recent years, which could further complicate compliance efforts. For example, in June 2024, the Protecting Americans’ Data from Foreign Adversaries Act of 2024 took effect. This law prohibits data brokers from making available certain personally identifiable sensitive data of U.S. individuals to “foreign adversary” countries, such as the People’s Republic of China, or the PRC, and entities controlled by such countries. Additionally, in January 2025, the U.S. Department of Justice published a final rule implementing President Biden’s Executive Order 14117, “Preventing Access to Americans’ Bulk Sensitive Personal Data and United States Government-Related Data by Countries of Concern,” which became effective in April 2025. This final rule prohibits certain data brokerage transactions involving certain bulk sensitive personal information, including human genomic data and biospecimens from which such data can be derived, with restricted persons and jurisdictions, such as the PRC. The final rule also places restrictions on certain vendor, employment and investment agreements with such jurisdictions. These restrictions may affect our ability to engage in collaborations or license agreements with entities in restricted countries or with a nexus to such countries going forward.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U.S., the European Union’s General Data Protection Regulation, or EU GDPR, and the United Kingdom’s GDPR, or UK GDPR, impose strict requirements for processing the personal data of individuals.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Certain foreign jurisdictions have enacted data localization laws and cross-border personal data transfer laws, which could make it more difficult to transfer information across jurisdictions, such as transferring or receiving personal data that originates in the European Union, or EU. Additional jurisdictions have enacted and continue to enact and modify their data privacy laws, which increases the complexity of the data privacy landscape.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endeavor to comply with all applicable data privacy and security obligations, these obligations are quickly changing in an increasingly stringent fashion, creating some uncertainty as to how to comply, and potentially requiring us to modify our policies and practices, which may be costly and may divert the attention of management and technical personnel. Further, we may at times fail, or be perceived to have failed, to have complied and could face significant consequences. These consequences may include, but are not limited to, government enforcement actions, investigations and other proceedings;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interruptions or stoppages in our business operations, including our clinical studies; inability to process personal data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and operations could suffer in the event of an actual or perceived information security incident such as a cybersecurity breach, system failure, or other compromise of our systems and/or information, including information held by a third-party contractor or vendor.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both internal information technology systems and networks, and those of third-party vendors and contractors, to acquire, transmit, store and otherwise process information in connection with our business activities. Our ability to effectively manage our business depends on the security, reliability and adequacy of our and our third-party contractors’ and vendors’ technology systems. Any incident, whether hostile or inadvertent, that adversely impacts the confidentiality, integrity or availability of our systems and/or data, including phishing, business email compromise, social engineering, ransomware or other malware, or any security breach, security incident or other destruction, loss, or unauthorized use or other processing of data maintained or otherwise processed by us or on our behalf could result in a loss of intellectual property or misappropriation of trade secrets, disruptions to our business and operations, subject us to increased costs and require us to expend time and resources to address the matter, may subject us to claims, demands, and proceedings by private parties, regulatory investigations and other proceedings, and fines, penalties, and other liability and have a material adverse effect on our business. In addition, the loss, alteration or other damage to or other unavailability of pre-clinical data or clinical study data from completed or ongoing clinical studies for our product candidates could result in delays in our development and regulatory approval efforts and significantly increase our costs to recover or reproduce the data. Any cyberattack, security breach or incident, or other destruction, loss or unauthorized processing of data maintained or otherwise processed by us or on our behalf, or the perception any such matter has occurred, could result in actual or alleged violations of applicable U.S. and international privacy, data protection, information security and other laws and regulations, harm our reputation and subject us to litigation and governmental investigations and proceedings by federal, state and local regulatory entities in the U.S. and by international regulatory entities, resulting in exposure to material civil and/or criminal proceedings and liability. In addition, we may incur significant additional expense to implement further measures relating to privacy, data protection and information security, whether in response to an actual or perceived security breach or incident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experienced any material impact to our business, financial position or operations resulting from cyberattacks or other information security incidents; however, because of frequently changing attack techniques, along with the increased volume and sophistication of such attacks, our business, financial position or operations could be adversely impacted in the future. Moreover, the increasingly distributed nature of computing, including prevalent use of mobile devices to access confidential information and widespread use of cloud-based applications hosted in remote data centers, increases the risk of security breaches and incidents. These risks may be heightened due to the increasing number of our and our third-party vendors’ and contractors’ personnel working remotely. As cyber threats continue to evolve, we may be required to expend significant additional resources to continue to modify or enhance our protective measures or to investigate and remediate information security vulnerabilities, threats and incidents. While we have implemented layered security measures, our computer systems and the external systems and services used by our third-party contract manufacturers, or CMOs, and contract research organizations, or CROs, and their vendors and contractors remain potentially vulnerable to these events and there can be no assurance that we will be successful in preventing cyberattacks or successfully mitigating their effects. Our liability insurance may not be sufficient in type or amount to cover us against claims related to security breaches, cyberattacks and other related breaches.</w:t>
      </w:r>
    </w:p>
    <w:p>
      <w:pPr>
        <w:pStyle w:val="TextBody"/>
        <w:bidi w:val="0"/>
        <w:spacing w:before="240" w:after="283"/>
        <w:jc w:val="left"/>
        <w:rPr>
          <w:rFonts w:ascii="Times New Roman" w:hAnsi="Times New Roman"/>
          <w:sz w:val="20"/>
        </w:rPr>
      </w:pPr>
      <w:r>
        <w:rPr>
          <w:rFonts w:ascii="Times New Roman" w:hAnsi="Times New Roman"/>
          <w:b/>
          <w:i/>
          <w:color w:val="000000"/>
          <w:sz w:val="20"/>
        </w:rPr>
        <w:t>A variety of risks associated with international operations could materially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dedicate additional resources to comply with numerous laws and regulations in each jurisdiction in which we operate and plan to operate outside the U.S., including those countries outside the U.S. in which we are conducting clinical studies. As we engage in significant cross-border and international activities, we will be subject to risks related to international operations,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conducting clinical studies, registering and maintaining approval of, manufacturing and advertising drugs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in certain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tariffs, trade barriers and regulatory requirements, including tariffs that have been imposed on certain goods by the current presidential administration and reciprocal tariffs imposed by Canada and other countries in which we do business, as well as potential tariffs on pharmaceutical products and components manufactured outside the United States that the current presidential administration has contemplated;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political instability or open conflict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multiple payer reimbursement regimes, government payers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of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North America;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or actual violations of domestic and international anti-corruption laws, such as the U.S. Foreign Corrupt Practices Act and the U.K. Bribery Act, or of U.S. and international import, export and re-export control and sanctions laws and regulations, the likelihood of which may increase with an increase of operations in foreign jurisdictions, directly or indirectly through third parties (whose corrupt or other illegal conduct may subject us to liability), which may involve interactions with government agencies or government-affiliated hospitals, universities and other organizations, such as conducting clinical studies, selling our products, and obtaining necessary permits, licenses, patent registrations, and other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tighter restrictions on privacy and data protection, and more burdensome obligations associated with the collection, use and retention of data, including clinical data and genetic material, may apply in jurisdictions outside of North America;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civil and political unrest and terrorism, or natural disasters including earthquakes, typhoons, floods and fires;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supply and other disruptions resulting from the impact of public health pandemics or epidemics on our strategic partners, third-party manufacturers, suppliers and other third parties upon which we rely;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increased government scrutiny on the use of certain foreign biotechnology service providers due to national security concerns, including the potential for legislation that restricts or prohibits the use of such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manage these risks associated with cross-border and international activities, our business could be materially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U.S. holders of our common shares may suffer adverse tax consequences if we are characterized as a passive foreign investment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investors should be aware that based on our gross income and gross assets, we were a passive foreign investment company, or PFIC, for the taxable year ended December 31, 2025 and we may be a PFIC in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for any taxable year in which 75% or more of our gross income is passive income, or at least 50% of the quarterly average percentage of our assets (as determined under applicable Treasury Regulations) are held for the production of, or produce, passive income, we would be characterized as a PFIC, for U.S. federal income tax purposes. For PFIC testing purposes, a range of factors can affect the determination including the market price of our common shares and how we spend or otherwise hold our cash. Thus, our status as a PFIC is a fact-intensive determination made on an annual basis and the applicable law is subject to varying interpretation. In addition, a company’s PFIC status can be made only after the end of each taxable year. Accordingly, we cannot provide any assurance regarding our PFIC status for the current taxable year or future taxable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a PFIC for any year in which a U.S. investor hold our shares, such U.S. holders of our common shares may suffer adverse tax consequences including in years after we cease to be classified as a PFIC. Gains realized by such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 U.S. holders should consult their own tax advisors with respect to their particular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We will provide, upon request, our U.S. holders with the information that is necessary in order for them to make a qualified electing fund election and to report their pro rata shares of ordinary earnings and net capital gains for each year we believe we were a PFIC. U.S. holders should consult their own tax advisors with respect to making this election and the related reporting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U.S. holder may also mitigate the adverse tax consequences by timely making a mark-to-market election. Generally, for each year that we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 U.S. holders should consult their own tax advisors with respect to the possibility of making this election.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are or become a PFIC (or our PFIC status is uncertain), it may deter certain U.S. investors from purchasing our common shares, which could have an adverse impact on the market price of our common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significant Canadian federal net operating loss carryforwards which are limited in life, Canadian federal investment tax credit carryforwards and provincial investment tax credit carryforwards which could expire unused and be unavailable to offset future income tax liabilities. The rules dealing with Canadian and U.S. federal, provincial, state, and local income taxation are constantly under review by persons involved in the legislative process and by the Canada Revenue Agency, Internal Revenue Service and the U.S. Treasury Department. Changes to tax laws, or changes in interpretations of existing laws (which changes may have retroactive application), including with respect to net operating losses and tax credits, could adversely affect us or holders of our common shares. In recent years, many such changes have been made and changes are likely to continue to occur in the future. Future changes in tax laws could have a material adverse effect on our business, cash flow, financial condition or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subject to income tax in jurisdictions in which we are organized or operate, which would reduce our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risk that we may become subject to income tax in jurisdictions outside of Canada and the U.S.,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Acquisitions or other strategic transactions could disrupt our business, cause dilution to our shareholders and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actively evaluate various strategic transactions on an ongoing basis, including the acquisition of other businesses, products or technologies as well as pursuing strategic alliances, licensing transactions or investments in complementary businesses. Any of these transactions could be material to our financial condition and operating results and expose us to many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in our relationships with collaborators or suppliers as a result of such a transaction;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liabilities related to acquired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integrating acquired personnel, technologies and operations into our existing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pursuing strategic transactions and managing any such strategic alliances, joint ventures or acquisition integration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dilution to our shareholders if we issue equity in connection with such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our expenses and reductions in our cash available for operations and other uses;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possible write-offs or impairment charges relating to acquired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anticipated benefit of any strategic alliance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acquisitions, or the effect that any such transactions might have on our operating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current and future operations in the U.S. and elsewhere will be subject, directly or indirectly, to applicable federal and state fraud and abuse, government pricing and transparency, health information privacy and security, and other healthcare laws and regulations, non-compliance with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and third-party payers in the U.S. and national health systems in other jurisdictions play a primary role in the recommendation and prescription of any product candidates for which we obtain marketing approval. Our arrangements with healthcare providers, third-party payers, patients and other parties within the healthcare delivery system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healthcare and data privacy laws and regulations include the following, some of which will apply only if and when we have a marketed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including the federal False Claims Act, which can be enforced through civil whistleblower, or qui tam actions, as well as civil monetary penalty laws can impose criminal and civil penalties, assessment, and exclusion from participation for various forms of fraud and abuse involving the federal healthcare programs,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as amended, which imposes criminal and civil liability for executing a scheme to defraud any healthcare benefit program and also establishes requirements related to the privacy, security, and transmission of individually identifiable health information which apply to many healthcare providers, physicians, and third-party payers with whom we interact;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FDCA, which, among other things, strictly regulates drug product and medical device marketing, prohibits manufacturers from marketing such products for off-label use and regulates the distribution of samples;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governmental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so-called federal "sunshine law" or Open Payments which requires manufacturers of drugs, devices, biologics, and medical supplies to report to the Centers for Medicare &amp; Medicaid Services information related to payments and other transfers of value to teaching hospitals, physicians, and other healthcare practitioners,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limit financial interactions between manufacturers and healthcare providers; require manufacturers to adopt certain compliance standards; require disclosure to the government and public of financial interactions; require disclosure of marketing expenditures or pricing information, regulate drug pricing and/or require the registration of pharmaceutical sales representatives; and state and foreign laws governing the collection, export, privacy, use, protection and security of biological materials and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activities comply with applicable healthcare laws and regulations will involve substantial costs and, if and when one of our product candidates is approved, our compliance efforts will need to expand and evolve to address newly applicable laws. Given the breadth of the laws and regulations, limited guidance for certain laws and regulations and evolving government interpretations of the laws and regulations, governmental authorities may possibly conclude that our business practices may not comply with such laws.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Canadian federal, provincial, and local laws and regulations and may be subject to U.S. and/or foreign,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climate change or other natural disasters and our business continuity and disaster recovery plans may not adequately protect us from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CMOs upon whom we rely, or that otherwise disrupted operations, it may be difficult or, in certain cases, impossible for us to continue our business for a substantial period of time. Such events may result in damage or loss of our products and product candidates during their manufacture and shipment, cause delays in clinical development due to study site disasters or result in losses of critical data, any of which may adversely impact our operations. Although we carry insurance for earthquakes and other natural disasters, we may not carry sufficient business interruption insurance to compensate us for all losses that may occur. The disaster recovery and business continuity plans that we have in place may not be adequate in the event of a serious disaster or similar event. We may incur substantial expenses as a result of a natural disaster or earthquake, which could have a material adverse effect on our business. In addition, we may lose samples or other valuable data. The occurrence of any of the foregoing could have a material adverse effect on our business.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substantially depends upon the successful development of azetukalner. If we are unable to obtain regulatory approval for, and successfully commercialize, azetukalner,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products approved for commercial sale and are investing significant efforts and financial resources in the development of our clinical-stage product candidate, azetukalner for the treatment of epilepsy, MDD, BPD and potentially other neurological disorders. While we are advancing our Phase 3 clinical studies in azetukalner, there can be no assurance that these or any future clinical studies will be successful, that we will be able to obtain regulatory approval, or that we will be able to manufacture or independently commercialize any product candidates. Our future business success depends on the continued development and ultimate regulatory approval of azetukalner. The future regulatory and commercial success of azetukalner is subject to a number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patient enrollment in clinical studies and ultimate completion of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and efficacy data from our clinical programs that support acceptable risk-benefit profiles of azetukalner in the intended patient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any post-marketing studies required by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azetukalner;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for both clinical and commercial supplies of azetukalner;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commercial launch of azetukalner,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of azetukalner, if and when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azetukalner, if and when approved, by patients, the medical community, third-party payers, national health systems, and health technology authorities where applicable to ensure effective market access and adoption by healthcare providers and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acceptable pricing, third-party insurance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and durable efficacy profile of azetukalner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enforcing and defending intellectual property rights and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raising sufficient funds to support regulatory approval and commercialization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these risks are beyond our control, including the risks related to clinical development, the regulatory submission and approval process, potential threats to our intellectual property rights and the manufacturing, marketing and sales efforts of any future collaborator. If we or any collaborator are unable to develop, receive regulatory approval for, or successfully commercialize azetukalner for our initial or potential additional indications, or if we experience delays as a result of any of these risks or otherwise, our business could be materially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of the large number of drugs in development in the pharmaceutical industry, only a small percentage result in the submission of an NDA to the FDA or the equivalent foreign regulatory authorities and even fewer are approved for commercialization. Furthermore, even if we do receive regulatory approval for azetukalner for any indication, any such approval may be subject to limitations on the indications or uses or patient populations for which we may market azetukalner. Accordingly, even if we are able to obtain the requisite financing to continue to fund our development programs, we cannot ensure that we will successfully develop or commercialize azetukalner for any indication.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approach to drug discovery is unproven, and we do not know whether we will be able to develop any products of commercial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approach to drug discovery may not reproducibly or cost-effectively result in the discovery of product candidates and development of commercially viable products that safely and effectively treat human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drug discovery efforts may initially show promise in identifying additional product candidates yet fail to yield viable product candidates for clinical development or commercialization. Such failure may occur for many reasons, including that any product candidate may, on further study, be shown to have serious or unexpected side effects or other characteristics that indicate it is unlikely to be safe or otherwise does not meet applicable regulatory criteria and/or not be capable of being produced in commercial quantities at an acceptable cost,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discovery activities fail to identify novel targets for drug discovery, or such targets prove to be unsuitable for treating human disease, or if we are unable to develop product candidates with specificity and selectivity for such targets, we will fail to develop viable products. If we fail to develop and commercialize viable products, we will not achieve commercial success. </w:t>
      </w:r>
    </w:p>
    <w:p>
      <w:pPr>
        <w:pStyle w:val="TextBody"/>
        <w:bidi w:val="0"/>
        <w:spacing w:before="240" w:after="283"/>
        <w:jc w:val="left"/>
        <w:rPr>
          <w:rFonts w:ascii="Times New Roman" w:hAnsi="Times New Roman"/>
          <w:sz w:val="20"/>
        </w:rPr>
      </w:pPr>
      <w:r>
        <w:rPr>
          <w:rFonts w:ascii="Times New Roman" w:hAnsi="Times New Roman"/>
          <w:b/>
          <w:i/>
          <w:color w:val="000000"/>
          <w:sz w:val="20"/>
        </w:rPr>
        <w:t>Results of pre-clinical studies and/or earlier clinical studies may not be predictive of the results of later-stage clinical studies and the results of our clinical studies may not satisfy regulatory requirements and we may experience delays or unexpected difficulties in obtaining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pre-clinical studies, either generated by us, by our CROs or by other third parties from which we have in-licensed or acquired a product candidate, may not be predictive of results in clinical testing. Moreover, pre-clinical results can often be difficult to compare across different studies for a variety of reasons, including differences in experimental protocols and techniques, personnel, equipment and other factors, which may make the pre-clinical results less reliable and predictive of clinical study results. In addition, published clinical data or case reports from third parties or early clinical study data of our product candidates may not be predictive of the results of later-stage clinical studies. Interpretation of results from early, usually smaller, studies that suggest a clinically meaningful response in some patients, requires caution. Results from later stages of clinical studies enrolling more patients may fail to show acceptable safety and efficacy results according to applicable regulatory requirements or otherwise fail to be consistent with the results of earlier studies of the same product candidate. Later clinical study results may not replicate earlier clinical studies for a variety of reasons, including differences in study design, different study endpoints (or lack of study endpoints in exploratory studies), patient population, number of patients, patient selection criteria, study duration, drug dosage and formulation and lack of statistical power in the earlier studies. These uncertainties are enhanced where the diseases or disorders under study lack established clinical endpoints, validated measures of efficacy, as is often the case with disorders for which no drugs have been developed previously and where the product candidates target novel mechanisms. The absence of well-defined regulatory pathways and recognized efficacy benchmarks can make clinical development, regulatory approval, and commercialization more challenging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product candidates may not be approved even if they achieve their primary endpoints in our Phase 3 clinical studies. The FDA, EMA or other foreign regulatory authorities may disagree with our study design and our interpretation of data from pre-clinical studies and clinical studies or require additional data. In addition, any of these regulatory authorities may change its requirements or recommendations for the approval of a product candidate at any time in the future, even after reviewing and providing comments or advice on a protocol for a pivotal clinical study that, if successful, would potentially form the basis for an application for approval by the FDA, EMA or another foreign regulatory authority. For example, the FDA may refuse to accept our planned NDA for substantive review or may conclude after review of our data that our application is insufficient to obtain regulatory approval. If the FDA does not approve our planned NDA, it may require that we conduct additional clinical, nonclinical or manufacturing studies before it will reconsider our application. Depending on the extent of these or any other studies required by the FDA or another regulatory authority, approval of an NDA or equivalent filing may be significantly delayed or we may be unable to obtain approval of an NDA or equivalent filing because such studies may require us to expend more resources than we have available. Furthermore, applicable regulatory authorities may also approve our product candidates for a narrower indication or population than we request or may grant approval contingent on the performance of costly post-marketing commitments.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Interim, initial, “topline” and preliminary data from our clinical studies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studies, which are based on preliminary analyses of then-available data, and the results and related findings and conclusions are subject to change following a more comprehensive review of the complete data set for the relevant pre-clinical or clinical study. We also make assumptions, estimations, calculations and conclusions as part of our analyses of data, and we may not have received or have access to all data, and we may not have had the opportunity to fully and carefully evaluate all data. As a result, the topline or preliminary results that we report may differ from future results of the same studies, or different conclusions or considerations may qualify the initial findings, once additional data have been received and fully evaluated. Topline data also remain subject to audit and verification procedures that may result in the final data being materially different from the preliminary data we previously published or disclosed. As a result, topline data should be interpreted with caution until the final, comprehensive data are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perceived value of the particular program, the approvability or commercial potential of the particular product candidate or product and could have a material adverse effect on our business prospects. In addition, the information we choose to publicly disclose regarding a particular study is based on what is typically extensive complex body of information, and others may not agree with our determination of what constitutes material or otherwise appropriate information for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negatively impact our business, results of operations, prospects or financial condition. Further, disclosure of interim, topline or preliminary data by us or by our competitors could result in volatility in the price of our common shares.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studies may fail to demonstrate adequately the safety and efficacy of our, or our collaborators’, product candidates at any stage of clinical development. Terminating the development of any of our, or our collaborators’, product candidates could materially harm our business and the market price of our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clinical product candidates, which include azetukalner and NBI-921355 (being developed by our collaborator Neurocrine Biosciences), along with product candidates we expect to enter clinical development, which include our pre-clinical compounds, are in varying stages of development and will require substantial clinical development, testing and regulatory approval prior to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our product candidates, we, or our collaborators, must demonstrate through lengthy, complex and expensive pre-clinical testing and clinical studies that each product candidate is both safe and effective for use in each target indication. Failure can occur at any time during the clinical study process. Clinical studies often fail to demonstrate safety and efficacy of the product candidate studied for the target indication. Most product candidates that commence clinical studies are never approved as products. A number of companies in the biopharmaceutical industry have suffered significant setbacks in advanced clinical studies due to lack of efficacy or adverse safety profiles, notwithstanding promising results in earlier studies. In addition to the safety and efficacy studies of any product candidate, clinical study failures may result from a multitude of factors including flaws in study design, dose selection, statistical analysis plan, placebo effect, patient enrollment criteria, patient compliance and study execution. Data obtained from studies are susceptible to varying interpretations, and regulators may not interpret our data as favorably as we do, which may delay, limit or prevent regulatory approval. Failure of a clinical study due to any of these reasons could materially harm our business and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some of our and our collaborators’ product candidates, we and our collaborators are seeking to develop treatments for certain diseases or disorders for which there is relatively limited clinical experience, and clinical studies may use novel endpoints and measurement methodologies or subjective patient feedback, which adds a layer of complexity to these clinical studies and may delay regulatory approval. Negative or inconclusive results from our, or our collaborators’, clinical studies could lead to a decision or requirement to conduct additional pre-clinical testing or clinical studies or result in a decision to terminate the continued development of a product candidate. For example, on March 9, 2026, we released topline data from our Phase 3 X-TOLE2 clinical study of epilepsy in adult patients with FOS. In addition, our Phase 3 X-NOVA2 and X-NOVA3 studies in MDD and our Phase 3 X-CEED study in BPD are ongoing and continue to recruit patients. There can be no assurance that our ongoing azetukalner Phase 3 clinical studies or any other future Phase 3 clinical studies will demonstrate adequate efficacy and safety results and that we will be able to obtain regulatory approval of azetukalner. Any of the foregoing outcomes would materially and adversely impact our business, product candidate pipeline and future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or our collaborators’, product candidates are not shown to be both safe and effective in clinical studies, such product candidates will be unable to obtain regulatory approval or be successfully commercialized. In addition, our, or our collaborators’, failure to demonstrate positive results in clinical studies in any indication for which we, or our collaborators, are developing clinical product candidates could adversely affect development efforts in other indications. In such case, we would need to develop other compounds and conduct associated pre-clinical testing and clinical studies, as well as potentially seek additional financing, all of which would have a material adverse effect on our business, growth prospects, operating results,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or our collaborators, may find it difficult to enroll patients in our clinical studies which could delay or prevent the successful completion of clinical studies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not be able to identify, recruit and enroll a sufficient number of patients, or those with required or desired characteristics to achieve diversity in a study, to complete clinical studies in a timely manner, or at all. Patient enrollment for clinical studies is affected by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or disorder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study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of the patient population and geographic dispersion;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identification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criteria for the study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study investigators with the appropriate competencies, staff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study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competing therapies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studies;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clinical studies will compete with other clinical studies for product candidates that are in the same therapeutic areas as our product candidates, and this competition will reduce the number and types of patients available to us, because some patients who might have opted to enroll in our studies may instead opt to enroll in a study being conducted by one of our competitors. Since the number of qualified clinical investigators is limited, we expect to conduct some of our clinical studies at the same clinical study sites that some of our competitors use, which will reduce the number of patients who are available for our clinical studies at such clinical study sites.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inability to enroll a sufficient number of patients for our clinical studies would result in significant delays or might require us to abandon one or more clinical studies altogether. Delays in patient enrollment may result in increased costs, affect the timing or outcome of the planned clinical studies, affect product candidate development and approval process and jeopardize our ability to seek and obtain the regulatory approval required to commence product sales and generate revenue, any of which could cause the value of our company to decline and limit our ability to obtain additional financing if needed.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also depends on the collective performance, contributions, and expertise of the personnel who manage our clinical study sites. There is significant competition for qualified personnel, particularly those with higher educational degrees, in the biopharmaceutical and related services industries. Increased personnel turnover and labor shortages facing the biopharmaceutical services industry could have a negative impact on the third parties we rely on to execute our clinical studies. While we seek to choose study sites with adequate staffing support, we cannot be certain that personnel turnover or the broader labor market dynamics in this industry will not negatively impact our study sites. If our clinical study sites are negatively impacted by these factors, our ability to enroll our clinical studies in a timely fashion may be hindered and might negatively affect our business, development timelines,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or our collaborators, may incur unexpected costs or experience delays in completing, or ultimately be unable to complete, the development and commercialization of our, or our collaborators’,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commercialize any of our product candidates, we, or our collaborators, must demonstrate through extensive pre-clinical and clinical studies that our, or our collaborators’, product candidates are safe and effective in humans. We, or our collaborators, may experience delays in completing our, or our collaborators’, pre-clinical or clinical studies, and initiating or completing additional pre-clinical or clinical studies, including as a result of regulators not allowing or delay in allowing clinical studies to proceed under an IND, or not approving or delaying approval for any clinical study application or similar approval we need to initiate a clinical study. We, or our collaborators, may also experience numerous unforeseen events during our clinical studies that could delay or prevent our, or our collaborators’, ability to complete development for a product candidate, or receive marketing approval or commercialize the product candidates we, or our collaborators,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or failure in obtaining the necessary approvals from regulators or institutional review boards, or IRBs, in order to commence a clinical study at a prospective study site, or their suspension or termination of a clinical study once commenced;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reach agreement with prospective CROs and clinical study sites, the terms of which can be subject to extensive negotiation and may vary significantly among different CROs and study sites, or the breach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challenges or delays in recruiting principal investigators or study sites to lead our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side effects or adverse events in study participants presenting an unacceptable safety risk;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third-party contractors, such as CROs, or investigators to comply with regulatory requirements, including good clinical practices, or GCPs;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having patients complete a study, adhere to the study protocol,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or patients required for clinical studies of our product candidates may be larger than we anticipate, enrollment in these clinical studies may be insufficient or slower than we anticipate, and the number of clinical studies being conducted at any given time may be high and result in fewer available patients for any given clinical study, or patients may drop out of these clinical studies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study protocol or dropping out of a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to amend clinical study protocols submitted to regulatory authorities or conduct additional studies to reflect changes in regulatory requirements or guidance, which it may be required to resubmit to an IRB and regulatory authorities for re-examination;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or delays with accessing certain species of animals to complete our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problems with investigational medicinal product storage, stability and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manufacture, or obtain from third parties, adequate supply of drug substance or drug product sufficient to complete our pre-clinical and clinical studies, including supply chain issues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to undertake and complete additional pre-clinical studies to generate data required to initiate clinical development or to support the continued clinical development of a product candidate or submission of an NDA or equivalent;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disruptions, caused by man-made or natural disasters, public health pandemics or epidemics, civil unrest or military conflict, or other business interruptions;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governmental or regulatory delays;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policies, regulations and guidelines of the FDA, EMA or other foreign regulators regarding development, approval, and marketing of biopharmaceutical products, including but not limited to, in the U.S., as a result of policies implemented by the current presidential administration that may, for example, render our clinical data insufficient for approval or restrict us from marketing our product candidates in the manner in which we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risks and uncertainties could impact any of our, or our collaborators’, clinical programs and any of the clinical, regulatory or operational events described above could change our, or our collaborators’, planned clinical and regulatory activities. Challenges in enrolling and retaining patients in our clinical studies, including in our azetukalner Phase 3 clinical studies, whether as a result of pandemics, geopolitical events, or for any other reasons, may further delay the studies or cause them to be discontinued.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any Phase 3 or other pivotal clinical studies may not be adequate to support marketing approval. These clinical studies are lengthy and usually involve many hundreds to thousands of patients, which can be complicated by the difficulty of identifying eligible patients. Even if patients are successfully identified, they may fail to meet screening criteria, including baseline seizure burden for epilepsy clinical studies, and, as a result, may not be enrolled. Difficulties in identifying, screening and/or enrolling patients in our studies may extend the time needed to complete our clinical studies or require the initiation of additional sites to achieve target enrollment numbers to complete our clinical studies. These may increase the cost of our operations and/or delay the timing of our regulatory approval. In addition, if the FDA, EMA or another foreign regulator disagrees with our, or our collaborators’, choice of the key testing criterion, or primary endpoint, or if the results for the primary endpoint are not sufficiently robust or statistically significant or clinically meaningful relative to the control group of patients not receiving the experimental therapy, or our statistical analysis is inconclusive, such regulator may refuse to approve our product candidate in the region in which it has jurisdiction. The FDA, EMA or other foreign regulators also may require additional clinical studies as a condition for approving any of these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could also encounter delays if a clinical study is suspended or terminated by us, by our collaborators, by the IRBs of the institutions in which such study is being conducted, by any Data Safety Monitoring Board for such study, or by the FDA, EMA or other foreign regulatory authorities. Such suspensions or terminations may arise from a variety of factors, including failure to conduct the clinical study in accordance with regulatory requirements or our clinical protocols, regulatory inspections, imposition of a clinical hold, manufacturing problems, unforeseen safety issues or adverse side effects, lack of demonstrated benefit, changes in governmental regulations or administrative actions or insufficient funding to continue the clinical study. In addition, delays can occur due to safety concerns arising from studies or other clinical data regarding another company’s product candidate in the same compound class as one of 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applicable regulatory requirements and guidance may occur and we may need to amend clinical study protocols to reflect these changes or to include additional objectives that could yield important scientific information critical to our overall development strategy. The protocol amendment process often requires review and approval by several review bodies, including regulatory agencies and scientific, regulatory and ethics boards and IRBs which may affect timely completion of a clinical study. Further, there is no guarantee that these protocol amendments will be accepted by the review bodies in the form submitted, or at all, which may impact costs, timing or successful completion of a clinical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collaborators, experience delays in the completion of, or termination of, any clinical study of one of our product candidates, the commercial prospects of the product candidate may be harmed, the period during which we may have the exclusive right to commercialize our products under patent protection could be shortened, and our, or our collaborators’, ability to commence product sales and generate product revenue from the product will be delayed. In addition, any delays in completing our clinical studies will increase our costs and slow down our product candidate development and approval process and may ultimately lead to the termination of a clinical study and development of a product candidate.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or our collaborators’,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any of our product candidates could cause us or regulatory authorities to interrupt, delay or halt clinical studies and could result in a more restrictive label or the delay or denial of regulatory approval by the FDA, EMA or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clinical studies could reveal a high and unacceptable severity and prevalence of side effects or unexpected characteristics. For example, while adverse events in our X-TOLE and X-NOVA clinical studies were generally mild or moderate in severity, there can be no guarantee that we will observe a similar tolerability profile of azetukalner in our ongoing Phase 3 clinical studies or in other future clinical studies. Many compounds that initially showed promise in clinical or earlier-stage testing are later found to cause undesirable or unexpected side effects that prevented further development of the compound.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unacceptable side effects arise in the development of our product candidates, we, the FDA, EMA or comparable foreign regulatory authorities, the IRBs, or independent ethics committees at the institutions in which our studies are conducted, could suspend, limit or terminate our clinical studies, or the independent safety monitoring committee could recommend that we suspend, limit or terminate our studies, or the FDA, EMA or comparable foreign regulatory authorities could order us to cease clinical studies or deny approval of our product candidates for any or all targeted indications. Treatment-emergent side effects that are deemed to be drug-related could delay recruitment of clinical study subjects or cause subjects that enroll in our clinical studies to discontinue participation in our clinical studies. In addition, these side effects may not be appropriately recognized or managed by the treating medical staff. We may need to train medical personnel using our product candidates to understand the side effect profiles for our clinical studies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clinical studies of our product candidates are conducted in carefully defined sets of patients who have agreed to enter into clinical studies. Consequently, it is possible that our clinical studies may indicate an apparent positive effect of a product candidate that is greater than the actual positive effect, if any, or alternatively fail to identify undesirable side effects.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product candidates are developed through pre-clinical to late-stage clinical studies towards approval and commercialization, it is common that various aspects of the development program, such as manufacturing methods and formulations, are altered along the way in an effort to optimize products, processes and results, and/or to target different populations. Such changes may also result in inventions that result in additional patent protection. Any of these changes could cause our product candidates to perform differently and not provide the same drug exposure profile in children and/or cause side effects different to those observed with the same formulation in adults or with other formulations. Unexpected changes in the performance of a new formulation may affect the results of planned clinical studies or other future clinical studies conducted with the altered materials. This could delay completion of clinical studies, require the conduct of additional bridging clinical studies or the repetition of one or more clinical studies, increase clinical study costs and/or delay or jeopardize approval of our product candidates and/or jeopardize our, or our collaborators’, ability to commence product sales and generate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regulatory approval processes of the FDA, EMA and regulators in other foreign jurisdictions are lengthy, time-consuming and inherently unpredictable. If we, or our collaborators, are unable to obtain regulatory approval for our product candidates in a timely manner, or at all, our business may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 is expensive and the time required to obtain approval from the FDA, EMA or other foreign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Moreover, pre-clinical and clinical data are often susceptible to varying interpretations and analyses, and even if the pre-clinical studies show promising results and clinical studies are successfully completed, we cannot guarantee that the FDA, EMA or other foreign regulatory authorities in other jurisdictions will interpret the results as we do, and more clinical studies, manufacturing-related studies or non-clinical studies could be required before we submit our product candidates for approval. Many companies that have believed their product candidates performed satisfactorily in pre-clinical and clinical studies have nonetheless failed to obtain marketing approval of their products. To the extent that the results of our studies are not satisfactory to the FDA, EMA or other foreign regulatory authorities in other jurisdictions for support of a marketing application, approval of our product candidates may be significantly delayed, or we may be required to expend significant additional resources, which may not be available to us, to conduct additional studies in support of potential approval of our product candidates. It is also possible that none of our existing product candidates or any of our future product candidates will ever obtain regulatory approval, even if we expend substantial time and resources seeking such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disagree with the design or implementation of our, or our collaborators’,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unable to demonstrate to the satisfaction of the FDA, EMA or other foreign regulatory authorities that a product candidate is safe and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studies may not meet the level of statistical significance required by the FDA, EMA or other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unable to demonstrate that a product candidate’s clinical and other benefits outweigh its safety risks;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disagree with our, or our collaborators’, interpretation of data from pre-clinical studies or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studies of our product candidates may not be sufficient to support the submission of an NDA, or other submission or to obtain regulatory approval in the U.S.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fail to approve the manufacturing processes, controls or facilities of third-party manufacturers with which we, or our collaborators, contract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pre-approval inspections of Xenon, manufacturing, clinical sites, pre-clinical or clinical service providers, conducted by regulatory authorities may identify errors or omissions that may result in the product candidate not being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other foreign regulatory authorities may significantly change in a manner rendering our, or our collaborators’,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or our collaborators, obtain approval for a particular product, regulatory authorities may grant approval contingent on the performance of costly post-approval commitments including clinical studies, or may approve a product with a label that does not include the labeling claims necessary or desirable for the successful commercialization of that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FDA's, EMA's or other foreign regulatory authorities’ policies with respect to clinical studies may change and additional government regulations may be enacted. For instance, the regulatory landscape related to clinical studies in the EU recently evolved. The EU Clinical Trials Regulation, or CTR, which was adopted in April 2014 and repealed the EU Clinical Trials Directive, became applicable on January 31, 2022. The implementation of the CTR also includes the implementation of the Clinical Trials Information System, or CTIS, a new clinical study portal and database that will be maintained by the EMA in collaboration with the European Commission and the EU Member States. The objectives of the CTR include consistent rules for conducting studies throughout the EU, consistent data standards and adverse events listing, and consistent information on the authorization status. Information on the conduct and results of each clinical study carried out in the EU will be made publicly available. The CTR authorizes EU Member States to regulate certain aspects of clinical studies at the national level. To the extent an EU Member State where we plan to conduct any of our clinical studies is slow to adopt CTIS or implements other regulatory changes at the national level, or technical issues are encountered with the CTIS system and/or process, our clinical study may be delayed in such EU Member State, and our costs may be increased. The main legislation that applies to clinical studies in the United Kingdom, or UK, is the UK Medicines for Human Use (Clinical Trials) Regulations 2004, which transposes the EU Clinical Trials Directive into domestic law. The UK has implemented the Integrated Research Application System, which allows a single application to be reviewed by both the Medicines and Healthcare products Regulatory Agency and a research ethics committee at the same time. Requirements and obligations that relate to the conduct of clinical studies in the UK remain largely aligned with the EU position. A statutory instrument to amend the Medicines for Human Use (Clinical Trials) Regulations 2004 was laid before parliament on December 12, 2024. The new regulations will take full effect on April 10, 2026 after a 12-month implementation period to address the research sector’s need for a more efficient, streamlined and adaptable regulatory framework for clinical studies. Complying with changes in regulatory requirements in different jurisdictions can result in additional costs, delay our clinical development plans, or expose us to greater liability if we are slow or unable to adapt to changes in existing requirements or the adoption of new requirements or policies governing clinical studies, our development plans, including our azetukalner Phase 3 clinical studies, may be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because there may be approved treatments for some of the diseases or disorders for which we may seek approval, in order to receive regulatory approval, we may need to demonstrate in clinical studies that the product candidates we develop to treat those diseases or disorders are not only safe and effective, but may need to be compared to existing methods of treatment within healthcare systems, which may make it more difficult for our product candidates to receive regulatory approval or adequate reimbursement. Demonstrating superiority or added value over existing therapies is often a critical factor for both regulators and payers, and failure to do so may limit market access and adoption within healthcare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and maintain approval for our product candidates from one jurisdiction, we may never obtain approval for our product candidates in other jurisdictions, which would limit our market opportunities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approved products, if any, will be subject to the regulatory requirements governing marketing approval in the countries in which we obtain regulatory approval, and we plan to seek, ourselves or with collaborators, regulatory approval to commercialize our product candidates in North America, the EU and in additional foreign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the FDA, EMA or regulatory authorities in other countries. Approval procedures vary among jurisdictions and can be lengthy and expensive, and involve requirements and administrative review periods different from, and potentially greater than, those in the U.S., including additional pre-clinical studies or clinical studies. Even if our product candidates are approved, regulatory approval for any product may be withdrawn by the regulatory authorities in a particular jurisdiction. We do not have experience in obtaining regulatory approval in international markets. If we, or our collaborators, fail to comply with regulatory requirements or to obtain and maintain required approvals, our target market will be reduced and our ability to realize the full market potential of our product candidates will be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in excess of our limited product liability insurance coverage and may be required to limit commercialization of our current and any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with other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or provincial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 candidates or any resulting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study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study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carry product liability insurance with amounts of coverage that we believe are appropriate relative to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market price of our common shares to decline and, if judgments exceed our insurance coverage, could adversely affect our future results of operations and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with certain of the diseases, or disorders, targeted by our product candidates are often already in severe and advanced stages of disease and have both known and unknown significant pre-existing and potentially life-threatening conditions. During the course of treatment, patients have in the past and may in the future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regulatory agencies grant marketing approvals to azetukalner or any other of our product candidates, we may not be successful in commercializing any of our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commercialization of any our current or future product candidates, if approved, could be materially adversely impacted by a number of foreseen and unforeseen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our ability to produce sufficient quantities of or our current or future product candidates, at an acceptable cost or quality, including such delays arising out of quality assurance concerns or changes in regulatory guidance, or those caused by our reliance on our third-party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marketing, access, and payer and patient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prescribers and accounts;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inadequate number of prescribers or accounts prescribing any of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provide acceptable evidence of safety and efficacy;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side effects associated with any of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compete with current or future competitor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and ease of administration of our future products relative to alternative therapies,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or delay in gaining or maintaining reimbursement and broad patient access at a price that reflects the value of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address product labeling or product insert requirements, including any changes mandated by regulatory authorities after initial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the content or form of the consumer and/or prescriber-facing marketing materials that we may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equip customer-facing personnel with effective materials, including medical and sales literature to help them educate physicians and other healthcare professionals regarding applicable diseases relevant to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publications of scientific literature, consensus papers and treatment guidelines unfavorable to the administration of our products and product candidates and/or the positioning of the class of drugs to which each of our products and product candidates belongs;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develop or obtain and sustain sufficient operational functions and infrastructure to support our commercial activities.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incidence and prevalence for target populations of azetukalner and our other product candidates has not been established with precision. If the market opportunities for our product candidates are smaller than we estimate, or if any approval that we obtain is based on a narrower definition of our targeted patient population, our revenue may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precise incidence and prevalence for all the conditions we aim to address with our programs are not known with specificity. Our projections of both the number of people who have these diseases, as well as the subset of people with these diseases who have the potential to benefit from treatment with our product candidates, if approved, are based largely on our extrapolation from available population studies and estimates. These estimates have been derived from a variety of sources, including scientific literature, surveys of clinics, patient foundations, pharmacy claims analyses, large national surveillance databases or market research, and may prove to be incorrect. Further, new trials and therapeutic options may lead to changes in the estimated incidence or prevalence of these diseases, or relevant subpopulations thereof. As a result, the number of patients who may benefit from our product candidates, if approved, may be lower than expected.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establish our own sales, marketing and distribution capabilities or enter into agreements for these purposes, we may not be successful in independently commercializing any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as a company, have no sales, marketing or distribution experience. Our strategy involves building our own commercial infrastructure to selectively commercialize future products in certain commercial markets which will be expensive and time consuming. For certain products, including azetukalner, and/or specific commercial markets, we evaluate commercial partners from time to time. In some cases, we may seek to retain the right to participate in the future development and commercialization of such products if we believe such involvement would advance our business. We cannot be certain that we will be successful in consummating any such commercial partnerships or, if consummated, whether such partnerships will be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develop internal sales, distribution and marketing capabilities in the U.S., we will have to invest significant amounts of financial and management resources, some of which will need to be committed prior to any confirmation that any of our product candidates will be approved. We have no prior experience as a company in the marketing, sale and distribution of biopharmaceutical products and there are significant risks involved in building and managing a commercial organization. For any future products for which we decide to perform sales, marketing and distribution functions ourselves, we could face a number of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existing or the establishment of new supply arrangements with third-party logistics providers and secondary packagers;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existing or the establishment of new scaled production arrangements with third-party manufacturers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and retain adequate numbers of qualified sales and marketing personnel or develop alternative sales channels;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products to secure acceptance from physicians, healthcare providers, patients, third-party payers and the medical community including identifying an adequate number of physicians and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and maintaining an independent sales and marketing organization;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with other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Where and when appropriate, we may elect to utilize contract sales forces, distribution partners or collaborators that have sales, marketing and distribution capabilities to assist in the commercialization of or to independently commercialize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which may result in significant additional expense and delays.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product candidates for which we, or any existing or future collaborators, obtain regulatory approval, as well as the manufacturing processes, post-approval studies,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our contract manufacturers will also be subject to user fees and periodic inspection by the FDA and other regulatory authorities to monitor compliance with these requirements and the terms of any product approval we may obtain. In addition, our product candidates may receive schedule classifications under the Controlled Substances Act of 1970 (or scheduling classifications under similar legislation outside of the U.S.) which will result in additional complexity and may result in delays and restrictions with respect to manufacturing, supply chain, licensing, import/export and distribution.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product is approved, the FDA or another applicable regulatory authority, as the case may be, may limit the indications for which the product may be marketed, require extensive precautions and warnings on the product labeling or require expensive and time-consuming post-approval commitments including clinical studies or onerous risk management activities, including Risk Evaluation and Mitigation Strategies, or REMS, in the U.S. as conditions of approval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any approved product, we, or our collaborators, will need to ensure continued compliance with extensive regulations and requirements regarding the manufacturing processes, labeling, packaging, serialization,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good distribution practices, or GDP, and current good clinical practices, or cGCP, for any clinical studies that we, or our collaborators, are required to conduct post-approval.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Post-approval discovery of previously unknown problems with a product, including adverse events of unanticipated severity or frequency, or other problems with our product or with third-party manufacturers or manufacturing processes, or failure to comply with regulatory requirements, may result in, amongst other things, restrictions on the labeling or marketing, withdrawals, consent decrees, clinical holds, post-approval requirements or restrictions, recalls, fines, warning letters, injunctions, penalties, exclusions from federal healthcare programs, seizures and/or detentions, among other consequences and adverse actions. Occurrence of any of the foregoing could have a material and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we must comply with requirements concerning the advertising and promotion of our products, which are subject to a variety of legal and regulatory restrictions and may be promoted only for the approved indications in accordance with the approved label. The FDA and other agencies actively enforce the laws and regulations prohibiting the promotion of off-label uses, and a company that is found to have improperly promoted off-label use may be subject to significant liability. However, physicians may, in their independent medical judgment, prescribe legally available products for off-label uses. The FDA does not regulate the behavior of physicians in their choice of treatments but the FDA and other foreign regulators do restrict manufacturers' communications on the subject of off-label use of their products. The EU and other foreign jurisdictions also prohibit direct-to-consumer advertising for prescription-only medicines. Even if any of our product candidates receive regulatory approval, our sales and marketing efforts may not be successful or may be limited by future governmental policies or initiatives. For example, the FDA stated in September 2025 that it intends to more aggressively enforce requirements for direct-to-consumer drug advertising and sent warning or untitled letters to a significant number of pharmaceutical companies alleging deceptive prescription drug advertising, which represents a dramatic increase in FDA actions compared to prior years. The current administration’s focus on pharmaceutical advertising heightens the risk that we may, in the future, receive a warning letter or be subject to enforcement action related to our advertising and marketing practices, which could adversely affect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To the extent we develop and commercialize product candidates that contain or are considered controlled substances, any failure by us or our CROs, CMOs and other contractors to comply with controlled substance laws and regulations, may adversely affect the results of our business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develop product candidates that are considered controlled substances in multiple jurisdictions, such as the U.S., Canada, and the EU, which will expose us to additional controlled substance regulatory requirements in each applicable jurisdiction where we engage in regulated activities, including storage, manufacture, research, clinical studies, import, and export, among other activities. For example, obtaining and maintaining the necessary registrations may result in delay of the importation, manufacturing or distribution of our controlled substance product candidates and may extend our anticipated timelines for clinical studies we run.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Controlled substances or scheduled substances are regulated by the DEA under the CSA. The DEA regulates compounds as Schedule I, II, III, IV or V substances. Pharmaceutical products approved for use in the U.S. may be listed as Schedule II, III, IV or V, with Schedule II substances considered to present the highest potential for abuse or dependence and Schedule V substances the lowest relative risk of abuse among such substances. Authorities outside the U.S. apply the United Nations International Drug Control Conventions to control substances or schedule substances that are liable to abuse or ill effects.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Scheduling determinations by the DEA are dependent on FDA approval of a substance or a specific formulation of a substance. This scheduling determination will be dependent on FDA approval and the FDA’s recommendation as to the appropriate schedule, which may introduce a delay into the approval and any potential rescheduling process. There can be no assurance that the DEA will make a favorable scheduling decision. Substances that are Schedule II, III, IV or V controlled substances at the federal level may also require scheduling determinations under state laws and regulations, as well as similar foreign controlled substances regulations, if applicable. If approved by the FDA, a number of post-approval activities involving controlled substances will be subject to regulation by the DEA, including DEA regulations relating to registration and inspection of facilities, manufacturing, storage, distribution and physician prescription procedures, among others. Furthermore, failure of our contractors, such as our CROs and CMOs, to maintain compliance with the CSA during development and/or commercialization, as applicable, can result in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U.S. states and countries outside of the U.S. have also established controlled substance laws and regulations. Those laws and regulations, including state-controlled substances laws that often but not necessarily mirror federal law, may separately schedule our product candidates. Complying with different controlled substances requirements across different jurisdictions can increase the cost of our operations and expose us to additional liabilities.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marketing approval for our product candidates, the presence of a controlled substance in the product candidate may lead to adverse publicity or public perception regarding our current or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product candidates that are subject to controlled substances regulation are approved for commercial sale, adverse publicity or public perception of controlled substances in general or other controlled substances could negatively impact market acceptance or consumer perception of our product candidates. We may face limited adoption if clinicians or patients are unwilling to try a novel treatment that contains a controlled substance. Any adverse publicity associated with illness or other adverse effects resulting from patients’ use or misuse of our or similar therapies distributed by other companies could have a material adverse impact on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adverse events and research in controlled substances that are present in the product candidates could also result in greater governmental regulation, stricter labeling requirements and potential regulatory delays in the testing or approvals of our product candidates. Any increased scrutiny could delay or increase the costs of obtaining regulatory approval for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Any product candidates for which we obtain approval may become subject to unfavorable third-party coverage and reimbursement practices, as well as pricing regulations, which may adversely affect demand for such products as well as our ability to obtain an appropriate return from the sale of the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 our collaborators’, ability to commercialize any products successfully if and when approved for marketing will depend, in part, on the extent to which coverage and adequate reimbursement for these products and related treatments will be available from government healthcare programs, such as Medicare and Medicaid, and private third-party payers, such as private health insurers, managed care plans, and other organizations. Government authorities and private third-party payers decide which drugs they will pay for and establish reimbursement levels. A primary trend in the U.S. healthcare industry is cost containment. Government authorities and third-party payers have attempted to control costs by limiting coverage and the amount of reimbursement for particular medications. We cannot be sure that coverage and reimbursement will be available for any product that we, or our collaborators,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are limited, we, or our collaborators, may not be able to successfully commercialize any product candidate for which marketing approval is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payer coverage and reimbursement of newly approved products. Within the U.S., coverage and reimbursement varies from one third-party payer to another. One third-party payer’s determination to provide coverage for a product candidate does not assure that other third-party payers will also provide coverage for the product candidate. As a result, the coverage determination process is often time-consuming and costly. Factors payers consider in determining reimbursement are based on whether the product is: (i) a covered benefit under a payer health plan; (ii) safe, effective and medically necessary; (iii) appropriate for the specific patient; (iv) cost-effective; and (v) neither experimental nor investigational. We may be required to provide scientific and clinical support for the use of our products to each third-party payer separately, with no assurance that coverage and adequate reimbursement will be obtained or applied consistently. Even if a third-party payer provides coverage and adequate reimbursement, the payer may implement controls to manage utilization (e.g., requiring specific approval in advance to cover a product when used by a specific patient).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federal and state governments implement additional healthcare cost containment measures, including measures to lower prescription drug pricing, we cannot be sure that our products, if approved, will be covered by private or public payers, and if covered, that the reimbursement will be adequate or competitive with other marketed products. Actions by federal and state governments and health plans may put additional downward pressure on pharmaceutical pricing and healthcare costs, which could negatively impact coverage and reimbursement for our products if approved, our revenue, and our ability to compete with other marketed products and to recoup the costs of our research and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net prices for drugs may be reduced by mandatory discounts or rebates required by government healthcare programs or demanded by private payers and by any future change in laws related to imports of drugs from other countries, including where they may be sold at lower prices than in the U.S. In order to obtain and maintain acceptable reimbursement levels and access for patients at copay levels that are reasonable and customary, we may have to offer discounts or rebates from list prices or to implement other unfavorable pricing modifications. We cannot be sure that reimbursement will be available for any product candidate that we commercialize and, if reimbursement is available, the level of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These jurisdictions consistently encounter market access challenges for innovative therapies, particularly with respect to the breadth, speed, and cost of adoption. Market access decisions are principally guided by rigorous assessments of cost-effectiveness and affordability. As a result, access to new medical technologies or interventions may be denied or restricted to smaller patient populations than those covered by the approved label, based on these assessments. Additionally, concerns regarding the potential impact on healthcare budgets can cause the speed and rate of uptake for new therapies to be slower than anticipated. In many countries, particularly the countries of the EU, medical product prices are subject to varying price control, reimbursement restrictions or mandatory rebate mechanisms. These requirements are often imposed as conditions for new products to be adopted and reimbursed for use in national health systems. Such mechanisms can further limit the commercial potential of new therapies by reducing pricing flexibility and potentially delaying or restricting market access. In these countries, pricing negotiations with governmental authorities can take considerable time after a product receives marketing approval. To obtain reimbursement or pricing approval in some countries, we, or our collaborators, may be required to conduct a clinical study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or our collaborators, are able to charge for our product candidates. Accordingly, in markets outside the U.S., the reimbursement for our products may be reduced compared with the U.S. and may be insufficient to generate commercially reasonable revenue and profits.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or our collaborators' target patient populations may be in orphan or niche indications, such as SCN8A-DEE. In order for therapies that are designed to treat smaller patient populations to be commercially viable, the pricing, coverage and reimbursement for such therapies needs to be higher, on a relative basis, to account for the lack of volume. Accordingly, we or our collaborators may need to implement pricing, coverage and reimbursement strategies for any approved product that accounts for the smaller potential market size. If we or our collaborators are unable to establish or sustain coverage and adequate reimbursement for our or our collaborators’ current and any future products from third-party payers or the government, the adoption of those products and sales revenue will be adversely affected, which, in turn, could adversely affect the ability to market or sell those products.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and other reforms may increase the difficulty and cost for us to commercialize any products that we, or our collaborators, develop and affect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and some foreign jurisdictions are considering or have enacted a number of legislative and regulatory proposals to change the healthcare system generally and drug pricing and payment specifically,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2010, the Patient Protection and Affordable Care Act, as amended by the Health Care and Education Reconciliation Act of 2010, collectively, the PPACA, was enacted and includes measures that have significantly changed the way healthcare is financed by both governmental and private insurers.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in recent years, including under the current presidential administration, the pharmaceutical industry has been a particular focus of such reform efforts and has been significantly affected by major legislative, administrative and executive initiatives. For example, the Inflation Reduction Act (IRA) of 2022 includes a number of changes intended to address rising prescription drug prices in Medicare Parts B and D. These changes include caps on Medicare Part D out-of-pocket costs, Medicare Part B and Part D drug price inflation rebates, a new Medicare Part D manufacturer discount drug program (replacing the PPACA Medicare Part D coverage gap discount program) and a drug price negotiation program for certain high-spend Medicare Part B and D drugs. The IRA has had and will likely continue to have a significant impact on the pharmaceutical industry. More recently, an Executive Order was issued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In May 2025, another Executive Order was issued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 nation price. In the wake of the Executive Orders and related executive initiatives, some pharmaceutical manufacturers have announced direct-to-consumer offerings with discounted prices or reached agreements with the federal government regarding pricing for drugs, including prices for Medicaid drugs and newly launched products. A future website sponsored by the federal government that is anticipated to offer pharmaceutical direct-to-consumer channels has also been announced. Federal agencies are developing new drug pricing pilot programs, such as a Medicaid model which would authorize the federal government to negotiate Medicaid supplemental rebates with participating manufacturers on behalf of state Medicaid programs, in exchange for standardized coverage criteria for participating manufacturer drugs, and proposed Medicare Part B and Part D pilot models that, if finalized as proposed, would replace existing inflation-based Medicare rebates with rebates determined on the basis of international prices, for drugs and patients subject to the model. Changes to certain Medicare price reporting requirements for drugs beginning in 2026 will likely increase the administrative and compliance burden for manufacturers. Many of these reform initiatives would require additional legal and/or administrative action to implement and may be subject to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healthcare reform efforts or actions may affect access to healthcare coverage or the funding of health care benefits, although the full impact of such efforts or actions cannot be predicted. For example, the Congressional Budget Office has estimated that Medicaid provisions in the 2025 budget reconciliation legislation, including restrictions in eligibility and funding for Medicaid, as well as changes to the healthcare marketplace such as the elimination of certain subsidies, will increase the number of uninsured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passed legislation and implemented regulations designed to control pharmaceutical and biological product pricing, including price or patient reimbursement constraints, discounts, restrictions on certain product access and marketing costs disclosure and transparency measures, and in some cases designed to encourage importation from other countries and bulk purchasing. Additionally, a number of states have enacted state drug price transparency and reporting laws that increase compliance burdens and exposure for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 number of states have enacted state drug price transparency and reporting laws that could substantially increase our compliance burdens and expose us to greater liability under such state laws if and when we have marketed products. These and other health reform measures that are implemented may have a material adverse effect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reform efforts have been and may continue to be subject to scrutiny, legal challenge and subsequent amendment, creating further uncertainty. Other government actions could have an adverse effect upon, and could prevent, our products’ commercial success. For example, the current presidential administration’s announced tariff on branded or patented drugs may increase the cost of drug products that are imported from abroad or manufactured using products or materials imported from abroad. The timeline for implementation of this tariff has not yet been finalized. As another example, the Budget Control Act of 2011, as amended, resulted in the imposition of reductions in Medicare (but not Medicaid) payments to providers in 2013 and remains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the U.S. Supreme Court’s June 2024 decision in </w:t>
      </w:r>
      <w:r>
        <w:rPr>
          <w:rFonts w:ascii="Times New Roman" w:hAnsi="Times New Roman"/>
          <w:i/>
          <w:color w:val="000000"/>
          <w:sz w:val="20"/>
        </w:rPr>
        <w:t xml:space="preserve">Loper Bright Enterprises v. Raimondo </w:t>
      </w:r>
      <w:r>
        <w:rPr>
          <w:rFonts w:ascii="Times New Roman" w:hAnsi="Times New Roman"/>
          <w:color w:val="000000"/>
          <w:sz w:val="20"/>
        </w:rPr>
        <w:t xml:space="preserve">overturned the longstanding </w:t>
      </w:r>
      <w:r>
        <w:rPr>
          <w:rFonts w:ascii="Times New Roman" w:hAnsi="Times New Roman"/>
          <w:i/>
          <w:color w:val="000000"/>
          <w:sz w:val="20"/>
        </w:rPr>
        <w:t xml:space="preserve">Chevron </w:t>
      </w:r>
      <w:r>
        <w:rPr>
          <w:rFonts w:ascii="Times New Roman" w:hAnsi="Times New Roman"/>
          <w:color w:val="000000"/>
          <w:sz w:val="20"/>
        </w:rPr>
        <w:t xml:space="preserve">doctrine, under which courts were required to give deference to regulatory agencies’ reasonable interpretations of ambiguous federal statutes. The </w:t>
      </w:r>
      <w:r>
        <w:rPr>
          <w:rFonts w:ascii="Times New Roman" w:hAnsi="Times New Roman"/>
          <w:i/>
          <w:color w:val="000000"/>
          <w:sz w:val="20"/>
        </w:rPr>
        <w:t xml:space="preserve">Loper </w:t>
      </w:r>
      <w:r>
        <w:rPr>
          <w:rFonts w:ascii="Times New Roman" w:hAnsi="Times New Roman"/>
          <w:color w:val="000000"/>
          <w:sz w:val="20"/>
        </w:rPr>
        <w:t xml:space="preserve">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nature and extent of future healthcare reforms cannot be predicted. There is uncertainty regarding the nature or impact of any drug pricing or broader healthcare reform implemented at the federal or state level and the extent to which such action may be subject to litigation or other challenges. Ongoing efforts to contain or reduce costs of healthcare and/or impose price controls may adversely affect the demand for our product candidates, if approved, and our ability to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similar political, economic and regulatory developments may affect our, or our collaborators’,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The EU is undergoing a revision of its general pharmaceutical legislation to consolidate various legal instruments and achieve key policy objectives such as improving patient access to medicines, enhancing supply chain security, promoting innovation, ensuring environmental sustainability, and addressing antimicrobial resistance. The legislative proposal was considered by the European Parliament in April 2024 for a position to be adopted. The legislative process will take considerable time to complete as the proposal will require agreement by the European Parliament and the European Council. In 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any future products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staffing or funding shortages could prevent our product candidates from being developed, approved, or commercialized in a timely manner, or at all,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and foreign regulatory authorities to review or approve new product candidates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For example, over the last several years, the U.S. federal government has shut down several times and certain regulatory agencies, such as the FDA, have had to furlough critical FDA employees and stop critical activities. If a prolonged government shutdown occurs, preventing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current presidential administration has taken several actions that could impose significant burdens on, or otherwise materially delay, the FDA’s ability to engage in routine regulatory and oversight activities. Further, the current presidential administration has substantially reduced the FDA’s workforce and may make further reductions, which may lead to disruptions and delays in the FDA’s review and oversight of our product candidates and impact the FDA’s ability to provide timely feedback on our development programs. Although it has been reported that there have not been reductions in workforce in the review or inspection divisions, any such reductions could extend review timelines, delay or prevent pre-approval inspections, and limit opportunities for FDA feedback on pending applications. It is difficult to predict how these executive actions and executive actions that may be taken under the current presidential administration may affect the FDA’s ability to exercise its regulatory authority. If these executive actions impose constraints on the FDA’s ability to engage in oversight and implementation activities in the normal course, our business may be negatively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prospects for successful development and commercialization of our partnered products and product candidates are dependent upon the research, development and marketing efforts of our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control over the resources, time and effort that our collaborators may devote to our programs and limited access to information regarding or resulting from such programs. We are dependent on our collaborators, including Neurocrine Biosciences, to fund and conduct the research and any clinical development of product candidates under our agreements with each of them, and for the successful regulatory approval, marketing and commercialization of one or more of such products or product candidates. Such success will be subject to significant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recognize revenue from successful collaborations may be impaired by multiple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shift its priorities and resources away from our programs due to a change in business strategies, or a merger, acquisition, sale or downsizing of its company or business unit;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cease development in therapeutic areas which are the subject of our strategic alliances;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change the success criteria for a particular program or product candidate thereby delaying or ceasing development of such program or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delay in initiation of certain development activities by a collaborator will also delay payment of milestones tied to such activities, thereby impacting our ability to fund our own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could develop a product that competes, either directly or indirectly, with our current or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commercialization obligations may not commit sufficient financial or human resources to the marketing, distribution or sale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manufacturing responsibilities may encounter regulatory, resource or quality issues and be unable to meet demand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exercise its rights under the agreement to terminate our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not adequately protect the intellectual property rights associated with a product or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use our proprietary information or intellectual property in such a way as to invite litigation from a third-party;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could be required to limit the size and scope of one or more of our independent programs or increase our expenditures and seek additional funding which may not be available on acceptable terms or at all, and our business could be materially and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establishing new collaborations or maintaining our existing alliances, which could adversely affect our ability to develop product candidates and commercialize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we engage with other biotechnology and pharmaceutical companies to discuss potential in-licensing, out-licensing, alliances and other strategic transactions. The advancement of our product candidates and development programs and the potential commercialization of our current and future product candidates will require substantial additional cash to fund expenses. Additionally, there are certain jurisdictions where a collaborator may be able to realize the market potential of our product candidates better than us. For these or other reasons, we may decide to collaborate with additional pharmaceutical and biotechnology companies with respect to development and potential commercialization.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the negotiation process is time-consuming and complex. Moreover, we may not be successful in our efforts to establish other collaborations or other alternative arrangements for any current or future product candidates because our research and development pipeline may be insufficient, our current or future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existing collaboration agreements are terminated, or if we determine that entering into other product collaborations is in our best interest but we either fail to enter into, delay in entering into or fail to maintain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certain of our current or future product candidates may be terminated or delayed;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expenditures related to development or commercialization of any such product candidates would increase significantly and we may need to seek additional financing sooner than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hire additional employees or otherwise develop expertise, such as clinical, regulatory, sales and marketing expertise, some of which we do not currently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delay commercialization or reduce the scope of any sales or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bear all of the risk related to the development or commercialization of any such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competitiveness of any product that is commercialized could be reduced.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reliance on third parties to manufacture our product candidates may increase the risk that we will not have sufficient quantities of our raw materials, APIs or drug products when needed or at an acceptable cost.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manufacturing or testing facilities for the production of clinical or commercial quantities of our product candidates, and we lack the resources and the capabilities to do so. As a result, we currently rely on third parties for the manufacture and supply of the active pharmaceutical ingredients, or APIs, in our product candidates and the final drug product formulation for all of our product candidates that are being used in our clinical studies and pre-clinical studies as well as packaging, labelling and distribution of clinical study supplies. Our current strategy is to outsource all manufacturing of our product candidates to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rely on our collaborators, either directly or through CMOs, to manufacture product candidates licensed to them or to work with CMOs to produce sufficient quantities of materials required for the manufacture of our product candidates for pre-clinical testing and clinical studies and intend to do so for the commercial manufacture of our products. If we, or our collaborators, are unable to arrange for such third-party manufacturing sources, or fail to do so on commercially reasonable terms, we, or our collaborators, may not be able to successfully produce sufficient supply of a product candidate or we, or our collaborators, may be delayed in doing so. Such failure or substantial delay could delay our clinical studies and materially harm our business. 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contamination and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third-party manufacturers entails risks to which we would not be subject if we manufactured product candidates ourselves, including reliance on these third parties for regulatory compliance and quality control and assurance, volume production, the possibility of breach of the manufacturing agreement by the third-party because of factors beyond our control (including a failure to synthesize and manufacture our product candidates in accordance with our product specifications), the impact of industry consolidation, including business combinations involving such third parties, and the possibility of termination or nonrenewal of the agreement by the third-party at a time that is costly or damaging to us. Although we believe that there are several potential alternative manufacturers who could manufacture our product candidates, we may incur added costs and delays in identifying and qualifying any such replacement.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typically order raw materials, APIs and drug product and services on a purchase order basis and do not enter into long-term dedicated capacity or minimum supply arrangements with any commercial manufacturer. There is no assurance that we will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 FDA, EMA and other foreign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EMA and other foreign regulatory agencies. They are also subject to pre-approval inspections and periodic unannounced inspections by the FDA, EMA and other foreign regulatory agencies. Any subsequent discovery of problems with a product, or a manufacturing or laboratory facility used by us or our collaborators, may result in restrictions on the product or on the manufacturing or laboratory facility, including product recall, suspension of manufacturing, importation bans, product seizure or a voluntary withdrawal of the drug from the market. Any failure by our, or our collaborators’, third-party manufacturers to comply with cGMP or any failure to deliver sufficient quantities of product candidates in a timely manner, could lead to a delay in, or failure to obtain, regulatory approval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third-party manufacturers, we rely on other third parties to store, test, monitor, label, package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If any third-party manufacturer of our product candidates is unable to increase the scale of its production of our product candidates, and/or increase the product yield of its manufacturing, then our costs and time to manufacture the product may increase and commercialization may be delayed.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produce sufficient quantities to meet the demand for clinical studies and, if approved, subsequent commercialization of our product candidates, our third-party manufacturers will be required to increase their production and optimize their manufacturing processes while maintaining the quality of the product.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requirements for registration and validation and the demands of clinical studies or market demands, which could delay regulatory approvals and decrease our ability to generate profits and have a material adverse impact on our business and results of operation.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 parties to conduct our pre-clinical and clinical studies. If these third parties do not successfully carry out their contractual duties, including to comply with applicable laws and regulations or meet expected deadlines,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collaborators, to monitor, support, conduct and/or oversee pre-clinical and clinical studies of our current and future product candidates. As a result, we have less control over the timing and cost of these studies and the ability to recruit study subjects than if we conducted these studies with our own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maintain or enter into agreements with these third parties on acceptable terms, or if any such engagement is terminated prematurely, we may be unable to enroll patients on a timely basis or otherwise conduct our studies in the manner we anticipate. In addition, there is no guarantee that these third parties will devote adequate time and resources to our studies or perform as required by our contract or in accordance with regulatory requirements, including maintenance of clinical study information regarding our product candidates. If these third parties fail to meet expected deadlines, fail to transfer to us any regulatory information in a timely manner, fail to adhere to protocols or fail to act in accordance with regulatory requirements to ensure the quality and integrity of the data generated by them or our agreements with them, or if they otherwise perform in a substandard manner or in a way that compromises the quality or accuracy of their activities or the data they obtain, then clinical studies of our future product candidates may be extended or delayed with additional costs incurred, or our data may be rejected by the FDA, EMA or other foreign regulatory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Ultimately, we are responsible for ensuring that each of our clinical studies is conducted in accordance with the applicable protocol, legal, regulatory and scientific standards, and our reliance on third parties does not relieve us of our regulatory responsibilities.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our CROs and CMOs are required to comply with current good laboratory practices, or cGLP, cGCP and cGMP regulations and guidelines enforced by the FDA, the competent authorities of the member states of the European Economic Area and comparable foreign regulatory authorities for products in clinical development. Regulatory authorities enforce these regulations through periodic inspections of clinical study sponsors, principal investigators, clinical study sites, manufacturing facilities, nonclinical testing facilities and other contractors. If we or any of our CROs or CMOs fail to comply with these applicable regulations, the clinical data generated in our non-clinical and clinical studies may be deemed unreliable and our submission of marketing applications may be delayed or the FDA, EMA or another foreign regulatory authority may require us to perform additional clinical studies before approving our marketing applications. Upon inspection, the FDA, EMA or another foreign regulatory authority could determine that any of our clinical studies fail or have failed to comply with applicable cGCP regulations. In addition, our clinical studies must be conducted with product produced under the cGMP regulations enforced by the FDA, EMA and other foreign regulatory authorities, and our clinical studies may require a large number of test subjects. Our failure to comply with cGLP, cGCP and cGMP regulations may require us to repeat clinical studies or manufacture additional batches of drug, which would delay the regulatory approval process and increase our costs. Moreover, our business may be implicated if any of our CROs or CMOs violates federal or state fraud and abuse or false claims laws and regulations or healthcare privacy and security laws, or if this is asserted or reported to have occurred.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clinical study sites terminates for any reason, we may experience the loss of follow-up information on patients enrolled in our ongoing clinical studies unless we are able to transfer the care of those patients to another qualified clinical study site. Further, if our relationship with any of our CROs or CMOs is terminated, we may be unable to enter into arrangements with alternative CROs or CMOs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foreign CROs and CMOs in some jurisdictions, such as China, may be or may become subject to U.S. legislation, sanctions, trade restrictions and other regulatory requirements which may increase the cost of and cause delays for our pre-clinical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CROs, CMOs or other suppliers can involve substantial cost and require extensive management time and focus. The process of transitioning to new partners often necessitates significant planning, coordination, and oversight to ensure that ongoing projects are not disrupted and that quality and regulatory standards are maintained. Any delays or issues during this transition period could adversely affect timelines, increase operational risks, and potentially impact the overall success of our development and commercialization efforts. In addition, there is a natural transition period when a new CRO, CMO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could be unsuccessful in obtaining or maintaining adequate patent protection for one or more of our product candidates or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part, on our ability to obtain and maintain patent, trademark and trade secret protection of our product candidates and future products, their respective components, formulations, methods used to manufacture them and methods of treatment, as well as successfully defending against possible third-party challenges. We evaluate our global patent portfolio in the ordinary course of business to enhance patent protection in areas of our strategic focus and in key markets for our product candidates and future products and may abandon existing patents or patent applications related to terminated development programs, areas, or markets of low strategic importance. Patents might not issue with respect to our patent applications that are currently pending, and issued patents might later be found to be invalid or unenforceable, be interpreted in a manner that does not adequately protect our product candidates or any future products, or fail to otherwise provide us with any competitive advantage. The patent position of biotechnology and pharmaceutical companies is generally highly uncertain because it involves complex legal and factual considerations that may be impacted by changes in the law. In addition, the standards applied by the U.S. Patent and Trademark Office, or USPTO, and foreign patent offices in issuing patents are not always applied uniformly or predictably, and also may be subject to changing law. Consequently, patents may not issue from our pending patent applications, or we may end up with patent claims of different scope in different jurisdictions. As such, we do not know the degree of future protection that we will have on our future products and proprietary technology, if any, and a failure to obtain adequate intellectual property protection with respect to our product candidates and future products, as well as other proprietary technology could have a material adverse impact on our business and ability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and/or patent applications will be due to be paid to the USPTO and various governmental patent offices outside of the U.S. in several stages over the lifetime of the patents and/or patent applications. The USPTO and foreign governmental patent offices require compliance with a number of procedural, documentary, fee payment and other provisions during the patent application and maintenance process. We employ reputable law firms and other professionals to help us comply with respect to the patents and patent applications that we own or co-own, and we rely upon collaborators to effect compliance with such requirements with respect to some patents and patent applications that we out-license and/or in-license.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may not permit us to maintain our competitive advantage. The following non-exhaustive examples are by way of illustration only: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our product candidates or future products but that are not covered by the claims of the patents that we own, co-own or may in-license;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that we own, co-own or may in-license may not provide us with any competitive advantages,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certain compounds many years before we obtain marketing approval for products containing such compounds, and because patents have a limited life, the term(s) may expire prior to or soon after the commercial sale of the related product, thereby limiting the commercial value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or file upon the inventions covered by the patents or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will not issue as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scope of protection of any patent issuing from our patent applications, including whether the patent applications that we own will result in patents with claims directed to our product candidates or future products or uses thereof in the United States or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develop additional proprietary technologies that are patentable and/or may fail to adequately protect such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U.S., or we may fail to apply for or obtain adequate intellectual property protection in all the jurisdictions in which we operate;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for example by preventing us from commercializing our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enforcing and defending patents on product candidates in all countries throughout the world would be prohibitively expensive, and our intellectual property rights in some countries outside the U.S. can be less extensive than those in the U.S. In addition, the laws of some foreign countries may not protect intellectual property rights to the same extent as the laws in the U.S. Consequently, we may not be able to prevent third parties from practicing our inventions in all countries outside the U.S., or from offering to sell, selling, using, making or importing products made using our inventions in and into the U.S.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future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enforcing and defending intellectual property rights in certain foreign countries. The legal systems of some countries, particularly certain developing countries, do not favor the enforcement of patents, trade secrets and other intellectual property rights, particularly those relating to biotechnology and pharmaceutical products, which could make it difficult for us to stop the infringement of our patents or marketing of competing products in violation of our proprietary rights generally. </w:t>
      </w:r>
    </w:p>
    <w:p>
      <w:pPr>
        <w:pStyle w:val="TextBody"/>
        <w:bidi w:val="0"/>
        <w:spacing w:before="120" w:after="283"/>
        <w:jc w:val="left"/>
        <w:rPr>
          <w:rFonts w:ascii="Times New Roman" w:hAnsi="Times New Roman"/>
          <w:sz w:val="20"/>
        </w:rPr>
      </w:pPr>
      <w:r>
        <w:rPr>
          <w:rFonts w:ascii="Times New Roman" w:hAnsi="Times New Roman"/>
          <w:color w:val="000000"/>
          <w:sz w:val="20"/>
        </w:rPr>
        <w:t>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our intellectual property</w:t>
      </w:r>
      <w:r>
        <w:rPr>
          <w:rFonts w:ascii="Arial" w:hAnsi="Arial"/>
          <w:color w:val="000000"/>
          <w:sz w:val="24"/>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involved in lawsuits to enforce our patents or the patents of our licensors, which could be expensive, time consuming and unsuccessful, and those patents could be found invalid or unenforceable if challenged.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intellectual property rights could be challenged or invalidated despite measures we or our licensors take to obtain patent and other intellectual property protection with respect to our product candidates and proprietary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licensors. To stop infringement or unauthorized use, we may be required to file infringement claims, which can be expensive and time-consuming. In addition, in an infringement proceeding, a court may decide that a patent in suit is not valid or is not enforceable. In such cases, third parties may be able to use our technology without paying licensing fees or royalties. Even if the validity of our patents is upheld, a court may refuse to stop the other party from using the technology at issue on the ground that the other party’s activities are not covered by our patents or that the legal requirements for imposing injunctive relief are not met. In addition, third parties may affirmatively challenge our rights to, or the scope or validity of, our patents. An adverse result in any litigation or post-grant proceeding could put additional patents at risk of being invalidated, held unenforceable or interpreted narrowly, and could put any of our patent applications at risk of not yielding an issued patent. Any efforts to enforce our intellectual property rights are likely to be costly and may divert the efforts of our scientific and management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if we were to initiate legal proceedings against a third-party to enforce a patent covering one of our product candidates or future products, the defendant could defend or counterclaim that our patent is invalid and/or unenforceable. In patent litigation in the U.S. and in some foreign countries, defendant defenses and counterclaims alleging invalidity and/or unenforceability are commonplace. Grounds for a validity challenge could be an alleged failure to meet any of several statutory requirements, for example, lack of novelty, obviousness, patent ineligibility, loss of priority claims, lack of written description, or lack of enablement. Grounds for an assertion of unenforceability could be an allegation that someone connected with prosecution of the patent knowingly withheld material information from the USPTO or an applicable foreign counterpart where such a duty to disclose exists, or made a misleading statement, during prosecution. Patents may be subject to challenge in multiple different ways. For example, administrative proceedings such as derivation proceedings, entitlement proceedings, ex parte reexamination, inter partes review, post-grant review, or opposition proceedings, provoked by third parties or initiated by the USPTO or any foreign patent authority may be used to challenge inventorship, ownership, claim scope, or validity of our patents or a patent of our licensor. An unfavorable outcome in any of these proceedings could require us to cease using the related technology or to attempt to license rights to it from the prevailing party. Our business could be harmed if the prevailing party does not offer us a license on commercially reasonable terms, if any license is offered at all. Litigation and/or other administrative proceedings may fail and, even if successful, may result in substantial costs and distract our management and other employees. Certain foreign countries may provide for compulsory licensing of our patent rights that would preclude us from enforcing our patents against a third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challenges to the validity of our patents or the patents of our licensors, for example, there might be prior art of which we and the patent examiner were unaware during prosecution. If a defendant were to prevail on a legal assertion of invalidity and/or unenforceability, we would lose at least part, and perhaps all, of the patent protection on a product candidate or future product. As another example, a litigant or the USPTO itself could challenge our patents on this basis even if we believe that we have conducted our patent prosecution in accordance with the duty of candor and in good faith. The outcome following such challenges is unpredictable. Even if a challenger does not prevail, our patent claims may be construed in a manner that would limit our ability to enforce such claims against the challenger and others. The cost of defending such a challenge, particularly in a foreign country, and any resulting loss of patent protection could have a material adverse impact on one or more of our product candidates and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protection and patent prosecution for some of our product candidates and future products is dependent on, and the ability to assert patents and defend them against claims of invalidity is maintained by,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and may be times in the future when certain patents that relate to our product candidates or any future products are controlled by our collaborators, including licensees, sublicensees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For example, currently the rights relating to the patent portfolio for certain selective Nav1.6 inhibitors and dual Nav1.2/1.6 inhibitors are exclusively licensed to Neurocrine Biosciences, and Neurocrine Biosciences has the first right to bring and control any action in connection with product infringement.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current or future collaborator with rights to file, prosecute, enforce and/or defend patents related to our product candidates or future products fails to appropriately prosecute and maintain patent protection for patents covering any of our product candidates, or if patents covering any of our product candidates or future products are asserted against infringers or defended against claims of invalidity or unenforceability in a manner which adversely affects such coverage, our ability to develop and commercialize any such product candidates or future products may be adversely affected and we may not be able to prevent competitors from making, using, importing, offering for sale, and/or selling competing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Claims that our product candidates or the sale, offer for sale, importation, manufacture, or use of our future products infringe the patent or other intellectual property rights of third parties could result in costly litigation, could require substantial time and money to resolve, even if litigation is avoided, and could prevent or delay us from developing or commercializing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upon our ability to develop product candidates and commercialize our future products, without infringing the intellectual property rights or other proprietary rights of others. Third parties might allege that we, or our collaborators, are infringing, misappropriating, or otherwise violating their intellectual property rights. Such third parties might resort to litigation against us or other parties we have agreed to indemnify, which litigation could be based on either existing intellectual property or intellectual property that arises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relevant patents or patent applications held by third parties will cover our product candidates at the time of launch and we may also fail to identify relevant patents or patent applications held by third parties that might be asserted to cover our product candidates. For example, U.S. applications filed before November 29, 2000, and certain applications filed after that date that were not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will be issued in the future. Additionally, pending patent applications and patents which have been published can, subject to certain limitations, be later amended in a manner that could cover our current or future products, if any, or their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coverage of patents is subject to interpretation by the courts, and the interpretation is not always uniform. If we were sued for patent infringement, we would need to demonstrate that our product candidates, our future products, or methods of use either do not infringe the patent claims of the relevant patent or that the patent claims are invalid or unenforceable, and we may not be able to do this. Proving invalidity may be difficult.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we may not have sufficient resources to bring these actions to a successful conclusion.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challenge the enforceability or validity of claims of a third party’s patent by requesting an administrative proceeding, for example, derivation proceedings, entitlement proceedings, ex parte reexamination, inter partes review, post-grant review, or opposition proceedings, before the USPTO or proceedings before any foreign patent authority. The costs of these administrative proceedings could be substantial and may consume our time or other resources. If we fail to obtain a favorable result in the USPTO or any foreign patent office, we may be exposed to litigation by a third party alleging that the patent may be infringed by our product candidates or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claims of patent infringement or other violations of intellectual property rights could be costly and time consuming, regardless of the outcome. Thus, even if we were to ultimately prevail, or to settle at an early stage, such litigation or threatened litigation could burden us with substantial unanticipated costs. In addition, litigation or threatened litigation could result in significant demands on the time and attention of our management team, distracting them from the pursuit of other company business. Claims that the selling, using, making, offering to sell, or importing, of our product candidates or future products infringe, misappropriate or otherwise violate third-party intellectual property rights could therefore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be able to sustain the costs of complex intellectual property litigation or proceedings more effectively than we can. In addition, the uncertainties associated with litigation could have a material adverse effect on our ability to raise the funds necessary to conduct our clinical studies, continue our internal research programs, in-license needed technology, or enter into strategic collaborations that would help us bring our product candidates to market.</w:t>
      </w:r>
    </w:p>
    <w:p>
      <w:pPr>
        <w:pStyle w:val="TextBody"/>
        <w:bidi w:val="0"/>
        <w:spacing w:before="240" w:after="283"/>
        <w:jc w:val="left"/>
        <w:rPr>
          <w:rFonts w:ascii="Times New Roman" w:hAnsi="Times New Roman"/>
          <w:sz w:val="20"/>
        </w:rPr>
      </w:pPr>
      <w:r>
        <w:rPr>
          <w:rFonts w:ascii="Times New Roman" w:hAnsi="Times New Roman"/>
          <w:b/>
          <w:i/>
          <w:color w:val="000000"/>
          <w:sz w:val="20"/>
        </w:rPr>
        <w:t>Unfavorable outcomes in intellectual property litigation could limit our research and development activities and/or our ability to commercialize certain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intellectual property litigation and/or other administrative proceedings will result in additional expense and distraction of our personnel. There is inevitable uncertainty in intellectual property litigation, and we could lose, even if the case against us is weak or flawed. An unfavorable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 If we are found to infringe a third-party’s intellectual property rights, we could be forced, including by court order, to cease developing, manufacturing or commercializing the infringing product candidate or future product. Alternatively, we may be required to obtain a license from such third-party in order to use the infringing technology and continue developing, manufacturing or marketing the infringing product candidate or future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if third parties successfully assert their intellectual property rights against us, we might be barred from using certain aspects of our technology or barred from developing and commercializing certain future products. Alternatively, we may be required to pay substantial damage awards to the plaintiff, including up to treble damages and attorneys’ fees if we are found to have willfully infringed a patent. As another alternative, we may be required to obtain a license from the intellectual property owner to continue our research and development programs or to market any resulting product. It is also possible that we may be required to modify or redesign our product candidates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or are required to seek a license from a third-party, we may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as a result of actual or threatened litigation. Further, we could be found liable for significant monetary damages as a result of claims of intellectual property infringement. In the future, we may receive offers to license and demands to license from third parties claiming that we are infringing their intellectual property or owe license fees and, even if such claims are without merit, we could fail to successfully avoid or settle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Neurocrine Biosciences or other collaborators license or otherwise acquire rights to intellectual property controlled by a third party in various circumstances, for example, where a product could not be developed or commercialized in a country without the third-party intellectual property rights or, where it is decided that it would be useful to acquire such third-party rights to develop or commercialize the product, they are eligible under our collaboration agreements to decrease payments payable to us on a product-by-product basis and, in certain cases, on a country-by-country basis. Any of the foregoing events could harm our business significantly.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breach any agreement under which we license the use, development and commercialization rights to our product candidates or technology from third parties,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existing or future license and other agreements, we are or may become subject to various obligations, including diligence obligations such as development and commercialization obligations, as well as potential milestone payments and other obligations. If we fail to comply with any of these obligations or otherwise breach our license agreements, our licensing partners may have the right to terminate the applicable license in whole or in part or convert an exclusive license to a non-exclusive license. Generally, the loss of any such license, or any license exclusivity thereunder, could materially harm our business, prospects, financial condition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prevent unauthorized disclosure of trade secrets and other proprietary information, our competitive position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patents, we rely on trade secrets, technical know-how and proprietary information concerning our discovery platform, business strategy and product candidates, which can be difficult to protect, in order to maintain our competitive position. In the course of our research and development activities and our business activities, we often rely on confidentiality agreements to protect our proprietary information. Such confidentiality agreements are used, for example, when we talk to vendors of laboratory, manufacturing, pre-clinical development or clinical development goods or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protect our trade secret information would be jeopardized, which would adversely affect our competitive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against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U.S. patent law, or laws in other countries, could increase the uncertainties and costs surrounding the prosecution of our patent applications and the enforcement or defense of our patents, thereby impairing our ability to protect our product candidates and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is heavily dependent on intellectual property, particularly patents. The patent positions of pharmaceutical and biopharmaceutical companies can be highly uncertain and involve complex legal and factual questions for which important legal principles remain unresolved. No consistent policy regarding the breadth of claims allowed in patents in these fields has emerged to date in the U.S. or other countries. In addition, Congress or other foreign legislative bodies may pass patent reform legislation that is unfavorable to us. For example, there have been recent changes regarding how patent laws are interpreted, and both the USPTO and Congress have recently made significant changes to the patent system. There have been U.S. Supreme Court decisions that indicate a distinctly negative view of some patents. The trend of these decisions along with resulting changes in patentability requirements being implemented by the USPTO could make it increasingly difficult for us to obtain, maintain and/or enforce patents on our products. We cannot accurately predict future changes in the interpretation of patent laws or changes to patent laws which might be enacted into law. Those changes may materially affect our patents, our ability to obtain patents, the costs to prosecute our patent applications and enforce our patents and/or the patents and applications of our collaborators. The patent situation in these fields outside the U.S. also has uncertainties. Changes in either the patent laws or in interpretations of patent laws in the U.S. and other countries may diminish the value of our intellectual property or narrow the scope of our patent protection. Accordingly, we cannot predict the breadth of claims that may be allowed or enforced in the patents we own or to which we have a license or third-party patents. As an example, European patent applications have the option, upon issuance of a patent, of becoming a Unitary Patent, which is subject to the jurisdiction of the Unitary Patent Court, or UPC. The option of a Unitary Patent and the creation of the UPC are significant changes in European patent practice. As the UPC is a new court system, there is little precedent for the court, increasing the uncertainty of any litigation in the UPC.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Intellectual property litigation and/or other administrative proceedings may lead to unfavorable publicity that harms our reputation and causes the market price of our common shares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course of any intellectual property litigation and/or other administrative proceeding, there could be public announcements of the initiation of the litigation or proceeding as well as results of hearings, rulings on motions, and other interim rulings in the litigation or proceeding.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protection under the Hatch-Waxman Act in the U.S. and similar foreign legislation by extending the patent terms for patents covering our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 candidates, if any, one or more U.S. patents may be eligible for limited patent term extension under the Hatch-Waxman Act. However, we may not be granted an extension if, for example, we fail to apply within applicable deadlines, fail to apply prior to expiration of relevant patents or otherwise fail to satisfy applicable requirements. Moreover, the applicable time period or the scope of patent protection afforded could be less than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patent term extension or the duration of any such extension is less than we request, the period during which we will have the right to exclusively market our product may be shortened and our competitors may obtain approval of competing products following our patent expiration, and our revenue could be reduced, possibly materially.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products are approved by the FDA, listing patents in the FDA's Approved Drug Products with Therapeutic Equivalence Evaluations (Orange Book) is mandatory, and the decision to list or not list a given patent in the Orange Book could give rise to allegations of antitrust or unfair competition liability, from the Federal Trade Commission, other government entities or private parties. In addition, we may be required by court order to delist patents from the Orange Book that are found to be improperly listed, which could impact our ability to take advantage of the benefits of the Hatch-Waxman Act, including the 30-month stay of generic approval.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trademarks are not adequately protected, we may not be able to build name recognition in our markets of interest,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trademarks, including 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patent offices in many foreign countries, third parties are given an opportunity to oppose pending trademark applications and to seek to cancel registered trademarks. Our trademarks may not survive such proceedings. If we do not secure registrations for our trademarks, we may encounter more difficulty in enforcing them against third parties than we otherwise would.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any name we have proposed to use with our product candidates in the United States, regardless of whether we have registered it or applied to register it as a trademark, must be approved by the FDA. Similar requirements exist in Europe and other foreign countries. If the FDA (or an equivalent administrative body in a foreign country) objects to any of our proposed product names, we may need to identify a suitable substitute name, for example, that would qualify under applicable trademark laws, not infringe the existing rights of third parties, and be acceptable to the FDA. This may require additional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could be potential trademark infringement claims brought by owners of other registered trademarks that incorporate variations of or allegedly cause confusion with our registered or unregistered trademarks.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If we are unable to establish name recognition based on our trademarks, we may not be able to compete effectively, and our business may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expanding use of artificial intelligence exposes us to operational, regulatory, legal, and ethical risks that could adversely affect our business, reputation,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increasingly develop, procure, and deploy artificial intelligence, or AI, and machine learning, or ML, technologies across our operations. While these tools may create efficiencies, they also introduce material risks related to data quality and bias, transparency and explainability, model drift and reliability, cybersecurity, intellectual property, privacy, discrimination, liability, and vendor/supply chain dependencies. Errors or bias in AI outputs, inadequate monitoring, or insufficient documentation could impair clinical development, pharmacovigilance, manufacturing quality, or commercial activities, resulting in delays, higher costs, product or batch actions, or reputational harm.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emergence of AI and other technologies may exacerbate other risks, including those related to regulation, litigation, compliance issues, ethical concerns, confidentiality, and data privacy or security. For example, regulatory uncertainty related to AI or other emerging technologies may require significant resources to adjust business practices to comply with developing laws.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Common Shares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shares may be volatile, and purchasers of our common shares could incur substantial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shares are listed on Nasdaq under the trading symbol “XENE.” The market price of our common shares has fluctuated in the past and is likely to be volatile in the future. As a result of this volatility, investors may experience losses on their investment in our common shares. The market price for our common shares may be influenced by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new products, product candidates or new uses for existing products, significant contracts, commercial relationships or capital commitments and the timing of these introductions or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by any of our collaborators regarding our product candidates they are developing, including announcements regarding clinical or regulatory decisions or developments of our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serious safety concerns related to the use of any of our products and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from clinical studies of our product candidates, leading to a decision or requirement to conduct additional pre-clinical testing or clinical studies or resulting in a decision to terminate the continued development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of clinical studies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obtain or delays in obtaining or maintaining product approvals or clearances from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or reimbursement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collaborations, licenses,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or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third parties, including our collaborators, CROs, clinical study sponsors and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Canada, the U.S. or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quarterly variations in our financial results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common shares by us, our insiders or our shareholders in the future, as well as the overall trading volume of our common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of, or our involvement in,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pandemics, epidemics or other public health crises on our business and the macroeconomic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including changes resulting from governmental actions, such as tariffs;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and other factors that may be unrelated to our operating performance or the operating performance of our competitors, including changes in market valuations of similar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Nasdaq and the biopharmaceutical industry in particular, have from time to time experienced volatility that often has been unrelated to the operating performance of the underlying companies. Fluctuating inflation and interest rates, for example, can result in significant volatility.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sales and issuances of our common shares or securities convertible into or exchangeable for common shares would cause our shareholders to incur dilution and could cause the market price of our common shares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shares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equity incentive plans, our compensation committee (or a subset or delegate thereof) is authorized to grant equity-based incentive awards to our employees, directors and consultants. Future stock option grants and issuances of common shares under our stock-based compensation plans will result in dilution to all shareholders and may have an adverse effect on the market price of our common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the future, we may issue additional common shares, preferred shares, or other equity or debt securities convertible into common shares in connection with a financing, collaboration agreement, acquisition, litigation settlement, employee arrangements or otherwise. We may also issue additional common shares upon the exercise of pre-funded warrants that we have issued from time to time. Any such issuance, including any issuances pursuant to our “at-the-market” equity offering program under our sales agreement with Jefferies and Stifel, could result in substantial dilution to our existing shareholders and could cause the market price of our common shares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governed by the corporate and securities laws of Canada which in some cases have a different effect on shareholders than the corporate laws of Delaware and U.S. securities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governed by the Canada Business Corporations Act, or CBCA, and other relevant laws, which may affect the rights of shareholders differently than those of a company governed by the laws of a U.S. jurisdiction, and may, together with our articles and by-laws,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holders of 5% or more of our shares that carry the right to vote at a meeting of shareholders can requisition a special meeting of shareholders, whereas such right does not exist under the DGCL. In addition, our board of directors is responsible for appointing the members of our management team and certain provisions of the CBCA and our articles and by-laws may frustrate or prevent any attempts by our shareholders to replace or remove our current management by making it more difficult for shareholders to replace members of our board of directors. Certain of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cannot amend our articles unless such amendment is approved by shareholders holding at least two-thirds of the shares entitled to vote on such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must give advance notice to nominate directors or to submit proposals for consideration at shareholders’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Canadian corporate and securities laws generally require, subject to certain exceptions, a tender offer (also known as a take-over bid) to remain open for a minimum of 105 days and that more than 50% of the outstanding securities not owned by the offeror be tendered before the offeror may take up the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 thereby depressing the market price of our common shares. </w:t>
      </w:r>
    </w:p>
    <w:p>
      <w:pPr>
        <w:pStyle w:val="TextBody"/>
        <w:bidi w:val="0"/>
        <w:spacing w:before="240" w:after="283"/>
        <w:jc w:val="left"/>
        <w:rPr>
          <w:rFonts w:ascii="Times New Roman" w:hAnsi="Times New Roman"/>
          <w:sz w:val="20"/>
        </w:rPr>
      </w:pPr>
      <w:r>
        <w:rPr>
          <w:rFonts w:ascii="Times New Roman" w:hAnsi="Times New Roman"/>
          <w:b/>
          <w:i/>
          <w:color w:val="000000"/>
          <w:sz w:val="20"/>
        </w:rPr>
        <w:t>U.S. civil liabilities may not be enforceable against us, our directors, or our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governed by the CBCA and our principal place of business is in British Columbia, Canada. Many of our directors and officers reside outside of the U.S., and all or a substantial portion of their assets as well as a substantial portion of our assets are located outside the U.S. As a result, it may be difficult for investors to effect service of process within the U.S. upon us and certain of our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at risk of securities class action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class action litigation has often been brought against a company following a decline in the market price of its securities. This risk is especially relevant for us because biotechnology companies have experienced significant share price volatility in recent years. If we face such litigation, it could result in substantial costs and a diversion of management’s attention and resources, which could harm our business. In addition, an increase in litigation against biotechnology companies may make it more difficult and more expensive for us to obtain director and officer liability insurance, and we may be required to accept reduced policy limits and coverage or incur substantially higher costs to obtain the same or similar coverage.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management has broad discretion over the use of our cash and we may not use our cash effectively, which could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has broad discretion in the application of our cash resources. Shareholders may not agree with our decisions, and our use of our cash resources may not improve our results of operation or enhance the value of our common shares. Our failure to apply these funds effectively could have a material adverse effect on our business, delay the development of our product candidates and cause the market price of our common shares to decline. In addition, pending their use, they may be placed in investments that do not produce significant income or that may lose value.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anticipate paying any cash dividends on our common shares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shares in the foreseeable future. We currently intend to retain all of our future earnings, if any, to finance the growth and development of our business. As a result, capital appreciation, if any, of our common shares may be investors’ sole source of gain for the foreseeable future. </w:t>
      </w:r>
    </w:p>
    <w:p>
      <w:pPr>
        <w:pStyle w:val="TextBody"/>
        <w:bidi w:val="0"/>
        <w:spacing w:before="240" w:after="283"/>
        <w:jc w:val="left"/>
        <w:rPr>
          <w:rFonts w:ascii="Times New Roman" w:hAnsi="Times New Roman"/>
          <w:sz w:val="20"/>
        </w:rPr>
      </w:pPr>
      <w:r>
        <w:rPr>
          <w:rFonts w:ascii="Times New Roman" w:hAnsi="Times New Roman"/>
          <w:b/>
          <w:i/>
          <w:color w:val="000000"/>
          <w:sz w:val="20"/>
        </w:rPr>
        <w:t>Reports published by analysts, including projections in those reports that differ from our actual results, could adversely affect the price and trading volume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shares depends in part on the research and reports that industry or securities analysts publish about us or our business. If one or more of the analysts who cover us issues an adverse opinion about our company, our common share price would likely decline. If one or more of these analysts ceases research coverage of us or fails to regularly publish reports on us, we could lose visibility in the financial markets, which in turn could cause the price of our common shares or trading volume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There is no public market for our outstanding pre-funded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public trading market for our outstanding pre-funded warrants and we do not expect a market to develop. In addition, we do not intend to list the outstanding pre-funded warrants on Nasdaq or any other national securities exchange or nationally recognized trading system. Without an active trading market, the liquidity of the outstanding pre-funded warrants will be limited.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credit and financial markets have at times experienced extreme disruptions, characterized by increased market volatility, increased rates of inflation, declines in consumer confidence, declines in economic growth, increases in unemployment rates, and uncertainty about economic stability. Current and future global conflicts, such as those between Ukraine and Russia and in the Middle East, have created, and may in future create, volatility in the capital markets and may have further global economic consequences. If the equity and credit markets were to deteriorate significantly in the future, including as a result of a pandemic, political unrest or war, or further instability of the global banking sector, it may make any necessary equity or debt financing more difficult to complete, more costly, and more dilutive. Failure to secure any necessary financing in a timely manner and on favorable terms could have a material adverse effect on our growth strategy, financial performance and the market price of our common shares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and expect to continue to incur, significant costs as a result of laws, regulations and investor-driven standards relating to corporate governance and other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regulations affecting public companies, including provisions of the Dodd-Frank Wall Street Reform and Consumer Protection Act, Sarbanes-Oxley Act of 2002, the CBCA, applicable Canadian securities laws, and rules adopted or proposed by the SEC, Nasdaq, Corporations Canada and applicable Canadian securities regulators have resulted in, and will continue to result in, significant compliance costs to us as we evaluate the implications of these rules and respond to their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various reporting and other requirements applicable to public companies also requires considerable time and attention of management. In the future, if we are not able to issue an evaluation of our internal control over financial reporting, as required, or we or our independent registered public accounting firm determine that our internal control over financial reporting is not effective, this shortcoming could have an adverse effect on our business and financial results and the price of our common shares could be negatively affected. New rules could make it more difficult or more costly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and retain qualified persons to serve on our board of directors and board committees, and as our executive officers. We cannot predict or estimate the total amount of the costs we may incur or the timing of such costs to comply with these rules and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of the United States, Canadian securities regulators regularly pursue various rulemaking efforts with respect to ESG matters, which has resulted in the adoption of new laws and regulations. A variety of organizations also measure the performance of companies on such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If additional rules regarding ESG matters are formally adopted or if investors continue to increase their focus on ESG matters, we could incur substantially higher costs in our efforts to comply and cannot be certain that our efforts will be viewed as adequate by regulators or by such investors. </w:t>
      </w:r>
    </w:p>
    <w:p>
      <w:pPr>
        <w:pStyle w:val="TextBody"/>
        <w:bidi w:val="0"/>
        <w:spacing w:before="360" w:after="283"/>
        <w:jc w:val="left"/>
        <w:rPr>
          <w:rFonts w:ascii="Times New Roman" w:hAnsi="Times New Roman"/>
          <w:sz w:val="20"/>
        </w:rPr>
      </w:pPr>
      <w:bookmarkStart w:id="16" w:name="item_5_other_information"/>
      <w:bookmarkEnd w:id="16"/>
      <w:r>
        <w:rPr>
          <w:rFonts w:ascii="Times New Roman" w:hAnsi="Times New Roman"/>
          <w:b/>
          <w:color w:val="000000"/>
          <w:sz w:val="20"/>
        </w:rPr>
        <w:t>Item 5. Other Information</w:t>
      </w:r>
      <w:r>
        <w:rPr>
          <w:rFonts w:ascii="Times New Roman" w:hAnsi="Times New Roman"/>
          <w:color w:val="FF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29, 2026, Dr. Christopher Kenney, the Company’s Chief Medical Officer, adopted a trading plan intended to satisfy the requirements of Rule 10b5-1(c) under the Securities Exchange Act of 1934, as amended (the “Exchange Act”). The plan provides that commencing August 28, 2026, Dr. Kenney may sell up to an aggregate of 26,418 of the Company’s common shares. The plan terminates on the earlier of the date all shares under the trading plan are sold or June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30, 2026, Andrea DiFabio, the Company’s Chief Legal Officer, adopted a trading plan intended to satisfy the requirements of Rule 10b5-1(c) under the Exchange Act. The plan provides that commencing September 29, 2026, Ms. DiFabio may sell up to an aggregate of 25,402 of the Company’s common shares. The plan terminates on the earlier of the date all shares under the trading plan are sold or July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to be sold in accordance with each of these trading plans is subject to various minimum price targets, or limit prices, being met on each applicable predetermined sale date. In the event the minimum price targets are not met on the applicable predetermined sale date or on any subsequent predetermined sale date, the corresponding shares shall not be sold.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6_exhibits"/>
      <w:bookmarkEnd w:id="1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 Exhibits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736"/>
        <w:gridCol w:w="146"/>
        <w:gridCol w:w="146"/>
        <w:gridCol w:w="5473"/>
        <w:gridCol w:w="146"/>
        <w:gridCol w:w="218"/>
        <w:gridCol w:w="293"/>
        <w:gridCol w:w="146"/>
        <w:gridCol w:w="757"/>
        <w:gridCol w:w="146"/>
        <w:gridCol w:w="631"/>
        <w:gridCol w:w="146"/>
        <w:gridCol w:w="1221"/>
      </w:tblGrid>
      <w:tr>
        <w:trPr/>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21" w:type="dxa"/>
            <w:tcBorders/>
            <w:shd w:fill="FFFFFF" w:val="clear"/>
            <w:vAlign w:val="center"/>
          </w:tcPr>
          <w:p>
            <w:pPr>
              <w:pStyle w:val="TableContents"/>
              <w:bidi w:val="0"/>
              <w:spacing w:before="0" w:after="283"/>
              <w:ind w:left="0" w:right="0" w:firstLine="90"/>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90"/>
              <w:jc w:val="left"/>
              <w:rPr>
                <w:rFonts w:ascii="Times New Roman" w:hAnsi="Times New Roman"/>
                <w:b/>
                <w:color w:val="000000"/>
                <w:sz w:val="16"/>
              </w:rPr>
            </w:pPr>
            <w:r>
              <w:rPr>
                <w:rFonts w:ascii="Times New Roman" w:hAnsi="Times New Roman"/>
                <w:b/>
                <w:color w:val="000000"/>
                <w:sz w:val="16"/>
              </w:rPr>
              <w:b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83"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47"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br/>
              <w:t>Incorporated by Reference</w:t>
            </w:r>
          </w:p>
        </w:tc>
      </w:tr>
      <w:tr>
        <w:trPr/>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2014</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Articles of Amendment to the Articles of the Company, creating the Series 1 Preferred Shares.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2018</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2014</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12, 2026</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2025 Inducement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13, 2026</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Restricted Share Unit Award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2026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 2026</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31_1.htm">
              <w:r>
                <w:rPr>
                  <w:rStyle w:val="InternetLink"/>
                  <w:rFonts w:ascii="Times New Roman" w:hAnsi="Times New Roman"/>
                  <w:color w:val="0000FF"/>
                  <w:sz w:val="20"/>
                  <w:u w:val="single"/>
                </w:rPr>
                <w:t>Certification of Chief Executive Officer pursuant to Rule 13a-14(a).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31_2.htm">
              <w:r>
                <w:rPr>
                  <w:rStyle w:val="InternetLink"/>
                  <w:rFonts w:ascii="Times New Roman" w:hAnsi="Times New Roman"/>
                  <w:color w:val="0000FF"/>
                  <w:sz w:val="20"/>
                  <w:u w:val="single"/>
                </w:rPr>
                <w:t>Certification of Chief Financial Officer pursuant to Rule 13a-14(a).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32_1.htm">
              <w:r>
                <w:rPr>
                  <w:rStyle w:val="InternetLink"/>
                  <w:rFonts w:ascii="Times New Roman" w:hAnsi="Times New Roman"/>
                  <w:color w:val="0000FF"/>
                  <w:sz w:val="20"/>
                  <w:u w:val="single"/>
                </w:rPr>
                <w:t>Certification of Chief Executive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32_2.htm">
              <w:r>
                <w:rPr>
                  <w:rStyle w:val="InternetLink"/>
                  <w:rFonts w:ascii="Times New Roman" w:hAnsi="Times New Roman"/>
                  <w:color w:val="0000FF"/>
                  <w:sz w:val="20"/>
                  <w:u w:val="single"/>
                </w:rPr>
                <w:t>Certification of Chief Financial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spacing w:before="40" w:after="12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8"/>
        </w:rPr>
        <w:t>Indicates management contract or compensatory plan.</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8"/>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609" w:type="dxa"/>
        <w:jc w:val="left"/>
        <w:tblInd w:w="0" w:type="dxa"/>
        <w:tblLayout w:type="fixed"/>
        <w:tblCellMar>
          <w:top w:w="28" w:type="dxa"/>
          <w:left w:w="28" w:type="dxa"/>
          <w:bottom w:w="28" w:type="dxa"/>
          <w:right w:w="28" w:type="dxa"/>
        </w:tblCellMar>
      </w:tblPr>
      <w:tblGrid>
        <w:gridCol w:w="1846"/>
        <w:gridCol w:w="40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XENON PHARMACEUTICALS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Mortimer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fis_certification"/>
      <w:bookmarkStart w:id="20" w:name="xene-ex31_1.htm"/>
      <w:bookmarkStart w:id="21" w:name="ksxeneex31_1"/>
      <w:bookmarkEnd w:id="19"/>
      <w:bookmarkEnd w:id="20"/>
      <w:bookmarkEnd w:id="21"/>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 Ian Mortimer,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have reviewed this Quarterly Report on Form 10-Q of Xenon Pharmaceuticals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72" w:type="dxa"/>
        <w:jc w:val="left"/>
        <w:tblInd w:w="0" w:type="dxa"/>
        <w:tblLayout w:type="fixed"/>
        <w:tblCellMar>
          <w:top w:w="28" w:type="dxa"/>
          <w:left w:w="28" w:type="dxa"/>
          <w:bottom w:w="28" w:type="dxa"/>
          <w:right w:w="28" w:type="dxa"/>
        </w:tblCellMar>
      </w:tblPr>
      <w:tblGrid>
        <w:gridCol w:w="1846"/>
        <w:gridCol w:w="109"/>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Mortimer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fis_certification_2"/>
      <w:bookmarkStart w:id="23" w:name="xene-ex31_2.htm"/>
      <w:bookmarkStart w:id="24" w:name="ksxeneex31_2"/>
      <w:bookmarkEnd w:id="22"/>
      <w:bookmarkEnd w:id="23"/>
      <w:bookmarkEnd w:id="24"/>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 Thomas P. Kelly,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have reviewed this Quarterly Report on Form 10-Q of Xenon Pharmaceuticals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127" w:type="dxa"/>
        <w:jc w:val="left"/>
        <w:tblInd w:w="0" w:type="dxa"/>
        <w:tblLayout w:type="fixed"/>
        <w:tblCellMar>
          <w:top w:w="28" w:type="dxa"/>
          <w:left w:w="28" w:type="dxa"/>
          <w:bottom w:w="28" w:type="dxa"/>
          <w:right w:w="28" w:type="dxa"/>
        </w:tblCellMar>
      </w:tblPr>
      <w:tblGrid>
        <w:gridCol w:w="1846"/>
        <w:gridCol w:w="109"/>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0" w:after="160"/>
        <w:jc w:val="left"/>
        <w:rPr/>
      </w:pPr>
      <w:r>
        <w:rPr/>
        <w:t> </w:t>
      </w:r>
    </w:p>
    <w:p>
      <w:pPr>
        <w:pStyle w:val="TextBody"/>
        <w:bidi w:val="0"/>
        <w:spacing w:before="8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xene-ex32_1.htm"/>
      <w:bookmarkStart w:id="26" w:name="ksxeneex32_1"/>
      <w:bookmarkEnd w:id="25"/>
      <w:bookmarkEnd w:id="26"/>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bookmarkStart w:id="27" w:name="fis_certification_3"/>
      <w:bookmarkEnd w:id="27"/>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Xenon Pharmaceuticals Inc. (the “Company”) on Form 10-Q for the quarter ended June 30, 2026, as filed with the Securities and Exchange Commission on the date hereof (the “Report”), I, Ian Mortimer, President and Chief Executive Officer (Principal Executive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572" w:type="dxa"/>
        <w:jc w:val="left"/>
        <w:tblInd w:w="0" w:type="dxa"/>
        <w:tblLayout w:type="fixed"/>
        <w:tblCellMar>
          <w:top w:w="28" w:type="dxa"/>
          <w:left w:w="28" w:type="dxa"/>
          <w:bottom w:w="28" w:type="dxa"/>
          <w:right w:w="28" w:type="dxa"/>
        </w:tblCellMar>
      </w:tblPr>
      <w:tblGrid>
        <w:gridCol w:w="1846"/>
        <w:gridCol w:w="109"/>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Ian Mortimer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bookmarkStart w:id="28" w:name="fis_exhibit_32_2"/>
      <w:bookmarkStart w:id="29" w:name="d564546dex322_htm"/>
      <w:bookmarkStart w:id="30" w:name="eolpage87"/>
      <w:bookmarkEnd w:id="28"/>
      <w:bookmarkEnd w:id="29"/>
      <w:bookmarkEnd w:id="30"/>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xene-ex32_2.htm"/>
      <w:bookmarkStart w:id="32" w:name="ksxeneex32_2"/>
      <w:bookmarkEnd w:id="31"/>
      <w:bookmarkEnd w:id="32"/>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bookmarkStart w:id="33" w:name="fis_certification_4"/>
      <w:bookmarkEnd w:id="33"/>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Xenon Pharmaceuticals Inc. (the “Company”) on Form 10-Q for the quarter ended June 30, 2026, as filed with the Securities and Exchange Commission on the date hereof (the “Report”), I, Thomas P. Kelly, Chief Financial Officer (Principal Financial and Accounting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87" w:type="dxa"/>
        <w:jc w:val="left"/>
        <w:tblInd w:w="0" w:type="dxa"/>
        <w:tblLayout w:type="fixed"/>
        <w:tblCellMar>
          <w:top w:w="28" w:type="dxa"/>
          <w:left w:w="28" w:type="dxa"/>
          <w:bottom w:w="28" w:type="dxa"/>
          <w:right w:w="28" w:type="dxa"/>
        </w:tblCellMar>
      </w:tblPr>
      <w:tblGrid>
        <w:gridCol w:w="1906"/>
        <w:gridCol w:w="109"/>
        <w:gridCol w:w="406"/>
        <w:gridCol w:w="3766"/>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0" w:after="16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2313/000117184314005910/exh_31.htm" TargetMode="External"/><Relationship Id="rId3" Type="http://schemas.openxmlformats.org/officeDocument/2006/relationships/hyperlink" Target="https://www.sec.gov/Archives/edgar/data/1582313/000156459018006921/xene-ex31_8.htm" TargetMode="External"/><Relationship Id="rId4" Type="http://schemas.openxmlformats.org/officeDocument/2006/relationships/hyperlink" Target="https://www.sec.gov/Archives/edgar/data/1582313/000117184314005910/exh_32.htm" TargetMode="External"/><Relationship Id="rId5" Type="http://schemas.openxmlformats.org/officeDocument/2006/relationships/hyperlink" Target="https://www.sec.gov/Archives/edgar/data/1582313/000119312526104199/d97906dex41.htm" TargetMode="External"/><Relationship Id="rId6" Type="http://schemas.openxmlformats.org/officeDocument/2006/relationships/hyperlink" Target="https://www.sec.gov/Archives/edgar/data/1582313/000119312526152834/xene-ex10_1.htm" TargetMode="External"/><Relationship Id="rId7" Type="http://schemas.openxmlformats.org/officeDocument/2006/relationships/hyperlink" Target="https://www.sec.gov/Archives/edgar/data/1582313/000119312526212153/xene-ex10_7.htm" TargetMode="External"/><Relationship Id="rId8" Type="http://schemas.openxmlformats.org/officeDocument/2006/relationships/hyperlink" Target="https://www.sec.gov/Archives/edgar/data/1582313/000119312526255396/xene-ex10_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47881</Words>
  <Characters>271262</Characters>
  <CharactersWithSpaces>320161</CharactersWithSpaces>
  <Paragraphs>6175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