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40630.htm"/>
      <w:bookmarkStart w:id="1" w:name="ksxene20240630"/>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center"/>
              <w:rPr>
                <w:color w:val="000000"/>
              </w:rPr>
            </w:pPr>
            <w:r>
              <w:rPr>
                <w:color w:val="000000"/>
              </w:rPr>
              <w:t>☐</w:t>
            </w:r>
          </w:p>
        </w:tc>
        <w:tc>
          <w:tcPr>
            <w:tcW w:w="9874" w:type="dxa"/>
            <w:tcBorders/>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20"/>
          <w:u w:val="single"/>
        </w:rPr>
        <w:t>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color w:val="000000"/>
          <w:sz w:val="20"/>
          <w:u w:val="single"/>
        </w:rPr>
        <w:t>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001-36687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120" w:after="120"/>
        <w:jc w:val="center"/>
        <w:rPr/>
      </w:pPr>
      <w:r>
        <w:rPr/>
        <w:t>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3181"/>
        <w:gridCol w:w="1246"/>
      </w:tblGrid>
      <w:tr>
        <w:trPr/>
        <w:tc>
          <w:tcPr>
            <w:tcW w:w="31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31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18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 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(604) 484-3300</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2671"/>
        <w:gridCol w:w="146"/>
        <w:gridCol w:w="826"/>
        <w:gridCol w:w="146"/>
        <w:gridCol w:w="3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71"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Common Shares, without par value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XENE</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12" w:type="dxa"/>
        <w:jc w:val="left"/>
        <w:tblInd w:w="0" w:type="dxa"/>
        <w:tblLayout w:type="fixed"/>
        <w:tblCellMar>
          <w:top w:w="28" w:type="dxa"/>
          <w:left w:w="28" w:type="dxa"/>
          <w:bottom w:w="28" w:type="dxa"/>
          <w:right w:w="28" w:type="dxa"/>
        </w:tblCellMar>
      </w:tblPr>
      <w:tblGrid>
        <w:gridCol w:w="1666"/>
        <w:gridCol w:w="146"/>
        <w:gridCol w:w="37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5, 2024, the registrant had 75,764,505</w:t>
      </w:r>
      <w:r>
        <w:rPr>
          <w:rFonts w:ascii="Times New Roman" w:hAnsi="Times New Roman"/>
          <w:color w:val="000000"/>
          <w:sz w:val="20"/>
        </w:rPr>
        <w:t xml:space="preserve"> </w:t>
      </w:r>
      <w:r>
        <w:rPr>
          <w:rFonts w:ascii="Times New Roman" w:hAnsi="Times New Roman"/>
          <w:color w:val="000000"/>
          <w:sz w:val="18"/>
        </w:rPr>
        <w:t>common shares, without par value,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54"/>
        <w:gridCol w:w="851"/>
      </w:tblGrid>
      <w:tr>
        <w:trPr/>
        <w:tc>
          <w:tcPr>
            <w:tcW w:w="935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9354" w:type="dxa"/>
            <w:tcBorders/>
            <w:vAlign w:val="center"/>
          </w:tcPr>
          <w:p>
            <w:pPr>
              <w:pStyle w:val="TableContents"/>
              <w:pBdr/>
              <w:bidi w:val="0"/>
              <w:spacing w:before="0" w:after="283"/>
              <w:ind w:left="0" w:right="0" w:hanging="245"/>
              <w:jc w:val="right"/>
              <w:rPr/>
            </w:pPr>
            <w:r>
              <w:rPr/>
              <w:t> </w:t>
            </w:r>
          </w:p>
        </w:tc>
        <w:tc>
          <w:tcPr>
            <w:tcW w:w="851" w:type="dxa"/>
            <w:tcBorders/>
            <w:vAlign w:val="center"/>
          </w:tcPr>
          <w:p>
            <w:pPr>
              <w:pStyle w:val="TableContents"/>
              <w:bidi w:val="0"/>
              <w:spacing w:before="0" w:after="283"/>
              <w:ind w:left="0" w:right="0" w:firstLine="245"/>
              <w:jc w:val="center"/>
              <w:rPr>
                <w:rFonts w:ascii="Times New Roman" w:hAnsi="Times New Roman"/>
                <w:b/>
                <w:color w:val="000000"/>
                <w:sz w:val="16"/>
                <w:u w:val="single"/>
              </w:rPr>
            </w:pPr>
            <w:r>
              <w:rPr>
                <w:rFonts w:ascii="Times New Roman" w:hAnsi="Times New Roman"/>
                <w:b/>
                <w:color w:val="000000"/>
                <w:sz w:val="16"/>
                <w:u w:val="single"/>
              </w:rPr>
              <w:t>Page</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0" w:right="0" w:hanging="245"/>
              <w:jc w:val="left"/>
              <w:rPr/>
            </w:pPr>
            <w:hyperlink w:anchor="part_i_financial_information">
              <w:r>
                <w:rPr>
                  <w:rStyle w:val="InternetLink"/>
                  <w:rFonts w:ascii="Times New Roman" w:hAnsi="Times New Roman"/>
                  <w:color w:val="0000FF"/>
                  <w:sz w:val="20"/>
                  <w:u w:val="single"/>
                </w:rPr>
                <w:t>PART I. FINANCIAL INFORMATION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54" w:type="dxa"/>
            <w:tcBorders/>
            <w:vAlign w:val="center"/>
          </w:tcPr>
          <w:p>
            <w:pPr>
              <w:pStyle w:val="TableContents"/>
              <w:bidi w:val="0"/>
              <w:jc w:val="left"/>
              <w:rPr/>
            </w:pPr>
            <w:r>
              <w:rPr/>
              <w:t> </w:t>
            </w:r>
          </w:p>
          <w:p>
            <w:pPr>
              <w:pStyle w:val="TableContents"/>
              <w:pBdr/>
              <w:bidi w:val="0"/>
              <w:spacing w:before="0" w:after="283"/>
              <w:ind w:left="490" w:right="0" w:hanging="245"/>
              <w:jc w:val="left"/>
              <w:rPr/>
            </w:pPr>
            <w:hyperlink w:anchor="item_1_financial_statements">
              <w:r>
                <w:rPr>
                  <w:rStyle w:val="InternetLink"/>
                  <w:rFonts w:ascii="Times New Roman" w:hAnsi="Times New Roman"/>
                  <w:color w:val="0000FF"/>
                  <w:sz w:val="20"/>
                  <w:u w:val="single"/>
                </w:rPr>
                <w:t>Item 1. Financial Statements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54" w:type="dxa"/>
            <w:tcBorders/>
            <w:vAlign w:val="center"/>
          </w:tcPr>
          <w:p>
            <w:pPr>
              <w:pStyle w:val="TableContents"/>
              <w:bidi w:val="0"/>
              <w:jc w:val="left"/>
              <w:rPr/>
            </w:pPr>
            <w:r>
              <w:rPr/>
              <w:t> </w:t>
            </w:r>
          </w:p>
          <w:p>
            <w:pPr>
              <w:pStyle w:val="TableContents"/>
              <w:pBdr/>
              <w:bidi w:val="0"/>
              <w:spacing w:before="0" w:after="283"/>
              <w:ind w:left="922" w:right="0" w:hanging="245"/>
              <w:jc w:val="left"/>
              <w:rPr/>
            </w:pPr>
            <w:hyperlink w:anchor="cons_balance_sheets">
              <w:r>
                <w:rPr>
                  <w:rStyle w:val="InternetLink"/>
                  <w:rFonts w:ascii="Times New Roman" w:hAnsi="Times New Roman"/>
                  <w:color w:val="0000FF"/>
                  <w:sz w:val="20"/>
                  <w:u w:val="single"/>
                </w:rPr>
                <w:t>Consolidated Balance Sheets as of June 30, 2024 and December 31, 2023</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922" w:right="0" w:hanging="245"/>
              <w:jc w:val="left"/>
              <w:rPr/>
            </w:pPr>
            <w:hyperlink w:anchor="cons_statements_operations">
              <w:r>
                <w:rPr>
                  <w:rStyle w:val="InternetLink"/>
                  <w:rFonts w:ascii="Times New Roman" w:hAnsi="Times New Roman"/>
                  <w:color w:val="0000FF"/>
                  <w:sz w:val="20"/>
                  <w:u w:val="single"/>
                </w:rPr>
                <w:t>Consolidated Statements of Operations and Comprehensive Loss for the three and six months ended June 30, 2024 and 2023</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922" w:right="0" w:hanging="245"/>
              <w:jc w:val="left"/>
              <w:rPr/>
            </w:pPr>
            <w:hyperlink w:anchor="cons_statements_equity">
              <w:r>
                <w:rPr>
                  <w:rStyle w:val="InternetLink"/>
                  <w:rFonts w:ascii="Times New Roman" w:hAnsi="Times New Roman"/>
                  <w:color w:val="0000FF"/>
                  <w:sz w:val="20"/>
                  <w:u w:val="single"/>
                </w:rPr>
                <w:t>Consolidated Statements of Shareholders’ Equity for the three and six months ended June 30, 2024 and 2023</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922" w:right="0" w:hanging="245"/>
              <w:jc w:val="left"/>
              <w:rPr/>
            </w:pPr>
            <w:hyperlink w:anchor="cons_statements_cashflow">
              <w:r>
                <w:rPr>
                  <w:rStyle w:val="InternetLink"/>
                  <w:rFonts w:ascii="Times New Roman" w:hAnsi="Times New Roman"/>
                  <w:color w:val="0000FF"/>
                  <w:sz w:val="20"/>
                  <w:u w:val="single"/>
                </w:rPr>
                <w:t>Consolidated Statements of Cash Flows for the three and six months ended June 30, 2024 and 2023</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922" w:right="0" w:hanging="245"/>
              <w:jc w:val="left"/>
              <w:rPr/>
            </w:pPr>
            <w:hyperlink w:anchor="notes_to_cons_financial_statements">
              <w:r>
                <w:rPr>
                  <w:rStyle w:val="InternetLink"/>
                  <w:rFonts w:ascii="Times New Roman" w:hAnsi="Times New Roman"/>
                  <w:color w:val="0000FF"/>
                  <w:sz w:val="20"/>
                  <w:u w:val="single"/>
                </w:rPr>
                <w:t>Notes to Consolidated Financial Statements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90" w:right="0" w:hanging="245"/>
              <w:jc w:val="left"/>
              <w:rPr/>
            </w:pPr>
            <w:hyperlink w:anchor="item_2_management_discussion_analysis">
              <w:r>
                <w:rPr>
                  <w:rStyle w:val="InternetLink"/>
                  <w:rFonts w:ascii="Times New Roman" w:hAnsi="Times New Roman"/>
                  <w:color w:val="0000FF"/>
                  <w:sz w:val="20"/>
                  <w:u w:val="single"/>
                </w:rPr>
                <w:t>Item 2. Management’s Discussion and Analysis of Financial Condition and Results of Operations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12</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90" w:right="0" w:hanging="245"/>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90" w:right="0" w:hanging="245"/>
              <w:jc w:val="left"/>
              <w:rPr/>
            </w:pPr>
            <w:hyperlink w:anchor="item_4_controls_and_procedures">
              <w:r>
                <w:rPr>
                  <w:rStyle w:val="InternetLink"/>
                  <w:rFonts w:ascii="Times New Roman" w:hAnsi="Times New Roman"/>
                  <w:color w:val="0000FF"/>
                  <w:sz w:val="20"/>
                  <w:u w:val="single"/>
                </w:rPr>
                <w:t>Item 4. Controls and Procedures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0" w:right="0" w:hanging="245"/>
              <w:jc w:val="left"/>
              <w:rPr/>
            </w:pPr>
            <w:hyperlink w:anchor="part_ii_other_information">
              <w:r>
                <w:rPr>
                  <w:rStyle w:val="InternetLink"/>
                  <w:rFonts w:ascii="Times New Roman" w:hAnsi="Times New Roman"/>
                  <w:color w:val="0000FF"/>
                  <w:sz w:val="20"/>
                  <w:u w:val="single"/>
                </w:rPr>
                <w:t>PART II.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90" w:right="0" w:hanging="245"/>
              <w:jc w:val="left"/>
              <w:rPr/>
            </w:pPr>
            <w:hyperlink w:anchor="item_1_legal_proceedings">
              <w:r>
                <w:rPr>
                  <w:rStyle w:val="InternetLink"/>
                  <w:rFonts w:ascii="Times New Roman" w:hAnsi="Times New Roman"/>
                  <w:color w:val="0000FF"/>
                  <w:sz w:val="20"/>
                  <w:u w:val="single"/>
                </w:rPr>
                <w:t>Item 1. Legal Proceedings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22</w:t>
            </w:r>
          </w:p>
        </w:tc>
      </w:tr>
      <w:tr>
        <w:trPr/>
        <w:tc>
          <w:tcPr>
            <w:tcW w:w="9354" w:type="dxa"/>
            <w:tcBorders/>
            <w:vAlign w:val="center"/>
          </w:tcPr>
          <w:p>
            <w:pPr>
              <w:pStyle w:val="TableContents"/>
              <w:pBdr/>
              <w:bidi w:val="0"/>
              <w:ind w:left="245" w:right="0" w:hanging="245"/>
              <w:jc w:val="left"/>
              <w:rPr/>
            </w:pPr>
            <w:r>
              <w:rPr/>
              <w:t> </w:t>
            </w:r>
          </w:p>
          <w:p>
            <w:pPr>
              <w:pStyle w:val="TableContents"/>
              <w:bidi w:val="0"/>
              <w:spacing w:before="0" w:after="283"/>
              <w:ind w:left="490" w:right="0" w:firstLine="490"/>
              <w:jc w:val="left"/>
              <w:rPr/>
            </w:pPr>
            <w:hyperlink w:anchor="item_1a_risk_factors">
              <w:r>
                <w:rPr>
                  <w:rStyle w:val="InternetLink"/>
                  <w:rFonts w:ascii="Times New Roman" w:hAnsi="Times New Roman"/>
                  <w:color w:val="0000FF"/>
                  <w:sz w:val="20"/>
                  <w:u w:val="single"/>
                </w:rPr>
                <w:t>Item 1A. Risk Factors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89" w:right="0" w:hanging="245"/>
              <w:jc w:val="left"/>
              <w:rPr/>
            </w:pPr>
            <w:hyperlink w:anchor="item_5_other_information">
              <w:r>
                <w:rPr>
                  <w:rStyle w:val="InternetLink"/>
                  <w:rFonts w:ascii="Times New Roman" w:hAnsi="Times New Roman"/>
                  <w:color w:val="0000FF"/>
                  <w:sz w:val="20"/>
                  <w:u w:val="single"/>
                </w:rPr>
                <w:t>Item 5. Other Information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60</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490" w:right="0" w:hanging="245"/>
              <w:jc w:val="left"/>
              <w:rPr/>
            </w:pPr>
            <w:hyperlink w:anchor="item_6_exhibits">
              <w:r>
                <w:rPr>
                  <w:rStyle w:val="InternetLink"/>
                  <w:rFonts w:ascii="Times New Roman" w:hAnsi="Times New Roman"/>
                  <w:color w:val="0000FF"/>
                  <w:sz w:val="20"/>
                  <w:u w:val="single"/>
                </w:rPr>
                <w:t>Item 6. Exhibits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61</w:t>
            </w:r>
          </w:p>
        </w:tc>
      </w:tr>
      <w:tr>
        <w:trPr/>
        <w:tc>
          <w:tcPr>
            <w:tcW w:w="9354" w:type="dxa"/>
            <w:tcBorders/>
            <w:vAlign w:val="center"/>
          </w:tcPr>
          <w:p>
            <w:pPr>
              <w:pStyle w:val="TableContents"/>
              <w:pBdr/>
              <w:bidi w:val="0"/>
              <w:ind w:left="0" w:right="0" w:hanging="245"/>
              <w:jc w:val="left"/>
              <w:rPr/>
            </w:pPr>
            <w:r>
              <w:rPr/>
              <w:t> </w:t>
            </w:r>
          </w:p>
          <w:p>
            <w:pPr>
              <w:pStyle w:val="TableContents"/>
              <w:pBdr/>
              <w:bidi w:val="0"/>
              <w:spacing w:before="0" w:after="283"/>
              <w:ind w:left="0" w:right="0" w:hanging="245"/>
              <w:jc w:val="left"/>
              <w:rPr/>
            </w:pPr>
            <w:hyperlink w:anchor="signatures">
              <w:r>
                <w:rPr>
                  <w:rStyle w:val="InternetLink"/>
                  <w:rFonts w:ascii="Times New Roman" w:hAnsi="Times New Roman"/>
                  <w:color w:val="0000FF"/>
                  <w:sz w:val="20"/>
                  <w:u w:val="single"/>
                </w:rPr>
                <w:t>SIGNATURES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10-Q, “we,” “our,” “us,” “Xenon,” and “the Company” refer to Xenon Pharmaceuticals Inc. and its subsidiary. “Xenon” and the Xenon logo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highlighted in the section of this report captioned “Risk Factors.” The following is a summary of the principal risks we face: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trials which could delay or prevent the successful completion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trials.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4" w:name="cons_balance_sheets"/>
      <w:bookmarkEnd w:id="4"/>
      <w:r>
        <w:rPr>
          <w:rFonts w:ascii="Times New Roman" w:hAnsi="Times New Roman"/>
          <w:color w:val="000000"/>
          <w:sz w:val="20"/>
        </w:rPr>
        <w:t>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9574" w:type="dxa"/>
        <w:jc w:val="left"/>
        <w:tblInd w:w="0" w:type="dxa"/>
        <w:tblLayout w:type="fixed"/>
        <w:tblCellMar>
          <w:top w:w="28" w:type="dxa"/>
          <w:left w:w="28" w:type="dxa"/>
          <w:bottom w:w="28" w:type="dxa"/>
          <w:right w:w="28" w:type="dxa"/>
        </w:tblCellMar>
      </w:tblPr>
      <w:tblGrid>
        <w:gridCol w:w="6241"/>
        <w:gridCol w:w="146"/>
        <w:gridCol w:w="211"/>
        <w:gridCol w:w="931"/>
        <w:gridCol w:w="166"/>
        <w:gridCol w:w="146"/>
        <w:gridCol w:w="211"/>
        <w:gridCol w:w="931"/>
        <w:gridCol w:w="5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4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14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62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Marketable securities (note 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489,439</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2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644,962</w:t>
            </w:r>
          </w:p>
        </w:tc>
        <w:tc>
          <w:tcPr>
            <w:tcW w:w="59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6)</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292,792</w:t>
            </w:r>
          </w:p>
        </w:tc>
        <w:tc>
          <w:tcPr>
            <w:tcW w:w="59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7)</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w:t>
            </w:r>
          </w:p>
        </w:tc>
        <w:tc>
          <w:tcPr>
            <w:tcW w:w="59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59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591" w:type="dxa"/>
            <w:tcBorders/>
            <w:shd w:fill="CFF0FC" w:val="cle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62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expenses (note 8)</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 (note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27,273</w:t>
            </w:r>
          </w:p>
        </w:tc>
        <w:tc>
          <w:tcPr>
            <w:tcW w:w="591" w:type="dxa"/>
            <w:tcBorders/>
            <w:shd w:fill="CFF0FC" w:val="cle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75,667,550 (December 31, 2023 - 75,370,977) (note 9)</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1,436,374</w:t>
            </w:r>
          </w:p>
        </w:tc>
        <w:tc>
          <w:tcPr>
            <w:tcW w:w="591" w:type="dxa"/>
            <w:tcBorders/>
            <w:shd w:fill="FFFFFF" w:val="clear"/>
            <w:vAlign w:val="center"/>
          </w:tcPr>
          <w:p>
            <w:pPr>
              <w:pStyle w:val="TableContents"/>
              <w:bidi w:val="0"/>
              <w:spacing w:before="0" w:after="283"/>
              <w:jc w:val="lef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591" w:type="dxa"/>
            <w:tcBorders/>
            <w:shd w:fill="CFF0FC" w:val="cle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(770,995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(665,140</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964,798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5" w:name="cons_statements_operations"/>
      <w:bookmarkEnd w:id="5"/>
      <w:r>
        <w:rPr>
          <w:rFonts w:ascii="Times New Roman" w:hAnsi="Times New Roman"/>
          <w:color w:val="000000"/>
          <w:sz w:val="20"/>
        </w:rPr>
        <w:t>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6"/>
        <w:gridCol w:w="146"/>
        <w:gridCol w:w="211"/>
        <w:gridCol w:w="1036"/>
        <w:gridCol w:w="166"/>
        <w:gridCol w:w="146"/>
        <w:gridCol w:w="211"/>
        <w:gridCol w:w="1036"/>
        <w:gridCol w:w="166"/>
        <w:gridCol w:w="211"/>
        <w:gridCol w:w="1036"/>
        <w:gridCol w:w="166"/>
        <w:gridCol w:w="211"/>
        <w:gridCol w:w="1036"/>
        <w:gridCol w:w="591"/>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66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8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8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8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8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Unrealized loss on available-for-sale </w:t>
              <w:br/>
              <w:t>   securities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4):</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(note 4):</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8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77,671,128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65,861,138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77,632,864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65,792,910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6" w:name="cons_statements_equity"/>
      <w:bookmarkEnd w:id="6"/>
      <w:r>
        <w:rPr>
          <w:rFonts w:ascii="Times New Roman" w:hAnsi="Times New Roman"/>
          <w:color w:val="000000"/>
          <w:sz w:val="20"/>
        </w:rPr>
        <w:t>Consolidated Statements of Shareholders’ Equity</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9792" w:type="dxa"/>
        <w:jc w:val="left"/>
        <w:tblInd w:w="0" w:type="dxa"/>
        <w:tblLayout w:type="fixed"/>
        <w:tblCellMar>
          <w:top w:w="28" w:type="dxa"/>
          <w:left w:w="28" w:type="dxa"/>
          <w:bottom w:w="28" w:type="dxa"/>
          <w:right w:w="28" w:type="dxa"/>
        </w:tblCellMar>
      </w:tblPr>
      <w:tblGrid>
        <w:gridCol w:w="2221"/>
        <w:gridCol w:w="146"/>
        <w:gridCol w:w="916"/>
        <w:gridCol w:w="146"/>
        <w:gridCol w:w="146"/>
        <w:gridCol w:w="196"/>
        <w:gridCol w:w="826"/>
        <w:gridCol w:w="146"/>
        <w:gridCol w:w="146"/>
        <w:gridCol w:w="196"/>
        <w:gridCol w:w="691"/>
        <w:gridCol w:w="166"/>
        <w:gridCol w:w="146"/>
        <w:gridCol w:w="196"/>
        <w:gridCol w:w="751"/>
        <w:gridCol w:w="166"/>
        <w:gridCol w:w="146"/>
        <w:gridCol w:w="253"/>
        <w:gridCol w:w="738"/>
        <w:gridCol w:w="166"/>
        <w:gridCol w:w="146"/>
        <w:gridCol w:w="205"/>
        <w:gridCol w:w="726"/>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shares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br/>
              <w:t>paid-in</w:t>
              <w:br/>
              <w:t>capital</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deficit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 xml:space="preserve">other </w:t>
              <w:br/>
              <w:t>comprehensive</w:t>
              <w:br/>
              <w:t>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br/>
              <w:t>shareholders'</w:t>
              <w:br/>
              <w:t>equity</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3"/>
              </w:rPr>
            </w:pPr>
            <w:r>
              <w:rPr>
                <w:rFonts w:ascii="Times New Roman" w:hAnsi="Times New Roman"/>
                <w:i/>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3"/>
              </w:rPr>
            </w:pPr>
            <w:r>
              <w:rPr>
                <w:rFonts w:ascii="Times New Roman" w:hAnsi="Times New Roman"/>
                <w:i/>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62,587,701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721,497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(41,727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(41,727</w:t>
            </w:r>
          </w:p>
        </w:tc>
        <w:tc>
          <w:tcPr>
            <w:tcW w:w="2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Conversion of pre-funded </w:t>
              <w:br/>
              <w:t xml:space="preserve">   warrants to common shares </w:t>
              <w:br/>
              <w:t>   (note 9b)</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5,994</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Issued pursuant to exercise of </w:t>
              <w:br/>
              <w:t>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Other comprehensive income </w:t>
              <w:br/>
              <w:t>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March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63,107,020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1,073,150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686,944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(47,461</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(47,461</w:t>
            </w:r>
          </w:p>
        </w:tc>
        <w:tc>
          <w:tcPr>
            <w:tcW w:w="2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Conversion of pre-funded </w:t>
              <w:br/>
              <w:t xml:space="preserve">   warrants to common shares </w:t>
              <w:br/>
              <w:t>   (note 9b)</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8,453</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Issued pursuant to exercise of </w:t>
              <w:br/>
              <w:t>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(2,479</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Other comprehensive loss </w:t>
              <w:br/>
              <w:t>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63,718,350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646,457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75,370,977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927,921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(47,931</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(47,931</w:t>
            </w:r>
          </w:p>
        </w:tc>
        <w:tc>
          <w:tcPr>
            <w:tcW w:w="2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9,400</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Issued pursuant to exercise of </w:t>
              <w:br/>
              <w:t>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br/>
              <w:t>   (note 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75,459,681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887,698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(57,924</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(57,924</w:t>
            </w:r>
          </w:p>
        </w:tc>
        <w:tc>
          <w:tcPr>
            <w:tcW w:w="21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14,716</w:t>
            </w:r>
          </w:p>
        </w:tc>
        <w:tc>
          <w:tcPr>
            <w:tcW w:w="21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Issued pursuant to exercise of </w:t>
              <w:br/>
              <w:t>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(1,497</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Other comprehensive loss </w:t>
              <w:br/>
              <w:t>   (note 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as of</w:t>
              <w:br/>
              <w: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75,667,550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1,440,458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7" w:name="cons_statements_cashflow"/>
      <w:bookmarkEnd w:id="7"/>
      <w:r>
        <w:rPr>
          <w:rFonts w:ascii="Times New Roman" w:hAnsi="Times New Roman"/>
          <w:color w:val="000000"/>
          <w:sz w:val="20"/>
        </w:rPr>
        <w:t>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jc w:val="left"/>
        <w:rPr/>
      </w:pPr>
      <w:r>
        <w:rPr/>
        <w:t> </w:t>
      </w:r>
    </w:p>
    <w:tbl>
      <w:tblPr>
        <w:tblW w:w="9194" w:type="dxa"/>
        <w:jc w:val="left"/>
        <w:tblInd w:w="0" w:type="dxa"/>
        <w:tblLayout w:type="fixed"/>
        <w:tblCellMar>
          <w:top w:w="28" w:type="dxa"/>
          <w:left w:w="28" w:type="dxa"/>
          <w:bottom w:w="28" w:type="dxa"/>
          <w:right w:w="28" w:type="dxa"/>
        </w:tblCellMar>
      </w:tblPr>
      <w:tblGrid>
        <w:gridCol w:w="6021"/>
        <w:gridCol w:w="146"/>
        <w:gridCol w:w="211"/>
        <w:gridCol w:w="841"/>
        <w:gridCol w:w="166"/>
        <w:gridCol w:w="146"/>
        <w:gridCol w:w="211"/>
        <w:gridCol w:w="841"/>
        <w:gridCol w:w="61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(89,188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Items not involving cash:</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foreign exchange (gain)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(270,554</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611" w:type="dxa"/>
            <w:tcBorders/>
            <w:shd w:fill="CFF0FC" w:val="clear"/>
            <w:vAlign w:val="center"/>
          </w:tcPr>
          <w:p>
            <w:pPr>
              <w:pStyle w:val="TableContents"/>
              <w:bidi w:val="0"/>
              <w:spacing w:before="0" w:after="283"/>
              <w:jc w:val="left"/>
              <w:rPr/>
            </w:pPr>
            <w:r>
              <w:rPr/>
              <w:t> </w:t>
            </w:r>
          </w:p>
        </w:tc>
      </w:tr>
      <w:tr>
        <w:trPr/>
        <w:tc>
          <w:tcPr>
            <w:tcW w:w="6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operating lease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611" w:type="dxa"/>
            <w:tcBorders/>
            <w:shd w:fill="FFFFFF" w:val="clear"/>
            <w:vAlign w:val="center"/>
          </w:tcPr>
          <w:p>
            <w:pPr>
              <w:pStyle w:val="TableContents"/>
              <w:bidi w:val="0"/>
              <w:spacing w:before="0" w:after="283"/>
              <w:jc w:val="left"/>
              <w:rPr/>
            </w:pPr>
            <w:r>
              <w:rPr/>
              <w:t> </w:t>
            </w:r>
          </w:p>
        </w:tc>
      </w:tr>
      <w:tr>
        <w:trPr/>
        <w:tc>
          <w:tcPr>
            <w:tcW w:w="60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transactions: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stock options exercised on a cashless basis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pre-funded warrants exercised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Increase in operating lease liability and accounts receivable related to </w:t>
              <w:br/>
              <w:t>   lease incentives claimed in the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8" w:name="notes_to_cons_financial_statements"/>
      <w:bookmarkEnd w:id="8"/>
      <w:r>
        <w:rPr>
          <w:rFonts w:ascii="Times New Roman" w:hAnsi="Times New Roman"/>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bidi w:val="0"/>
        <w:jc w:val="left"/>
        <w:rPr/>
      </w:pPr>
      <w:r>
        <w:rPr/>
        <w:t> </w:t>
      </w:r>
    </w:p>
    <w:tbl>
      <w:tblPr>
        <w:tblW w:w="971" w:type="dxa"/>
        <w:jc w:val="left"/>
        <w:tblInd w:w="0" w:type="dxa"/>
        <w:tblLayout w:type="fixed"/>
        <w:tblCellMar>
          <w:top w:w="28" w:type="dxa"/>
          <w:left w:w="28" w:type="dxa"/>
          <w:bottom w:w="28" w:type="dxa"/>
          <w:right w:w="28" w:type="dxa"/>
        </w:tblCellMar>
      </w:tblPr>
      <w:tblGrid>
        <w:gridCol w:w="161"/>
        <w:gridCol w:w="146"/>
        <w:gridCol w:w="146"/>
        <w:gridCol w:w="109"/>
        <w:gridCol w:w="109"/>
        <w:gridCol w:w="146"/>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4"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discovering, developing, and delivering life-changing ion channel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June 30, 2024, the Company had an accumulated deficit of $770,995 and a net loss of $105,855 for the six months ended June 30, 2024.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consolidated financial statements are presented in U.S. dollars and include the accounts of the Company and its wholly-owned subsidiary, Xenon Pharmaceuticals USA Inc., a Delaware corporation. All intercompany transactions and balances have been eliminated on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consolidated financial statements have been prepared in accordance with United States generally accepted accounting principles (“U.S. GAAP”) and pursuant to the rules and regulations of the United States Securities and Exchange Commission (“SEC”) for interim financial information. Accordingly, these consolidated financial statements do not include all of the information and footnotes required for complete consolidated financial statements and should be read in conjunction with the audited consolidated financial statements and notes for the year ended December 31, 2023 included in the Company’s 2023 Annual Report on Form 10-K filed with the SEC and with the securities commissions in British Columbia, Alberta and Ontario on February 29,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and six month periods ended June 30, 2024 and 2023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2023 Annual Report on Form 10-K for the year ended December 31, 2023, with the exception of the policy described in note 3 below.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performance share unit awards (“PSUs”) to certain employees and officers.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PSUs vest upon the achievement of certain predefined company-specific performance-based criteria. PSUs are measured at the closing market price of the Company’s common shares on the date of grant. Stock-based compensation expense for PSUs is amortized on a straight-line basis over the requisite service period of each separately vesting tranche of the award once it is probable that the performance condition will be achieved.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income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weighted average number of common shares used in the basic and diluted net income (loss) per common share calculations includes the weighted average pre-funded warrants outstanding during the period as they are exercisable at any time for nominal cash consideration.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treasury stock method is used to compute the dilutive effect of the Company’s stock options, performance share units and warrants. Under this method, the incremental number of common shares used in computing diluted net income (loss) per common share is the difference between the number of common shares assumed issued and purchased using assumed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and six months ended June 30, 2024 and 2023, diluted net loss per share attributable to common shareholders is the same as basic net loss per share attributable to common shareholders, since dilutive common shares are not assumed to have been issued if their effect is anti-dilutive.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Level 1 - </w:t>
      </w:r>
      <w:r>
        <w:rPr>
          <w:rFonts w:ascii="Times New Roman" w:hAnsi="Times New Roman"/>
          <w:color w:val="000000"/>
          <w:sz w:val="20"/>
        </w:rPr>
        <w:t>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2 -</w:t>
      </w:r>
      <w:r>
        <w:rPr>
          <w:color w:val="000000"/>
        </w:rPr>
        <w:t xml:space="preserve"> </w:t>
      </w:r>
      <w:r>
        <w:rPr>
          <w:rFonts w:ascii="Times New Roman" w:hAnsi="Times New Roman"/>
          <w:color w:val="000000"/>
          <w:sz w:val="20"/>
        </w:rPr>
        <w:t>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Level 3 -</w:t>
      </w:r>
      <w:r>
        <w:rPr>
          <w:color w:val="000000"/>
        </w:rPr>
        <w:t xml:space="preserve"> </w:t>
      </w:r>
      <w:r>
        <w:rPr>
          <w:rFonts w:ascii="Times New Roman" w:hAnsi="Times New Roman"/>
          <w:color w:val="000000"/>
          <w:sz w:val="20"/>
        </w:rPr>
        <w:t>Inputs are unobservable and reflect the Company’s assumptions as to what market participants would use in pricing the asset or liability. The Company develops these inputs based on the best information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cash and cash equivalents and marketable securities are measured at fair value on a recurring basis. The level of the fair value hierarchy utilized to determine such fair values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13"/>
        <w:gridCol w:w="146"/>
        <w:gridCol w:w="196"/>
        <w:gridCol w:w="691"/>
        <w:gridCol w:w="146"/>
        <w:gridCol w:w="146"/>
        <w:gridCol w:w="196"/>
        <w:gridCol w:w="691"/>
        <w:gridCol w:w="146"/>
        <w:gridCol w:w="146"/>
        <w:gridCol w:w="196"/>
        <w:gridCol w:w="347"/>
        <w:gridCol w:w="146"/>
        <w:gridCol w:w="146"/>
        <w:gridCol w:w="196"/>
        <w:gridCol w:w="691"/>
        <w:gridCol w:w="146"/>
        <w:gridCol w:w="146"/>
        <w:gridCol w:w="196"/>
        <w:gridCol w:w="691"/>
        <w:gridCol w:w="146"/>
        <w:gridCol w:w="146"/>
        <w:gridCol w:w="196"/>
        <w:gridCol w:w="691"/>
        <w:gridCol w:w="146"/>
        <w:gridCol w:w="146"/>
        <w:gridCol w:w="196"/>
        <w:gridCol w:w="347"/>
        <w:gridCol w:w="146"/>
        <w:gridCol w:w="146"/>
        <w:gridCol w:w="196"/>
        <w:gridCol w:w="691"/>
        <w:gridCol w:w="394"/>
      </w:tblGrid>
      <w:tr>
        <w:trPr/>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2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1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money market fund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148,643</w:t>
            </w:r>
          </w:p>
        </w:tc>
        <w:tc>
          <w:tcPr>
            <w:tcW w:w="394" w:type="dxa"/>
            <w:tcBorders/>
            <w:shd w:fill="FFFFFF" w:val="clear"/>
            <w:vAlign w:val="center"/>
          </w:tcPr>
          <w:p>
            <w:pPr>
              <w:pStyle w:val="TableContents"/>
              <w:bidi w:val="0"/>
              <w:spacing w:before="0" w:after="283"/>
              <w:jc w:val="left"/>
              <w:rPr/>
            </w:pPr>
            <w:r>
              <w:rPr/>
              <w:t> </w:t>
            </w:r>
          </w:p>
        </w:tc>
      </w:tr>
      <w:tr>
        <w:trPr/>
        <w:tc>
          <w:tcPr>
            <w:tcW w:w="1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4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1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Guaranteed investment certificates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2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252,982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121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government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97,912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121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Commercial paper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119,108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304,545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930,874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U.S. government securities,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2024 and December 31, 2023, the Company did not hold any securities classified as Level 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2024, the Company had $713,863 of available-for-sale securities (December 31, 2023 – trading securities of $13,867 and available-for-sale-securities of $768,364). Amortized cost, unrealized gain (loss) recognized in accumulated other comprehensive loss and fair value of available-for-sale securities consisted of the following:</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59"/>
        <w:gridCol w:w="146"/>
        <w:gridCol w:w="211"/>
        <w:gridCol w:w="781"/>
        <w:gridCol w:w="146"/>
        <w:gridCol w:w="146"/>
        <w:gridCol w:w="230"/>
        <w:gridCol w:w="689"/>
        <w:gridCol w:w="166"/>
        <w:gridCol w:w="146"/>
        <w:gridCol w:w="211"/>
        <w:gridCol w:w="781"/>
        <w:gridCol w:w="146"/>
        <w:gridCol w:w="146"/>
        <w:gridCol w:w="211"/>
        <w:gridCol w:w="781"/>
        <w:gridCol w:w="146"/>
        <w:gridCol w:w="146"/>
        <w:gridCol w:w="280"/>
        <w:gridCol w:w="639"/>
        <w:gridCol w:w="166"/>
        <w:gridCol w:w="146"/>
        <w:gridCol w:w="211"/>
        <w:gridCol w:w="781"/>
        <w:gridCol w:w="394"/>
      </w:tblGrid>
      <w:tr>
        <w:trPr/>
        <w:tc>
          <w:tcPr>
            <w:tcW w:w="2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0 to 1 years: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3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3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5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pPr>
            <w:r>
              <w:rPr/>
              <w:t> </w:t>
            </w:r>
          </w:p>
        </w:tc>
        <w:tc>
          <w:tcPr>
            <w:tcW w:w="6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119,108</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3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58,924</w:t>
            </w:r>
          </w:p>
        </w:tc>
        <w:tc>
          <w:tcPr>
            <w:tcW w:w="394" w:type="dxa"/>
            <w:tcBorders/>
            <w:shd w:fill="FFFFFF" w:val="clear"/>
            <w:vAlign w:val="center"/>
          </w:tcPr>
          <w:p>
            <w:pPr>
              <w:pStyle w:val="TableContents"/>
              <w:bidi w:val="0"/>
              <w:spacing w:before="0" w:after="283"/>
              <w:jc w:val="left"/>
              <w:rPr/>
            </w:pPr>
            <w:r>
              <w:rPr/>
              <w:t> </w:t>
            </w:r>
          </w:p>
        </w:tc>
      </w:tr>
      <w:tr>
        <w:trPr/>
        <w:tc>
          <w:tcPr>
            <w:tcW w:w="2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1 to 3 years: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35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239,255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768,364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Allowance for credit losses or impairment on these marketable securities have not been recognized as these securities are high credit quality, investment grade securities that the Company does not intend to sell and will not be required to sell prior to their anticipated recovery, and the decline in fair value is primarily due to changes in interest rates.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two renewal options for 5-years each which were not considered in the determination of the right-of-use asset and lease liability. The Company has an additional operating lease for office space in Needham, Massachusetts ("Needham Lease"), which commenced in October 2022. The Needham Lease is for a 62-month term and an option to terminate one year prior to the expiry date, which was not considered in the determination of the right-of-use asset and lease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components of the operating leases were as follows for the three and six months ended June 30, 2024 and 2023:</w:t>
      </w:r>
    </w:p>
    <w:p>
      <w:pPr>
        <w:pStyle w:val="TextBody"/>
        <w:bidi w:val="0"/>
        <w:jc w:val="both"/>
        <w:rPr/>
      </w:pPr>
      <w:r>
        <w:rPr/>
        <w:t> </w:t>
      </w:r>
    </w:p>
    <w:tbl>
      <w:tblPr>
        <w:tblW w:w="9383" w:type="dxa"/>
        <w:jc w:val="left"/>
        <w:tblInd w:w="0" w:type="dxa"/>
        <w:tblLayout w:type="fixed"/>
        <w:tblCellMar>
          <w:top w:w="28" w:type="dxa"/>
          <w:left w:w="28" w:type="dxa"/>
          <w:bottom w:w="28" w:type="dxa"/>
          <w:right w:w="28" w:type="dxa"/>
        </w:tblCellMar>
      </w:tblPr>
      <w:tblGrid>
        <w:gridCol w:w="4101"/>
        <w:gridCol w:w="146"/>
        <w:gridCol w:w="269"/>
        <w:gridCol w:w="596"/>
        <w:gridCol w:w="346"/>
        <w:gridCol w:w="186"/>
        <w:gridCol w:w="269"/>
        <w:gridCol w:w="596"/>
        <w:gridCol w:w="271"/>
        <w:gridCol w:w="146"/>
        <w:gridCol w:w="246"/>
        <w:gridCol w:w="544"/>
        <w:gridCol w:w="316"/>
        <w:gridCol w:w="170"/>
        <w:gridCol w:w="246"/>
        <w:gridCol w:w="544"/>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vAlign w:val="center"/>
          </w:tcPr>
          <w:p>
            <w:pPr>
              <w:pStyle w:val="TableContents"/>
              <w:bidi w:val="0"/>
              <w:spacing w:before="0" w:after="283"/>
              <w:jc w:val="right"/>
              <w:rPr/>
            </w:pPr>
            <w:r>
              <w:rPr/>
              <w:t> </w:t>
            </w:r>
          </w:p>
        </w:tc>
        <w:tc>
          <w:tcPr>
            <w:tcW w:w="865"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86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90"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79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vAlign w:val="center"/>
          </w:tcPr>
          <w:p>
            <w:pPr>
              <w:pStyle w:val="TableContents"/>
              <w:bidi w:val="0"/>
              <w:spacing w:before="0" w:after="283"/>
              <w:jc w:val="righ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3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1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right"/>
              <w:rPr/>
            </w:pPr>
            <w:r>
              <w:rPr/>
              <w:t> </w:t>
            </w:r>
          </w:p>
        </w:tc>
        <w:tc>
          <w:tcPr>
            <w:tcW w:w="269"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1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CFF0FC" w:val="clear"/>
            <w:vAlign w:val="center"/>
          </w:tcPr>
          <w:p>
            <w:pPr>
              <w:pStyle w:val="TableContents"/>
              <w:bidi w:val="0"/>
              <w:spacing w:before="0" w:after="283"/>
              <w:jc w:val="left"/>
              <w:rPr/>
            </w:pPr>
            <w:r>
              <w:rPr/>
              <w:t> </w:t>
            </w:r>
          </w:p>
        </w:tc>
      </w:tr>
      <w:tr>
        <w:trPr/>
        <w:tc>
          <w:tcPr>
            <w:tcW w:w="4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FFFFFF" w:val="clear"/>
            <w:vAlign w:val="center"/>
          </w:tcPr>
          <w:p>
            <w:pPr>
              <w:pStyle w:val="TableContents"/>
              <w:bidi w:val="0"/>
              <w:spacing w:before="0" w:after="283"/>
              <w:jc w:val="right"/>
              <w:rPr/>
            </w:pPr>
            <w:r>
              <w:rPr/>
              <w:t> </w:t>
            </w:r>
          </w:p>
        </w:tc>
        <w:tc>
          <w:tcPr>
            <w:tcW w:w="865"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86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90"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79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vAlign w:val="center"/>
          </w:tcPr>
          <w:p>
            <w:pPr>
              <w:pStyle w:val="TableContents"/>
              <w:bidi w:val="0"/>
              <w:spacing w:before="0" w:after="283"/>
              <w:jc w:val="right"/>
              <w:rPr/>
            </w:pPr>
            <w:r>
              <w:rPr/>
              <w:t> </w:t>
            </w:r>
          </w:p>
        </w:tc>
        <w:tc>
          <w:tcPr>
            <w:tcW w:w="269"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1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Variable lease costs are payments that vary because of changes in facts or circumstances and include common area maintenance and property taxes related to the premises. Variable lease costs are excluded from the calculation of minimum lease payments.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Future minimum lease payments as of June 30, 2024 were as follows: </w:t>
      </w:r>
    </w:p>
    <w:p>
      <w:pPr>
        <w:pStyle w:val="TextBody"/>
        <w:bidi w:val="0"/>
        <w:jc w:val="both"/>
        <w:rPr/>
      </w:pPr>
      <w:r>
        <w:rPr/>
        <w:t> </w:t>
      </w:r>
    </w:p>
    <w:tbl>
      <w:tblPr>
        <w:tblW w:w="4805" w:type="dxa"/>
        <w:jc w:val="left"/>
        <w:tblInd w:w="0" w:type="dxa"/>
        <w:tblLayout w:type="fixed"/>
        <w:tblCellMar>
          <w:top w:w="28" w:type="dxa"/>
          <w:left w:w="28" w:type="dxa"/>
          <w:bottom w:w="28" w:type="dxa"/>
          <w:right w:w="28" w:type="dxa"/>
        </w:tblCellMar>
      </w:tblPr>
      <w:tblGrid>
        <w:gridCol w:w="3181"/>
        <w:gridCol w:w="346"/>
        <w:gridCol w:w="211"/>
        <w:gridCol w:w="67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4" w:type="dxa"/>
            <w:gridSpan w:val="4"/>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2024</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 and thereafter</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391" w:type="dxa"/>
            <w:tcBorders/>
            <w:shd w:fill="FFFFFF" w:val="cle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Accounts payable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payable and accrued expenses consisted of the following:</w:t>
      </w:r>
    </w:p>
    <w:p>
      <w:pPr>
        <w:pStyle w:val="TextBody"/>
        <w:bidi w:val="0"/>
        <w:jc w:val="left"/>
        <w:rPr/>
      </w:pPr>
      <w:r>
        <w:rPr/>
        <w:t> </w:t>
      </w:r>
    </w:p>
    <w:tbl>
      <w:tblPr>
        <w:tblW w:w="7172" w:type="dxa"/>
        <w:jc w:val="left"/>
        <w:tblInd w:w="0" w:type="dxa"/>
        <w:tblLayout w:type="fixed"/>
        <w:tblCellMar>
          <w:top w:w="28" w:type="dxa"/>
          <w:left w:w="28" w:type="dxa"/>
          <w:bottom w:w="28" w:type="dxa"/>
          <w:right w:w="28" w:type="dxa"/>
        </w:tblCellMar>
      </w:tblPr>
      <w:tblGrid>
        <w:gridCol w:w="4561"/>
        <w:gridCol w:w="146"/>
        <w:gridCol w:w="211"/>
        <w:gridCol w:w="676"/>
        <w:gridCol w:w="146"/>
        <w:gridCol w:w="146"/>
        <w:gridCol w:w="260"/>
        <w:gridCol w:w="835"/>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1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contracted research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91" w:type="dxa"/>
            <w:tcBorders/>
            <w:shd w:fill="FFFFFF" w:val="clear"/>
            <w:vAlign w:val="center"/>
          </w:tcPr>
          <w:p>
            <w:pPr>
              <w:pStyle w:val="TableContents"/>
              <w:bidi w:val="0"/>
              <w:spacing w:before="0" w:after="283"/>
              <w:jc w:val="left"/>
              <w:rPr/>
            </w:pPr>
            <w:r>
              <w:rPr/>
              <w:t> </w:t>
            </w:r>
          </w:p>
        </w:tc>
      </w:tr>
      <w:tr>
        <w:trPr/>
        <w:tc>
          <w:tcPr>
            <w:tcW w:w="4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2020, the Company entered into an “at-the-market” equity offering sales agreement, amended as of March 2022, with Jefferies LLC and Stifel, Nicolaus &amp; Company, Incorporated pursuant to which the Company may sell common shares from time to time. In January 2021, the Company sold an aggregate of 733,000 common shares for proceeds of $10,693, net of commissions and transaction expenses pursuant to a prospectus supplement filed in August 2020 (“August 2020 ATM”). The Company may sell common shares having gross proceeds of up to $250,000, from time to time, pursuant to a new prospectus supplement filed in March 2022 (“March 2022 ATM”), replacing the August 2020 ATM. As of June 30, 2024, the Company has sold an aggregate of 855,685 common shares for proceeds of $29,508, net of commissions and transaction expenses under the March 2022 ATM.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pre-funded warrants activity for the three and six months ended June 30, 2024 and 2023:</w:t>
      </w:r>
    </w:p>
    <w:p>
      <w:pPr>
        <w:pStyle w:val="TextBody"/>
        <w:bidi w:val="0"/>
        <w:jc w:val="both"/>
        <w:rPr/>
      </w:pPr>
      <w:r>
        <w:rPr/>
        <w:t> </w:t>
      </w:r>
    </w:p>
    <w:tbl>
      <w:tblPr>
        <w:tblW w:w="8397" w:type="dxa"/>
        <w:jc w:val="left"/>
        <w:tblInd w:w="0" w:type="dxa"/>
        <w:tblLayout w:type="fixed"/>
        <w:tblCellMar>
          <w:top w:w="28" w:type="dxa"/>
          <w:left w:w="28" w:type="dxa"/>
          <w:bottom w:w="28" w:type="dxa"/>
          <w:right w:w="28" w:type="dxa"/>
        </w:tblCellMar>
      </w:tblPr>
      <w:tblGrid>
        <w:gridCol w:w="2836"/>
        <w:gridCol w:w="146"/>
        <w:gridCol w:w="146"/>
        <w:gridCol w:w="931"/>
        <w:gridCol w:w="146"/>
        <w:gridCol w:w="146"/>
        <w:gridCol w:w="146"/>
        <w:gridCol w:w="931"/>
        <w:gridCol w:w="166"/>
        <w:gridCol w:w="146"/>
        <w:gridCol w:w="146"/>
        <w:gridCol w:w="931"/>
        <w:gridCol w:w="146"/>
        <w:gridCol w:w="146"/>
        <w:gridCol w:w="146"/>
        <w:gridCol w:w="931"/>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2,678,861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3,103,864</w:t>
            </w:r>
          </w:p>
        </w:tc>
        <w:tc>
          <w:tcPr>
            <w:tcW w:w="211" w:type="dxa"/>
            <w:tcBorders/>
            <w:shd w:fill="CFF0FC" w:val="cle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Exercised </w:t>
            </w:r>
            <w:r>
              <w:rPr>
                <w:rFonts w:ascii="Times New Roman" w:hAnsi="Times New Roman"/>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2,253,858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2,253,858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Calibri;sans-serif" w:hAnsi="Calibri;sans-serif"/>
          <w:sz w:val="22"/>
        </w:rPr>
      </w:pPr>
      <w:r>
        <w:rPr>
          <w:rFonts w:ascii="Times New Roman" w:hAnsi="Times New Roman"/>
          <w:color w:val="000000"/>
          <w:sz w:val="20"/>
        </w:rPr>
        <w:t>During the six months ended June 30, 2023, the Company issued 850,000</w:t>
      </w:r>
      <w:r>
        <w:rPr>
          <w:rFonts w:ascii="Calibri;sans-serif" w:hAnsi="Calibri;sans-serif"/>
          <w:color w:val="000000"/>
          <w:sz w:val="22"/>
        </w:rPr>
        <w:t xml:space="preserve"> </w:t>
      </w:r>
      <w:r>
        <w:rPr>
          <w:rFonts w:ascii="Times New Roman" w:hAnsi="Times New Roman"/>
          <w:color w:val="000000"/>
          <w:sz w:val="20"/>
        </w:rPr>
        <w:t>common shares upon the exercise of 850,006</w:t>
      </w:r>
      <w:r>
        <w:rPr>
          <w:rFonts w:ascii="Calibri;sans-serif" w:hAnsi="Calibri;sans-serif"/>
          <w:color w:val="000000"/>
          <w:sz w:val="22"/>
        </w:rPr>
        <w:t xml:space="preserve"> </w:t>
      </w:r>
      <w:r>
        <w:rPr>
          <w:rFonts w:ascii="Times New Roman" w:hAnsi="Times New Roman"/>
          <w:color w:val="000000"/>
          <w:sz w:val="20"/>
        </w:rPr>
        <w:t xml:space="preserve">pre-funded warrants pursuant to a net exercise mechanism under the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pre-funded warrant is exercisable for the purchase of a common share at the holder's discretion at an exercise price of $0.0001, subject to certain post-exercise beneficial ownership limitations as provided under the terms of the pre-funded warrant. Pre-funded warrants to purchase 2,173,081 (June 30, 2023 – 2,253,858) common shares are not included in the number of issued and outstanding common shares as of June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stock option activity for the six months ended June 30, 2024 and 2023: </w:t>
      </w:r>
    </w:p>
    <w:p>
      <w:pPr>
        <w:pStyle w:val="TextBody"/>
        <w:bidi w:val="0"/>
        <w:jc w:val="both"/>
        <w:rPr/>
      </w:pPr>
      <w:r>
        <w:rPr/>
        <w:t> </w:t>
      </w:r>
    </w:p>
    <w:tbl>
      <w:tblPr>
        <w:tblW w:w="9112" w:type="dxa"/>
        <w:jc w:val="left"/>
        <w:tblInd w:w="0" w:type="dxa"/>
        <w:tblLayout w:type="fixed"/>
        <w:tblCellMar>
          <w:top w:w="28" w:type="dxa"/>
          <w:left w:w="28" w:type="dxa"/>
          <w:bottom w:w="28" w:type="dxa"/>
          <w:right w:w="28" w:type="dxa"/>
        </w:tblCellMar>
      </w:tblPr>
      <w:tblGrid>
        <w:gridCol w:w="2836"/>
        <w:gridCol w:w="146"/>
        <w:gridCol w:w="146"/>
        <w:gridCol w:w="1036"/>
        <w:gridCol w:w="166"/>
        <w:gridCol w:w="296"/>
        <w:gridCol w:w="1159"/>
        <w:gridCol w:w="146"/>
        <w:gridCol w:w="146"/>
        <w:gridCol w:w="146"/>
        <w:gridCol w:w="931"/>
        <w:gridCol w:w="166"/>
        <w:gridCol w:w="296"/>
        <w:gridCol w:w="1159"/>
        <w:gridCol w:w="14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beginning of period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8,894,502</w:t>
            </w:r>
          </w:p>
        </w:tc>
        <w:tc>
          <w:tcPr>
            <w:tcW w:w="16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7,117,782</w:t>
            </w:r>
          </w:p>
        </w:tc>
        <w:tc>
          <w:tcPr>
            <w:tcW w:w="16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2,387,619</w:t>
            </w:r>
          </w:p>
        </w:tc>
        <w:tc>
          <w:tcPr>
            <w:tcW w:w="16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2,093,973</w:t>
            </w:r>
          </w:p>
        </w:tc>
        <w:tc>
          <w:tcPr>
            <w:tcW w:w="16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end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8,681,808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2024, the Company issued 296,573 (2023 – 280,649) common shares for the cashless exercise of 448,069 (2023 – 391,746) 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each stock option granted is estimated using the Black-Scholes option-pricing model with the following weighted-average assumptions:</w:t>
      </w:r>
    </w:p>
    <w:p>
      <w:pPr>
        <w:pStyle w:val="TextBody"/>
        <w:bidi w:val="0"/>
        <w:jc w:val="both"/>
        <w:rPr/>
      </w:pPr>
      <w:r>
        <w:rPr/>
        <w:t> </w:t>
      </w:r>
    </w:p>
    <w:tbl>
      <w:tblPr>
        <w:tblW w:w="9621" w:type="dxa"/>
        <w:jc w:val="left"/>
        <w:tblInd w:w="0" w:type="dxa"/>
        <w:tblLayout w:type="fixed"/>
        <w:tblCellMar>
          <w:top w:w="28" w:type="dxa"/>
          <w:left w:w="28" w:type="dxa"/>
          <w:bottom w:w="28" w:type="dxa"/>
          <w:right w:w="28" w:type="dxa"/>
        </w:tblCellMar>
      </w:tblPr>
      <w:tblGrid>
        <w:gridCol w:w="4411"/>
        <w:gridCol w:w="146"/>
        <w:gridCol w:w="241"/>
        <w:gridCol w:w="653"/>
        <w:gridCol w:w="309"/>
        <w:gridCol w:w="167"/>
        <w:gridCol w:w="241"/>
        <w:gridCol w:w="653"/>
        <w:gridCol w:w="271"/>
        <w:gridCol w:w="146"/>
        <w:gridCol w:w="220"/>
        <w:gridCol w:w="596"/>
        <w:gridCol w:w="283"/>
        <w:gridCol w:w="152"/>
        <w:gridCol w:w="220"/>
        <w:gridCol w:w="596"/>
        <w:gridCol w:w="3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309"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8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stock options granted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Performance Share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2024, the Company granted 195,000 PSUs to officers and certain employees. The vesting conditions, vesting period and expiry of the PSUs are determined by the board of directors, subject to the terms of the Amended and Restated 2014 Equity Incentive Plan. PSUs vest upon the achievement of certain predefined company-specific performance-based criteria on or before December 31, 2027, subject to continued employment to each performance objective achievement date. No PSUs vested during the six months ended June 30, 2024.</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 purchase agreement with 1st Order Pharmaceuticals, Inc.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(XEN1101) from 1st Order pursuant to an asset purchase agreement. In August 2020, the Company and 1st Order amended the asset purchase agreement to amend certain definitions in the agreement and to modify the payment schedule for certain milestones. Through June 30, 2024,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Guarantees and indemnifications: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_discussion_analysis"/>
      <w:bookmarkEnd w:id="9"/>
      <w:r>
        <w:rPr>
          <w:rFonts w:ascii="Times New Roman" w:hAnsi="Times New Roman"/>
          <w:b/>
          <w:color w:val="000000"/>
          <w:sz w:val="20"/>
        </w:rPr>
        <w:t>ITEM 2. MANAGEMENT’S DISCUSSION AND ANALYSIS OF FINANCIAL CONDITION AND RESULTS OF OPERATIONS</w:t>
      </w:r>
    </w:p>
    <w:p>
      <w:pPr>
        <w:pStyle w:val="TextBody"/>
        <w:bidi w:val="0"/>
        <w:jc w:val="left"/>
        <w:rPr>
          <w:rFonts w:ascii="Times New Roman" w:hAnsi="Times New Roman"/>
          <w:sz w:val="20"/>
        </w:rPr>
      </w:pPr>
      <w:r>
        <w:rPr>
          <w:rFonts w:ascii="Times New Roman" w:hAnsi="Times New Roman"/>
          <w:i/>
          <w:color w:val="000000"/>
          <w:sz w:val="20"/>
        </w:rPr>
        <w:t>This section should be read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2023 included in our Annual Report on Form 10-K filed with the U.S. Securities and Exchange Commission on February 29, 2024 and with the securities commissions in British Columbia, Alberta and Ontario on February 29, 2024.</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32" w:after="283"/>
        <w:jc w:val="left"/>
        <w:rPr>
          <w:rFonts w:ascii="Times New Roman" w:hAnsi="Times New Roman"/>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crises on our business and operations, including supply chain, manufacturing, research and development costs, clinical trial conduct, clinical trial data and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neuroscience-focused biopharmaceutical company committed to improving the lives of people living with neurological and psychiatric disorders. We are advancing a novel product pipeline to address areas of high unmet medical need, including epilepsy and depression.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Azetukalner (XEN1101) is a novel, potent Kv7 potassium channel opener being developed for the treatment of epilepsy, including focal onset seizures, or FOS and primary generalized tonic-clonic seizures, or PGTCS, as well as major depressive disorder, or MDD, with the Company exploring applicability in other neuropsychiatric disorders.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FOS studies continue to advance, with the first topline data readout from X-TOLE2 anticipated in the second half of 2025. The Phase 3 FOS clinical trials are multicenter, randomized, double-blind, placebo-controlled studies evaluating the clinical efficacy, safety, and tolerability of azetukalner in patients with FOS.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X-ACKT clinical trial is currently enrolling patients and is intended to support potential regulatory submissions in an additional epilepsy indication of PGTCS. This multicenter, randomized, double-blind, placebo-controlled trial is evaluating the clinical efficacy, safety and tolerability of azetukalner in patients with PGTCS.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X-TOLE Phase 2b open-label extension, or OLE, has been extended to seven years and continues to generate important long-term data for azetukalner beyond the 600 patient-years of exposure to date. Upon completion of the double-blind period in the Phase 3 epilepsy studies, eligible patients may enter an OLE study for up to three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presented Phase 2 X-NOVA data at the American Society of Clinical Psychopharmacology, or ASCP, meeting in May. The X-NOVA study evaluated azetukalner in patients with MDD. The first of three planned Phase 3 clinical trials is expected to initiate in the second half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support the investigator-sponsored Phase 2 proof-of-concept study of azetukalner in MDD led by Icahn School of Medicine at Mount Sinai, with patient enrollment anticipated to complete this quarter.</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Early-Stage Pipeline: Next Generation Ion Channel Modulators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leaders in the small molecule ion channel space, we continue to leverage our extensive expertise to discover and develop potassium and sodium channel therapeutics. We are evaluating multiple therapeutic candidates targeting Kv7, Nav1.7, and Nav1.1 across various indications with the goal of filing multiple INDs, or equivalent,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nominated multiple Kv7 development candidates, with a lead candidate in IND-enabling studies. Kv7 may have utility in a broad range of therapeutic indications including seizures, pain, and neuropsychiatric disorders, such as MDD.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lead Nav1.7 candidate is expected to enter IND-enabling studies in the near term. Nav1.7 is an important pain-related target, based on strong human genetic validation, that may represent a new class of medicines without the limitations of opioids.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nominate a lead Nav 1.1 candidate, as pre-clinical data suggests that targeting Nav1.1 could potentially address the underlying cause and symptoms of Dravet Syndrome.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Partnered Program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As part of our ongoing collaboration with Neurocrine Biosciences to develop treatments for epilepsy, a Phase 2 clinical trial is evaluating NBI-921352 (formerly XEN901) in an orphan pediatric epilepsy (SCN8A-DEE), and the next lead candidate, a Nav1.2/1.6 inhibitor, is in IND-enabling studies with the intent to progress into human clinical trials in 2025 as a potential treatment for focal onset seizures.</w:t>
      </w:r>
      <w:r>
        <w:rPr>
          <w:color w:val="444444"/>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We had a net loss of $105.9 million and $89.2 million for the six months ended June 30, 2024 and 2023, respectively. As of June 30, 2024, we had an accumulated deficit of $771.0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pre-clinical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and six months ended June 30, 2024 and 2023 (in thousands):</w:t>
      </w:r>
    </w:p>
    <w:p>
      <w:pPr>
        <w:pStyle w:val="TextBody"/>
        <w:bidi w:val="0"/>
        <w:jc w:val="left"/>
        <w:rPr/>
      </w:pPr>
      <w:r>
        <w:rPr/>
        <w:t> </w:t>
      </w:r>
    </w:p>
    <w:tbl>
      <w:tblPr>
        <w:tblW w:w="7480" w:type="dxa"/>
        <w:jc w:val="left"/>
        <w:tblInd w:w="0" w:type="dxa"/>
        <w:tblLayout w:type="fixed"/>
        <w:tblCellMar>
          <w:top w:w="28" w:type="dxa"/>
          <w:left w:w="28" w:type="dxa"/>
          <w:bottom w:w="28" w:type="dxa"/>
          <w:right w:w="28" w:type="dxa"/>
        </w:tblCellMar>
      </w:tblPr>
      <w:tblGrid>
        <w:gridCol w:w="2311"/>
        <w:gridCol w:w="146"/>
        <w:gridCol w:w="231"/>
        <w:gridCol w:w="741"/>
        <w:gridCol w:w="160"/>
        <w:gridCol w:w="160"/>
        <w:gridCol w:w="231"/>
        <w:gridCol w:w="741"/>
        <w:gridCol w:w="146"/>
        <w:gridCol w:w="146"/>
        <w:gridCol w:w="211"/>
        <w:gridCol w:w="781"/>
        <w:gridCol w:w="146"/>
        <w:gridCol w:w="146"/>
        <w:gridCol w:w="211"/>
        <w:gridCol w:w="7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49,702</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and discovery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trials,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Unrealized fair value gain (loss) on trading securities.</w:t>
      </w:r>
      <w:r>
        <w:rPr>
          <w:rFonts w:ascii="Times New Roman" w:hAnsi="Times New Roman"/>
          <w:color w:val="000000"/>
          <w:sz w:val="20"/>
        </w:rPr>
        <w:t xml:space="preserve"> Trading securities are recorded at fair value. Unrealized fair value gain (loss) on trading securities is related to changes in market pricing on the investments during the period. </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 (loss).</w:t>
      </w:r>
      <w:r>
        <w:rPr>
          <w:rFonts w:ascii="Times New Roman" w:hAnsi="Times New Roman"/>
          <w:color w:val="000000"/>
          <w:sz w:val="20"/>
        </w:rPr>
        <w:t xml:space="preserve"> Net foreign exchange gain (loss) consists of gains and losses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 revenue recognition, research and development costs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policies and significant judgments and estimates during the six months ended June 30, 2024, as compared to those disclosed in “Management’s Discussion and Analysis of Financial Conditions and Results of Operations - Critical Accounting Policies and Significant Judgments and Estimates” included in our 2023 Annual Report on Form 10-K filed with the U.S. Securities and Exchange Commission, or SEC, and with the securities commissions in British Columbia, Alberta and Ontario, or the Canadian Securities Commissions, on February 29, 2024. We believe that the accounting policies discussed in the Annual Report are critical to understanding our historical and future performance, as these policies relate to the more significant areas involving management’s judgments and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and six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three and six months ended June 30, 2024 and 2023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1"/>
        <w:gridCol w:w="146"/>
        <w:gridCol w:w="211"/>
        <w:gridCol w:w="736"/>
        <w:gridCol w:w="166"/>
        <w:gridCol w:w="146"/>
        <w:gridCol w:w="211"/>
        <w:gridCol w:w="736"/>
        <w:gridCol w:w="166"/>
        <w:gridCol w:w="146"/>
        <w:gridCol w:w="243"/>
        <w:gridCol w:w="848"/>
        <w:gridCol w:w="166"/>
        <w:gridCol w:w="146"/>
        <w:gridCol w:w="211"/>
        <w:gridCol w:w="841"/>
        <w:gridCol w:w="166"/>
        <w:gridCol w:w="146"/>
        <w:gridCol w:w="211"/>
        <w:gridCol w:w="736"/>
        <w:gridCol w:w="166"/>
        <w:gridCol w:w="146"/>
        <w:gridCol w:w="243"/>
        <w:gridCol w:w="848"/>
        <w:gridCol w:w="413"/>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413" w:type="dxa"/>
            <w:tcBorders/>
            <w:shd w:fill="FFFFFF" w:val="clear"/>
            <w:vAlign w:val="center"/>
          </w:tcPr>
          <w:p>
            <w:pPr>
              <w:pStyle w:val="TableContents"/>
              <w:bidi w:val="0"/>
              <w:spacing w:before="0" w:after="283"/>
              <w:jc w:val="center"/>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413"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13,074</w:t>
            </w:r>
          </w:p>
        </w:tc>
        <w:tc>
          <w:tcPr>
            <w:tcW w:w="413"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for the three and six months ended June 30, 2024 and 2023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6"/>
        <w:gridCol w:w="146"/>
        <w:gridCol w:w="211"/>
        <w:gridCol w:w="676"/>
        <w:gridCol w:w="146"/>
        <w:gridCol w:w="146"/>
        <w:gridCol w:w="211"/>
        <w:gridCol w:w="676"/>
        <w:gridCol w:w="146"/>
        <w:gridCol w:w="146"/>
        <w:gridCol w:w="265"/>
        <w:gridCol w:w="795"/>
        <w:gridCol w:w="166"/>
        <w:gridCol w:w="146"/>
        <w:gridCol w:w="211"/>
        <w:gridCol w:w="676"/>
        <w:gridCol w:w="146"/>
        <w:gridCol w:w="146"/>
        <w:gridCol w:w="211"/>
        <w:gridCol w:w="676"/>
        <w:gridCol w:w="146"/>
        <w:gridCol w:w="146"/>
        <w:gridCol w:w="259"/>
        <w:gridCol w:w="832"/>
        <w:gridCol w:w="414"/>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414" w:type="dxa"/>
            <w:tcBorders/>
            <w:shd w:fill="FFFFFF" w:val="clear"/>
            <w:vAlign w:val="center"/>
          </w:tcPr>
          <w:p>
            <w:pPr>
              <w:pStyle w:val="TableContents"/>
              <w:bidi w:val="0"/>
              <w:spacing w:before="0" w:after="283"/>
              <w:jc w:val="center"/>
              <w:rPr/>
            </w:pPr>
            <w:r>
              <w:rPr/>
              <w:t> </w:t>
            </w:r>
          </w:p>
        </w:tc>
      </w:tr>
      <w:tr>
        <w:trPr/>
        <w:tc>
          <w:tcPr>
            <w:tcW w:w="2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2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XEN496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4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and discovery programs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414" w:type="dxa"/>
            <w:tcBorders/>
            <w:shd w:fill="FFFFFF" w:val="clear"/>
            <w:vAlign w:val="center"/>
          </w:tcPr>
          <w:p>
            <w:pPr>
              <w:pStyle w:val="TableContents"/>
              <w:bidi w:val="0"/>
              <w:spacing w:before="0" w:after="283"/>
              <w:jc w:val="left"/>
              <w:rPr/>
            </w:pPr>
            <w:r>
              <w:rPr/>
              <w:t> </w:t>
            </w:r>
          </w:p>
        </w:tc>
      </w:tr>
      <w:tr>
        <w:trPr/>
        <w:tc>
          <w:tcPr>
            <w:tcW w:w="2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9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2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Personnel-related (including stock-based </w:t>
              <w:br/>
              <w:t>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2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Facilities and other unallocated research and </w:t>
              <w:br/>
              <w:t>development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$5.7 million and $10.4 million in the three and six months ended June 30, 2024, respectively, as compared to the same periods in 2023. The increases were primarily attributable to direct external costs related to our pre-clinical and discovery programs to advance multiple potential drug candidates targeting Kv7, Nav1.7 and Nav1.1, as well as personnel-related costs due to increased headcount to support late-stage development and stock-based compensation expense due to an increase in the number of options granted at a higher fair value, partially offset by a decrease in spend on XEN496. The decrease in XEN496 costs was attributed to decreased external costs to support the EPIK clinical trial and open label extension as a result of our decision in May 2023 to no longer pursue the clinical development of XEN496. For the six months ended June 30, 2024, the increase in our azetukalner program costs is driven by manufacturing activities to support current and future clinical trials and a potential NDA submission, partially offset by a decrease in direct external costs related to our X-NOVA Phase 2 MDD clinical trial which completed in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for the three and six months ended June 30, 2024 and 2023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3"/>
        <w:gridCol w:w="146"/>
        <w:gridCol w:w="211"/>
        <w:gridCol w:w="676"/>
        <w:gridCol w:w="146"/>
        <w:gridCol w:w="146"/>
        <w:gridCol w:w="211"/>
        <w:gridCol w:w="676"/>
        <w:gridCol w:w="146"/>
        <w:gridCol w:w="146"/>
        <w:gridCol w:w="300"/>
        <w:gridCol w:w="763"/>
        <w:gridCol w:w="166"/>
        <w:gridCol w:w="146"/>
        <w:gridCol w:w="211"/>
        <w:gridCol w:w="676"/>
        <w:gridCol w:w="146"/>
        <w:gridCol w:w="146"/>
        <w:gridCol w:w="211"/>
        <w:gridCol w:w="676"/>
        <w:gridCol w:w="146"/>
        <w:gridCol w:w="146"/>
        <w:gridCol w:w="264"/>
        <w:gridCol w:w="848"/>
        <w:gridCol w:w="193"/>
      </w:tblGrid>
      <w:tr>
        <w:trPr/>
        <w:tc>
          <w:tcPr>
            <w:tcW w:w="2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93" w:type="dxa"/>
            <w:tcBorders/>
            <w:shd w:fill="FFFFFF" w:val="clear"/>
            <w:vAlign w:val="center"/>
          </w:tcPr>
          <w:p>
            <w:pPr>
              <w:pStyle w:val="TableContents"/>
              <w:bidi w:val="0"/>
              <w:spacing w:before="0" w:after="283"/>
              <w:jc w:val="center"/>
              <w:rPr/>
            </w:pPr>
            <w:r>
              <w:rPr/>
              <w:t> </w:t>
            </w:r>
          </w:p>
        </w:tc>
      </w:tr>
      <w:tr>
        <w:trPr/>
        <w:tc>
          <w:tcPr>
            <w:tcW w:w="2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w:t>
            </w:r>
          </w:p>
        </w:tc>
        <w:tc>
          <w:tcPr>
            <w:tcW w:w="193" w:type="dxa"/>
            <w:tcBorders/>
            <w:shd w:fill="CFF0FC" w:val="clear"/>
            <w:vAlign w:val="center"/>
          </w:tcPr>
          <w:p>
            <w:pPr>
              <w:pStyle w:val="TableContents"/>
              <w:bidi w:val="0"/>
              <w:spacing w:before="0" w:after="283"/>
              <w:jc w:val="left"/>
              <w:rPr/>
            </w:pPr>
            <w:r>
              <w:rPr/>
              <w:t> </w:t>
            </w:r>
          </w:p>
        </w:tc>
      </w:tr>
      <w:tr>
        <w:trPr/>
        <w:tc>
          <w:tcPr>
            <w:tcW w:w="2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93" w:type="dxa"/>
            <w:tcBorders/>
            <w:shd w:fill="FFFFFF" w:val="clear"/>
            <w:vAlign w:val="center"/>
          </w:tcPr>
          <w:p>
            <w:pPr>
              <w:pStyle w:val="TableContents"/>
              <w:bidi w:val="0"/>
              <w:spacing w:before="0" w:after="283"/>
              <w:jc w:val="left"/>
              <w:rPr/>
            </w:pPr>
            <w:r>
              <w:rPr/>
              <w:t> </w:t>
            </w:r>
          </w:p>
        </w:tc>
      </w:tr>
      <w:tr>
        <w:trPr/>
        <w:tc>
          <w:tcPr>
            <w:tcW w:w="2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$7.8 million and $13.1 million in the three and six months ended June 30, 2024, respectively, as compared to the same periods in 2023. The increases were primarily attributable to personnel-related costs due to increased headcount to support our expanding research and development activities and future potential commercialization, stock-based compensation expense due to an increase in the number of options granted at a higher fair value and higher professional and consulting fees, including legal costs and pre-commercial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for the three and six months ended June 30, 2024 and 2023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9"/>
        <w:gridCol w:w="146"/>
        <w:gridCol w:w="211"/>
        <w:gridCol w:w="676"/>
        <w:gridCol w:w="146"/>
        <w:gridCol w:w="146"/>
        <w:gridCol w:w="211"/>
        <w:gridCol w:w="571"/>
        <w:gridCol w:w="146"/>
        <w:gridCol w:w="146"/>
        <w:gridCol w:w="298"/>
        <w:gridCol w:w="893"/>
        <w:gridCol w:w="166"/>
        <w:gridCol w:w="146"/>
        <w:gridCol w:w="211"/>
        <w:gridCol w:w="676"/>
        <w:gridCol w:w="146"/>
        <w:gridCol w:w="146"/>
        <w:gridCol w:w="211"/>
        <w:gridCol w:w="676"/>
        <w:gridCol w:w="146"/>
        <w:gridCol w:w="146"/>
        <w:gridCol w:w="288"/>
        <w:gridCol w:w="925"/>
        <w:gridCol w:w="213"/>
      </w:tblGrid>
      <w:tr>
        <w:trPr/>
        <w:tc>
          <w:tcPr>
            <w:tcW w:w="2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213" w:type="dxa"/>
            <w:tcBorders/>
            <w:shd w:fill="FFFFFF" w:val="clear"/>
            <w:vAlign w:val="center"/>
          </w:tcPr>
          <w:p>
            <w:pPr>
              <w:pStyle w:val="TableContents"/>
              <w:bidi w:val="0"/>
              <w:spacing w:before="0" w:after="283"/>
              <w:jc w:val="center"/>
              <w:rPr/>
            </w:pPr>
            <w:r>
              <w:rPr/>
              <w:t> </w:t>
            </w:r>
          </w:p>
        </w:tc>
      </w:tr>
      <w:tr>
        <w:trPr/>
        <w:tc>
          <w:tcPr>
            <w:tcW w:w="2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213" w:type="dxa"/>
            <w:tcBorders/>
            <w:shd w:fill="CFF0FC" w:val="clear"/>
            <w:vAlign w:val="center"/>
          </w:tcPr>
          <w:p>
            <w:pPr>
              <w:pStyle w:val="TableContents"/>
              <w:bidi w:val="0"/>
              <w:spacing w:before="0" w:after="283"/>
              <w:jc w:val="left"/>
              <w:rPr/>
            </w:pPr>
            <w:r>
              <w:rPr/>
              <w:t> </w:t>
            </w:r>
          </w:p>
        </w:tc>
      </w:tr>
      <w:tr>
        <w:trPr/>
        <w:tc>
          <w:tcPr>
            <w:tcW w:w="25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increased by $2.9 million and $6.8 million in the three and six month periods ended June 30, 2024, respectively, as compared to the same periods in 2023. The increases were primarily attributable to an increase in interest income due to a higher balance of marketable securities and an increase in market yields on investments. This is partially offset by a decrease in the unrealized fair value gain on trading securities as we did not hold any marketable securities classified as trading securities during the three and six month periods ended June 30, 2024.</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of equity securities, funding received from collaboration and license agreements, and debt financing. Since our initial public offering through June 30, 2024, we have raised aggregate net cash proceeds of more than $1.3 billion primarily from the issuance of equity securities. As of June 30, 2024, we had cash and cash equivalents and marketable securities of $850.6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in August 2020, amended as of March 2022, with Jefferies LLC and Stifel, Nicolaus &amp; Company, Incorporated and a new prospectus supplement was filed with the SEC on March 1, 2022, or the March 2022 ATM, pursuant to which we may sell common shares having gross proceeds of up to $250.0 million, from time to time. As of June 30, 2024, an aggregate of 855,685 common shares have been sold for proceeds of $29.5 million, net of commissions and transaction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June 30, 2024, we had an accumulated deficit of $771.0 million. We expect to continue to incur significant expenses in excess of our revenue and expect to incur operating losses over the next several years. Our net losses may fluctuate significantly from quarter to quarter and year to year. We expect to incur significant expenses and increasing operating losses for the foreseeable future as we continue our research and pre-clinical and clinical development of our product candidates; expand the scope of our studies for our current and prospective product candidates; initiate additional pre-clinical, clinical or other studies for our product candidates; manufacture drug supply and drug product for clinical trials and commercialization; seek regulatory and marketing approvals for any of our product candidates that successfully complete clinical studies; hire and retain additional personnel; seek to identify, and validate additional product candidates;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trials is costly, and the timing of progress in these trials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trials.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six months ended June 30, 2024 and 2023 (in thousands):</w:t>
      </w:r>
    </w:p>
    <w:p>
      <w:pPr>
        <w:pStyle w:val="TextBody"/>
        <w:bidi w:val="0"/>
        <w:jc w:val="left"/>
        <w:rPr/>
      </w:pPr>
      <w:r>
        <w:rPr/>
        <w:t> </w:t>
      </w:r>
    </w:p>
    <w:tbl>
      <w:tblPr>
        <w:tblW w:w="6014" w:type="dxa"/>
        <w:jc w:val="left"/>
        <w:tblInd w:w="0" w:type="dxa"/>
        <w:tblLayout w:type="fixed"/>
        <w:tblCellMar>
          <w:top w:w="28" w:type="dxa"/>
          <w:left w:w="28" w:type="dxa"/>
          <w:bottom w:w="28" w:type="dxa"/>
          <w:right w:w="28" w:type="dxa"/>
        </w:tblCellMar>
      </w:tblPr>
      <w:tblGrid>
        <w:gridCol w:w="3451"/>
        <w:gridCol w:w="146"/>
        <w:gridCol w:w="211"/>
        <w:gridCol w:w="736"/>
        <w:gridCol w:w="166"/>
        <w:gridCol w:w="146"/>
        <w:gridCol w:w="211"/>
        <w:gridCol w:w="736"/>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2024, net cash used in operating activities totaled $75.9 million, compared to $67.6 million for the same period in 2023. The increase in cash used in operating activities was primarily related to higher research and development and general and administrative expenses, as well as changes in operating assets and liabilities. This was partially offset by higher interest income.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net cash provided by investing activities totaled $64.5 million, compared to $74.5 million for the same period in 2023. The change was driven primarily by an increase in the purchases of marketable securities, net of redemptions. This was partially offset by a decrease in the purchases of property, plant and equipment.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significant contractual obligations as of December 31, 2023 were reported in our Annual Report on Form 10-K, filed with the SEC and the Canadian Securities Commissions on February 29,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there have been no material changes from the contractual commitments previously disclosed in the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engage in any off-balance sheet financing activities. We do not have any interest in entities referred to as variable interest entities, which include special purposes entities and other structured finance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Outstanding Share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5, 2024, we had 75,764,505 common shares issued and outstanding, outstanding pre-funded warrants to purchase 2,173,081 common shares, outstanding stock options to purchase 10,656,473 common shares, outstanding PSUs convertible into 195,000 common shares and an outstanding warrant to purchase 40,000 common shares. </w:t>
      </w:r>
    </w:p>
    <w:p>
      <w:pPr>
        <w:pStyle w:val="TextBody"/>
        <w:bidi w:val="0"/>
        <w:spacing w:before="36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w:t>
      </w:r>
      <w:r>
        <w:rPr>
          <w:rFonts w:ascii="Times New Roman" w:hAnsi="Times New Roman"/>
          <w:color w:val="000000"/>
          <w:sz w:val="20"/>
        </w:rPr>
        <w:t xml:space="preserve"> </w:t>
      </w:r>
      <w:r>
        <w:rPr>
          <w:rFonts w:ascii="Times New Roman" w:hAnsi="Times New Roman"/>
          <w:b/>
          <w:color w:val="000000"/>
          <w:sz w:val="20"/>
        </w:rPr>
        <w:t>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U.S. dollar denominated cash and cash equivalents and marketable securities of $814.8 million and Canadian dollar denominated cash and cash equivalents and marketable securities of CAD$49.0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Canadian dollar denominated cash and cash equivalents, accounts receivable and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While we have experienced increased foreign exchange fluctuations in recent periods, we do not believe that an immediate 10% increase or decrease in the relative value of the U.S. dollar to the Canadian dollar would have a material effect on our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we had cash and cash equivalents and marketable securities of $850.6 million. Our interest rate sensitivity is primarily attributable to our cash and cash equivalents and marketable securities. A 100 basis point, or 1%, increase in interest rates would have resulted in approximately a $4.0 million decrease in the fair value of our marketable securities as of June 30, 2024. We do not enter into investments for speculative purposes and have not used any derivative financial instruments to manage interest rate exposure.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may generally affect us by increasing our cost of labor and research and development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three and six months ended June 30, 2024; however, operating expenses may continue to increase in future periods due to inflation.</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pStyle w:val="TextBody"/>
        <w:bidi w:val="0"/>
        <w:spacing w:before="120" w:after="283"/>
        <w:jc w:val="left"/>
        <w:rPr>
          <w:rFonts w:ascii="Times New Roman" w:hAnsi="Times New Roman"/>
          <w:sz w:val="20"/>
        </w:rPr>
      </w:pPr>
      <w:r>
        <w:rPr>
          <w:rFonts w:ascii="Times New Roman" w:hAnsi="Times New Roman"/>
          <w:color w:val="000000"/>
          <w:sz w:val="20"/>
        </w:rPr>
        <w:t>(b) Changes in internal control over financial reporting</w:t>
      </w:r>
      <w:r>
        <w:rPr>
          <w:rFonts w:ascii="Times New Roman" w:hAnsi="Times New Roman"/>
          <w:i/>
          <w:color w:val="000000"/>
          <w:sz w:val="20"/>
        </w:rPr>
        <w:t>.</w:t>
      </w:r>
      <w:r>
        <w:rPr>
          <w:rFonts w:ascii="Times New Roman" w:hAnsi="Times New Roman"/>
          <w:color w:val="000000"/>
          <w:sz w:val="20"/>
        </w:rPr>
        <w:t xml:space="preserve"> There were no changes in our internal control over financial reporting during the period ended June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 on the effectiveness of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sz w:val="20"/>
        </w:rPr>
      </w:pPr>
      <w:bookmarkStart w:id="14" w:name="about_this_prospectus_supplement"/>
      <w:bookmarkEnd w:id="14"/>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$105.9 million and $89.2 million for the six months ended June 30, 2024 and 2023, respectively, and an accumulated deficit of $771.0 million as of June 30, 2024,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our research and pre-clinical and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additional pre-clinical, clinical or other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label, serialize and distribute drug substance and drug product for clinical trials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personnel, such as clinical, quality assurance, regulatory, scientific, commercial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and validate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or other payments under our in-license or other agreements, including, without limitation, payments to 1st Order Pharmaceuticals, Inc.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distribution and other commercial infrastructure to commercialize any products for which we may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and incur additional costs to support our operations and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adverse issues with respect to any of the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trials, the development of any of our product candidates or commercialization. Our prior losses, combined with expected future losses, have had and will continue to have an adverse effect on our shareholders’ equity and working capital.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trials,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trials in addition to those currently expected, or if there are any delays in completing our clinical trials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trials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our existing collaborations generate substantial milestone payments and, ultimately, royalties on future approved products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 candidates is approved for the treatment of epilepsy, we anticipate that they could potentially compete with other anti-seizure medications, or ASMs, or one another. Commonly prescribed ASMs include brivaracetam, carbamazepine, cenobamate, clobazam, eslicarbazepine acetate, ethosuximide, gabapentin, lacosamide, lamotrigine, levetiracetam, oxcarbazepine, perampanel, phenytoin, topiramate, and valproate. There are other ASMs in development that could potentially compete with our products, including product candidates in development from Biohaven Ltd., Cerevel Therapeutics Holdings, Inc., Equilibre Biopharmaceuticals Corp., Johnson &amp; Johnson Innovative Medicine, Neurona Therapeutics Inc., Praxis Precision Medicines, Inc., Rapport Therapeutics, Inc., SK Life Science Inc., Supernus Pharmaceuticals, Inc., and Zhimeng Biopharma, Inc. If one or more of our proprietary product candidates were approved for the treatment of MDD, we anticipate that they could potentially compete with other anti-depressant medications, or ADs. Patients with MDD are typically treated with a variety of ADs, which include selective serotonin reuptake inhibitors, or SSRIs, benzodiazepines, serotonin / norepinephrine reuptake inhibitors, or SNRIs, norepinephrine and dopamine reuptake inhibitors, or NDRIs, N-methyl-D-aspartate, or NMDA, receptor agonists and atypical antipsychotics. Currently prescribed antidepressants include benzodiazepines, brexpiprazole, bupropion, bupropion/dextromethorphan, cariprazine, citalopram, duloxetine, escitalopram, esketamine, fluoxetine, ketamine, sertraline, trazodone, tricyclic agents, venlafaxine, vilazodone and vortioxetine. We are aware of several companies developing product candidates for the treatment of MDD including AbbVie Inc., Alto Neuroscience, Inc., Axsome Therapeutics, Inc., Biohaven Ltd., Intra-Cellular Therapies, Inc., Johnson &amp; Johnson Innovative Medicine, Neumora Therapeutics, Inc., Neurocrine Biosciences, Inc., Relmada Therapeutics, Inc. and Sage Therapeutics,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 marketed proprietary products and have not yet completed clinical development beyond Phase 2 clinical trials,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no previous experience in completing a Phase 3 clinical trial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 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trials,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trials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trial participants collected in connection with clinical trials,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trial sites. At the state level, the California Consumer Privacy Act of 2018, or CCPA, as amended and supplemented by the California Privacy Rights Act, imposes obligations on businesses to which it applies. The CCPA allows for statutory fines for noncompliance. Although the CCPA exempts some data processed in the context of clinical trials, the CCPA, to the extent applicable to our business and operations, may increase compliance costs and potential liability with respect to other personal information we maintain about California residents. Other states have also enacted data privacy laws. Additional data privacy and security laws have been proposed at the federal, state, and local levels in recent years, which could further complicate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continue to enact and modify their data privacy laws, which increases the complexity of the data privacy landscape.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trial data from completed or ongoing clinical trials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trials.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trials,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civil and political unrest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supply and other disruptions resulting from the impact of public health pandemics or epidemics on our strategic partners, third-party manufacturers, suppliers and other third parties upon which we rely.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2023 and we may be a PFIC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elsewhere play a primary role in the recommendation and prescription of any product candidates for which we obtain marketing approval. Our arrangements with healthcare providers, third-party payers, patients and other parties within the healthcare industry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(XEN1101).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and potentially other neurological disorders. Our future business success depends on the continued development and ultimate regulatory approval of azetukalner. We will need to successfully enroll and complete our azetukalner Phase 3 epilepsy clinical trials and any other future Phase 3 clinical trials.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trials and ultimate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pre-clinical studies and/or earlier clinical trials may not be predictive of the results of later-stage clinical trials and the results of our clinical trials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trial results. In addition, published clinical data or case reports from third parties or early clinical trial data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 in our Phase 3 clinical trials. The FDA, EMA or foreign regulatory authorities may disagree with our trial design and our interpretation of data from pre-clinical studies and clinical trials or require additional data.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FDA or another regulatory authority, approval of an NDA or equivalent filing may be significantly delayed or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shares.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NBI-921352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trials that each product candidate is both safe and effective for use in each target indication. Failure can occur at any time during the clinical trial process. Clinical trials often fail to demonstrate safety and efficacy of the product candidate studied for the target indication. Most product candidates that commence clinical trials are never approved as products. A number of companies in the biopharmaceutical industry have suffered significant setbacks in advanced clinical trials due to lack of efficacy or adverse safety profiles, notwithstanding promising results in earlier trials. In addition to the safety and efficacy trials of any product candidate, clinical trial failures may result from a multitude of factors including flaws in trial design, dose selection, statistical analysis plan, placebo effect, patient enrollment criteria, patient compliance and trial execution. Data obtained from trials and studies are susceptible to varying interpretations, and regulators may not interpret our data as favorably as we do, which may delay, limit or prevent regulatory approval. Failure of a clinical trial due to any of these reasons could materially harm our business and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trials may use novel endpoints and measurement methodologies or subjective patient feedback, which adds a layer of complexity to these clinical trials and may delay regulatory approval. Negative or inconclusive results from our, or our collaborators’, clinical trials could lead to a decision or requirement to conduct additional pre-clinical testing or clinical trials or result in a decision to terminate the continued development of a product candidate. For example, in October 2021, we released topline data from our Phase 2b X-TOLE clinical trial of azetukalner in adult patients with focal epilepsy. In addition, in November 2023, we released topline data from our Phase 2 X-NOVA clinical trial of azetukalner in patients with MDD. There can be no assurance that our ongoing azetukalner Phase 3 epilepsy clinical trials or any other future Phase 3 clinical trials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trials, such product candidates will be unable to obtain regulatory approval or be successfully commercialized. In addition, our, or our collaborators’, failure to demonstrate positive results in clinical trials in any indication for which we, or our collaborators, are developing clinical product candidates could adversely affect development efforts in other indications.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trials which could delay or prevent the successful completion of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trials in a timely manner, or at all. Patient enrollment for clinical trials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trial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trials. While we seek to choose trial sites with adequate staffing support, we cannot be certain that personnel turnover or the broader labor market dynamics in this industry will not negatively impact our trial sites. If our sites are negatively impacted by these factors, our ability to enroll our clinical trials in a timely fashion may be hindered and might negatively affect our business, development timelines,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studies and clinical trials that our, or our collaborators’, product candidates are safe and effective in humans. We, or our collaborators, may experience delays in completing our, or our collaborators’, clinical trials or pre-clinical studies, and initiating or completing additional clinical trials or pre-clinical studies, including as a result of regulators not allowing or delay in allowing clinical trials to proceed under an IND, or not approving or delaying approval for any clinical trial grant or similar approval we need to initiate a clinical trial. We, or our collaborators, may also experience numerous unforeseen events during our clinical trials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trial at a prospective trial site, or their suspension or termination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trial sites, the terms of which can be subject to extensive negotiation and may vary significantly among different CROs and trial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trial, adhere to the trial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trial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studies and clinical trials,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disruptions, caused by man-made or natural disasters, public health pandemics or epidemics, civil unrest or military conflict, or other business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 changes in regulatory requirements, policy and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trials, including in our azetukalner Phase 3 epilepsy clinical trials, whether as a result of pandemics, geopolitical events, or for any other reasons, may further delay the trials or cause them to be discontinued.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trials may not be adequate to support marketing approval. These clinical trials are lengthy and usually involve many hundreds to thousands of patients. Clinical trials can also be lengthy due to the challenge of identifying patients. Even if patients are successfully identified, they may fail screening criteria, including baseline seizure burden for epilepsy clinical trials, and, as a result, not be enrolled in the trial. Any challenges associated with identifying, screening and/or enrolling patients in our trials may extend the time needed to complete our clinical trials or require additional sites to be initiated in order to achieve target enrollment numbers and to complete our clinical trials, which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robust or significant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trials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trial is suspended or terminated by us, by our collaborators, by the IRBs of the institutions in which such trial is being conducted, by any Data Safety Monitoring Board for such trial, or by the FDA, EMA or other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trial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trial. Further, these protocol amendments may not be accepted by the review bodies in the form submitted, or at all, which may impact costs, timing or successful completion of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experience delays in the completion of, or termination of, any clinical trial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trials will increase our costs and slow down our product candidate development and approval process and may ultimately lead to the termination of a clinical trial and development of a product candidate.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or our collaborators’,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trials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side effects or unexpected characteristics. For example, while adverse events in our X-TOLE and X-NOVA clinical trials were generally mild or moderate in severity, there can be no guarantee that we will observe a similar tolerability profile of azetukalner in our ongoing Phase 3 epilepsy or other clinical trials or in other future clinical trials. Many compounds that initially showed promise in clinical or earlier-stage testing are later found to cause undesirable or unexpected side effects that prevented further development of the compound.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EMA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product candidates are developed through pre-clinical to late-stage clinical trials towards approval and commercialization, it is common that various aspects of the development program, such as manufacturing methods and formulations, are altered along the way in an effort to optimize products, processes and results, to extend patent protection and/or to target different populations. For example, we have developed a pediatric formulation for NBI-921352 that was included in the license to Neurocrine Biosciences.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trials or other future clinical trials conducted with the altered materials. This could delay completion of clinical trials, require the conduct of additional bridging clinical trials or the repetition of one or more clinical trials, increase clinical trial costs and/or delay or jeopardize approval of our product candidates and/or jeopardize our, or our collaborators’, ability to commence product sales and generate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trials are successfully completed, we cannot guarantee that the FDA, EMA or other foreign regulatory authorities in other jurisdictions will interpret the results as we do, and more trials, manufacturing-related studies or non-clinical studies could be required before we submit our product candidates for approval. Many companies that have believed their product candidates performed satisfactorily in pre-clinical studies and clinical trials have nonetheless failed to obtain marketing approval of their products. To the extent that the results of our studies and trials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foreign other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EMA or other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trials, or may approve a product with a label that does not include the labeling claims necessary or desirable for the successful commercialization of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EMA or other foreign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trial portal and database that will be maintained by the European Medicines Agency, or EMA, in collaboration with the European Commission and the EU Member States. The objectives of the CTR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The CTR authorizes EU Member States to regulate certain aspects of clinical trials at the national level. To the extent an EU Member State where we plan to conduct any of our clinical trials is slow to adopt CTIS or implements other regulatory changes at the national level, or technical issues are encountered with the CTIS system and/or process, our clinical trial may be delayed in such EU Member State, and our costs may be increased. The main legislation that applies to clinical trials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trials in the UK remain largely aligned with the EU position. 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trials, our development plans, including our azetukalner Phase 3 epilepsy clinical trials,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there may be approved treatments for some of the diseases or disorders for which we may seek approval, in order to receive regulatory approval, we may need to demonstrate in clinical trials that the product candidates we develop to treat those diseases or disorders are not only safe and effective, but may need to be compared to existing products, which may make it more difficult for our product candidates to receive regulatory approval or adequate reimbursement.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trials.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Although orphan drug designation has been granted in the United States and Europe to NBI-921352 for the treatment of SCN8A-DEE, we may not be able to realize any value from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NBI-921352, being developed by our collaborator Neurocrine Biosciences, has received orphan drug designation from the FDA and orphan medicinal product designation was granted by the European Commission for the treatment of SCN8A-DEE. Currently, orphan drug designation provides market exclusivity in the U.S. and the EU for seven years and ten years, respectively, if a product is the first such product approved for such orphan indication. In the EU, for orphan medicines, a valid and completed Pediatric Investigation Plan, or PIP, could qualify the sponsor for a two-year marketing exclusivity extension to the ten-year marketing exclusivity which is granted at the time of review of the orphan medicinal designation. The orphan drug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 Orphan drug designation does not provide the drug any advantage in the regulatory review or approval process other than potential fee reductions, nor does such designation increase the likelihood that the drug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Catalyst Pharms., Inc. v. Becerra, 14 F.4th 1299 (11th Cir. 2021), the court disagreed with the FDA’s longstanding position that the orphan drug exclusivity only applies to the approved use or indication within an eligible disease. This decision created uncertainty in the application of the orphan drug exclusivity in the U.S. On January 24, 2023, the FDA published a notice in the Federal Register to clarify that while the FDA complied with the court’s order in Catalyst, the FDA intends to continue to apply its longstanding interpretation of the regulations to matters outside of the scope of the Catalyst order – that is,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w:t>
      </w:r>
    </w:p>
    <w:p>
      <w:pPr>
        <w:pStyle w:val="TextBody"/>
        <w:bidi w:val="0"/>
        <w:spacing w:before="360" w:after="283"/>
        <w:jc w:val="left"/>
        <w:rPr>
          <w:rFonts w:ascii="Times New Roman" w:hAnsi="Times New Roman"/>
          <w:sz w:val="20"/>
        </w:rPr>
      </w:pPr>
      <w:r>
        <w:rPr>
          <w:rFonts w:ascii="Times New Roman" w:hAnsi="Times New Roman"/>
          <w:b/>
          <w:i/>
          <w:color w:val="000000"/>
          <w:sz w:val="20"/>
        </w:rPr>
        <w:t>Although the FDA has granted rare pediatric disease, or RPD, designation to NBI-921352 for the treatment of SCN8A-DEE, we may not be able to realize any value from such designation.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NBI-921352, being developed by our collaborator Neurocrine Biosciences, has received RPD designation for the treatment of SCN8A-DEE. The FDA defines a “rare pediatric disease” as a disease that affects fewer than 200,000 individuals in the U.S. primarily under the age of 18 years old. Under the FDA’s RPD priority review voucher program, upon the approval of an NDA or a biologics license application, BLA, for the treatment of an RPD, the sponsor of such application would be eligible for a priority review voucher that can be used to obtain priority review for a subsequent NDA or BLA. There is no assurance Neurocrine Biosciences will receive a RPD priority review voucher or that use of the priority review voucher will result in a faster review or approval for a subsequent marketing application. It is possible that even if Neurocrine Biosciences obtains approval for NBI-921352 in SCN8A-DEE and qualifies for such a priority review voucher, the program may no longer be in effect at the time of approval of this product candidate. Also, although priority review vouchers may be freely sold or transferred to third parties, there is no guarantee that we will be able to realize any value if we or any of our collaborators were to sell a priority review voucher to a third-party. In addition, Congress extended FDA authorization to designate RPDs through September 30, 2024 and award RPD priority review vouchers through September 30, 2026. RPD designation does not provide the drug any advantage in the regulatory review or approval process other than potential fee reductions, and priority review vouchers, nor does such designation increase the likelihood that the drug will receive marketing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trials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trials that we, or our collaborators, are required to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prescription drugs may be promoted only for the approved indications in accordance with the approved label. The FDA, EMA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EMA and other foreign regulators do restrict manufacturers' communications on the subject of off-label use of their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trials, import, and export, among other activities. For example, obtaining and maintaining the necessary registrations may result in delay of the importation, manufacturing or distribution of our controlled substance product candidates and may extend our anticipated timelines for clinical trials we run.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we develop may become subject to unfavorable third-party coverage and reimbursement practices, as well as pricing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will depend, in part, on the extent to which coverage and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payer coverage and reimbursement of newly approved products. Within the U.S., coverage and reimbursement varies from one third party payer to another. One third-party payer’s determination to provide coverage for a product candidate does not assure that other payers will also provide coverage for the product candidate. As a result, the coverage determination process is often time-consuming and costly. Factors payers consider in determining reimbursement are based on whether the product is: (i) a covered benefit under its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whether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private payers and by any future relaxation of laws that presently restrict imports of drugs from countries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or our collaborators,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Beyond the ACA, there are ongoing and widespread healthcare reform efforts, a number of which have focused on regulation of prices or payment for drug products. Drug pricing and payment reform was a focus of the Trump Administration and has been a focus of the Biden Administration. For example, federal legislation enacted in 2021 eliminates a statutory cap on Medicaid drug rebate program rebates effective January 1, 2024. As another example, the Inflation Reduction Act (IRA) of 2022 contains various drug price negotiation, inflationary rebate, and pricing provisions with varying implementation dates. The IRA allows the federal government to negotiate a maximum fair price for certain high-priced single-source Medicare drugs, impose penalties and excise tax for manufacturers that fail to comply with the drug price negotiation requirements, require inflation rebates for all Medicare Part B and Part D drugs (with limited exceptions) if their drug prices increase faster than inflation, and redesigns Medicare Part D to reduce out-of-pocket prescription drug costs for beneficiaries, among other changes. The impact of the IRA on our business and the broader pharmaceutical industry remains uncertain as implementation is ongoing. As another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These changes or other changes could affect the market conditions for our products. We expect continued scrutiny on drug pricing and government price reporting from Congress, agencies, and other 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and legal challenge. For example, with respect to the PPACA,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PPACA.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unable to predict the future course of federal or state healthcare legislation in the U.S. Any further changes in the law or regulatory framework could reduce our ability to generate revenue in the future or increase our costs, either of which could have a material and adverse effect on our business, financial condition and results of operations. The continuing efforts of the government and other third-party payers to contain or reduce costs of healthcare and/or impose price controls may adversely affect the demand for our product candidates, if approved, and our ability to achieve or maintain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broader legislative changes have been adopted that could have an adverse effect upon, and could prevent, our products’ commercial success. For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w:t>
      </w:r>
      <w:r>
        <w:rPr>
          <w:rFonts w:ascii="Times New Roman" w:hAnsi="Times New Roman"/>
          <w:b/>
          <w:color w:val="000000"/>
          <w:sz w:val="20"/>
        </w:rPr>
        <w:t>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trials and pre-clinical studies as well as packaging, labelling and distribution of clinical trial supplies. Our current strategy is to outsource all manufacturing of our product candidates to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trials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trials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trials or market demands, which could delay regulatory approvals and decrease our ability to generate profits and have a material adverse impact on our business and results of operation.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pre-clinical studies and clinical trials.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trial subjects than if we conducted these trials with our own personnel. For example, an investigator-sponsored Phase 2 proof-of-concept clinical trial examining azetukalner in MDD and anhedonia is being conducted in partnership with academic collaborators at the Icahn School of Medicine at Mount Sinai.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trial sponsors, principal investigators, clinical trial sites, manufacturing facilities, nonclinical testing facilities and other contractors. If we or any of our CROs or CMOs fail to comply with these applicable regulations, the clinical data generated in our non-clinical studies and clinical trials may be deemed unreliable and our submission of marketing applications may be delayed or the FDA, EMA or another foreign regulatory authority may require us to perform additional clinical trials before approving our marketing applications. Upon inspection, the FDA, EMA or another foreign regulatory authority could determine that any of our clinical trials fail or have failed to comply with applicable cGCP regulations. In addition, our clinical trials must be conducted with product produced under the cGMP regulations enforced by the FDA, EMA and other foreign regulatory authorities, and our clinical trials may require a large number of test subjects. Our failure to comply with cGLP, cGCP and cGMP regulations may require us to repeat clinical trials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including the proposed BIOSECURE Act, sanctions, trade restrictions and other regulatory requirements which may increase the cost of and cause delays for our pre-clinical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patent applications will be due to be paid to the USPTO and various governmental patent offices outside of the U.S. in several stages over the lifetime of the patents and/or applications. The USPTO and foreign governmental patent offices require compliance with a number of procedural, documentary, fee payment and other similar provisions during the patent application and maintenance process. We employ reputable law firms and other professionals to help us comply with respect to the patents and patent applications that we own or co-own, and we rely upon collaborators to effect compliance with respect to the patents and patent applications that we out-license.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begin to run out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r>
        <w:rPr>
          <w:rFonts w:ascii="Arial" w:hAnsi="Arial"/>
          <w:b/>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In addition, third parties may affirmatively challenge our rights to, or the scope or validity of, our patents. An adverse result in any litigation or post-grant proceedings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withheld material information from the USPTO or an applicable foreign counterpart where such a duty to disclose exists, or made a misleading statement, during prosecution.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administrative proceedings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XEN901 (now known as NBI-921352), other selective Nav1.6 inhibitors and dual Nav1.2/1.6 inhibitors are exclusively licensed to Neurocrine Biosciences, and Neurocrine Biosciences has the first right to bring and control any action in connection with product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any foreign patent authority. These administrative proceedings are expensive and may consume our time or other resources. The costs of these administrative proceedings could be substantial and may consume our time or other resources. If we fail to obtain a favorable result in the USPTO, EPO or other foreign patent office then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we are unable to enter into licenses on acceptable terms.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now show a trend of the Supreme Court which is distinctly negative on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or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five years, or even less than we request if that number is less than five years. In addition, changes in the Hatch-Waxman Act in the U.S. or similar foreign legislation may change the available time period or the scope of patent protection afforded by the Act or such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have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officers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trials of our product candidates, leading to a decision or requirement to conduct additional pre-clinical testing or clinical trials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trial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The COVID-19 pandemic and rising inflation and interest rates, for example, resulted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will result in dilution to all shareholders and may have an adverse effect on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including in connection with the COVID-19 pandemic, characterized by increased market volatility, increased rates of inflation, declines in consumer confidence, declines in economic growth, increases in unemployment rates, and uncertainty about economic stability. Similarly, the current conflicts between Ukraine and Russia and in the Middle East, as well as recent failures in the global banking sector, have created volatility in the capital markets and are expected to have further global economic consequences. Limited liquidity, defaults, non-performance and other adverse developments affecting financial institutions or parties with which we do business, or perceptions regarding these or similar risks, have in the past and may in the future lead to market-wide liquidity problems. For example, in March 2023, Silicon Valley Bank was closed and placed into receivership and, subsequently, additional financial institutions have been placed into receivership. There is no guarantee that the U.S. government or governments in other jurisdictions will intervene to provide access to uninsured funds in the future in the event of the failure of other financial institutions, or that the U.S. government or governments in other jurisdictions would do so in a timely fashion. If another such disruption in credit and financial markets and deterioration of confidence in economic conditions occurs, our business may be adversely affected.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SEC and applicable Canadian securities regulators regularly pursue various rulemaking efforts, including recently with respect to environmental, social and governance, or ESG, matters. In March 2024, the SEC adopted climate-related disclosure rules and subsequently issued an order implementing a stay of its final rules.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360" w:after="283"/>
        <w:jc w:val="left"/>
        <w:rPr>
          <w:rFonts w:ascii="Times New Roman" w:hAnsi="Times New Roman"/>
          <w:sz w:val="20"/>
        </w:rPr>
      </w:pPr>
      <w:bookmarkStart w:id="16" w:name="item_5_other_information"/>
      <w:bookmarkEnd w:id="16"/>
      <w:r>
        <w:rPr>
          <w:rFonts w:ascii="Times New Roman" w:hAnsi="Times New Roman"/>
          <w:b/>
          <w:color w:val="000000"/>
          <w:sz w:val="20"/>
        </w:rPr>
        <w:t>Item 5. Other Information</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 director or officer, as defined in Rule 16a-1(f), adopted or terminated a “Rule 10b5-1 trading arrangement” or a “non-Rule 10b5-1 trading arrangement,” each as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tem_6_exhibits"/>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36"/>
        <w:gridCol w:w="146"/>
        <w:gridCol w:w="146"/>
        <w:gridCol w:w="5473"/>
        <w:gridCol w:w="146"/>
        <w:gridCol w:w="218"/>
        <w:gridCol w:w="293"/>
        <w:gridCol w:w="146"/>
        <w:gridCol w:w="757"/>
        <w:gridCol w:w="146"/>
        <w:gridCol w:w="631"/>
        <w:gridCol w:w="146"/>
        <w:gridCol w:w="1221"/>
      </w:tblGrid>
      <w:tr>
        <w:trPr/>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1" w:type="dxa"/>
            <w:tcBorders/>
            <w:shd w:fill="FFFFFF" w:val="clear"/>
            <w:vAlign w:val="center"/>
          </w:tcPr>
          <w:p>
            <w:pPr>
              <w:pStyle w:val="TableContents"/>
              <w:bidi w:val="0"/>
              <w:spacing w:before="0" w:after="283"/>
              <w:ind w:left="0" w:right="0" w:firstLine="90"/>
              <w:jc w:val="left"/>
              <w:rPr>
                <w:sz w:val="4"/>
                <w:szCs w:val="4"/>
              </w:rPr>
            </w:pPr>
            <w:r>
              <w:rPr>
                <w:sz w:val="4"/>
                <w:szCs w:val="4"/>
              </w:rPr>
            </w:r>
          </w:p>
        </w:tc>
      </w:tr>
      <w:tr>
        <w:trPr/>
        <w:tc>
          <w:tcPr>
            <w:tcW w:w="736" w:type="dxa"/>
            <w:tcBorders/>
            <w:vAlign w:val="center"/>
          </w:tcPr>
          <w:p>
            <w:pPr>
              <w:pStyle w:val="TableContents"/>
              <w:bidi w:val="0"/>
              <w:spacing w:before="0" w:after="283"/>
              <w:ind w:left="90" w:right="0" w:firstLine="90"/>
              <w:jc w:val="left"/>
              <w:rPr>
                <w:rFonts w:ascii="Times New Roman" w:hAnsi="Times New Roman"/>
                <w:b/>
                <w:color w:val="000000"/>
                <w:sz w:val="16"/>
              </w:rPr>
            </w:pPr>
            <w:r>
              <w:rPr>
                <w:rFonts w:ascii="Times New Roman" w:hAnsi="Times New Roman"/>
                <w:b/>
                <w:color w:val="000000"/>
                <w:sz w:val="16"/>
              </w:rPr>
              <w:br/>
              <w:t>Exhibit</w:t>
            </w:r>
          </w:p>
        </w:tc>
        <w:tc>
          <w:tcPr>
            <w:tcW w:w="146" w:type="dxa"/>
            <w:tcBorders/>
            <w:vAlign w:val="center"/>
          </w:tcPr>
          <w:p>
            <w:pPr>
              <w:pStyle w:val="TableContents"/>
              <w:bidi w:val="0"/>
              <w:spacing w:before="0" w:after="283"/>
              <w:jc w:val="center"/>
              <w:rPr/>
            </w:pPr>
            <w:r>
              <w:rPr/>
              <w:t> </w:t>
            </w:r>
          </w:p>
        </w:tc>
        <w:tc>
          <w:tcPr>
            <w:tcW w:w="598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vAlign w:val="center"/>
          </w:tcPr>
          <w:p>
            <w:pPr>
              <w:pStyle w:val="TableContents"/>
              <w:bidi w:val="0"/>
              <w:spacing w:before="0" w:after="283"/>
              <w:jc w:val="center"/>
              <w:rPr/>
            </w:pPr>
            <w:r>
              <w:rPr/>
              <w:t> </w:t>
            </w:r>
          </w:p>
        </w:tc>
        <w:tc>
          <w:tcPr>
            <w:tcW w:w="304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br/>
              <w:t>Incorporated by Reference</w:t>
            </w:r>
          </w:p>
        </w:tc>
      </w:tr>
      <w:tr>
        <w:trPr/>
        <w:tc>
          <w:tcPr>
            <w:tcW w:w="8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the Company.</w:t>
              </w:r>
            </w:hyperlink>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to the Articles of the Company, creating the Series 1 Preferred Shares.</w:t>
              </w:r>
            </w:hyperlink>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w:t>
              </w:r>
            </w:hyperlink>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2014 Equity Incentive Plan and form of share option agreement used thereunder.</w:t>
              </w:r>
            </w:hyperlink>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5, 2024</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Certification of Chief Executive Officer pursuant to Rule 13a-14(a).</w:t>
              </w:r>
            </w:hyperlink>
          </w:p>
        </w:tc>
        <w:tc>
          <w:tcPr>
            <w:tcW w:w="146" w:type="dxa"/>
            <w:tcBorders/>
            <w:vAlign w:val="center"/>
          </w:tcPr>
          <w:p>
            <w:pPr>
              <w:pStyle w:val="TableContents"/>
              <w:bidi w:val="0"/>
              <w:spacing w:before="0" w:after="283"/>
              <w:jc w:val="left"/>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Certification of Chief Financial Officer pursuant to Rule 13a-14(a).</w:t>
              </w:r>
            </w:hyperlink>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left"/>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Certification of Chief Executive Officer pursuant to 18 U.S.C. Section 1350.</w:t>
              </w:r>
            </w:hyperlink>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Certification of Chief Financial Officer pursuant to 18 U.S.C. Section 1350.</w:t>
              </w:r>
            </w:hyperlink>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r>
        <w:trPr/>
        <w:tc>
          <w:tcPr>
            <w:tcW w:w="8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center"/>
              <w:rPr/>
            </w:pPr>
            <w:r>
              <w:rPr/>
              <w:t> </w:t>
            </w:r>
          </w:p>
        </w:tc>
        <w:tc>
          <w:tcPr>
            <w:tcW w:w="511"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5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21" w:type="dxa"/>
            <w:tcBorders/>
            <w:vAlign w:val="center"/>
          </w:tcPr>
          <w:p>
            <w:pPr>
              <w:pStyle w:val="TableContents"/>
              <w:bidi w:val="0"/>
              <w:spacing w:before="0" w:after="283"/>
              <w:jc w:val="center"/>
              <w:rPr/>
            </w:pPr>
            <w:r>
              <w:rPr/>
              <w:t> </w:t>
            </w:r>
          </w:p>
        </w:tc>
      </w:tr>
    </w:tbl>
    <w:p>
      <w:pPr>
        <w:pStyle w:val="TextBody"/>
        <w:bidi w:val="0"/>
        <w:spacing w:before="40" w:after="283"/>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8"/>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40" w:after="120"/>
        <w:jc w:val="left"/>
        <w:rPr>
          <w:rFonts w:ascii="Times New Roman" w:hAnsi="Times New Roman"/>
          <w:color w:val="000000"/>
          <w:sz w:val="18"/>
        </w:rPr>
      </w:pPr>
      <w:r>
        <w:rPr>
          <w:rFonts w:ascii="Times New Roman" w:hAnsi="Times New Roman"/>
          <w:color w:val="000000"/>
          <w:sz w:val="18"/>
        </w:rPr>
        <w:t># Indicates management contract or compensatory plan.</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609" w:type="dxa"/>
        <w:jc w:val="left"/>
        <w:tblInd w:w="0" w:type="dxa"/>
        <w:tblLayout w:type="fixed"/>
        <w:tblCellMar>
          <w:top w:w="28" w:type="dxa"/>
          <w:left w:w="28" w:type="dxa"/>
          <w:bottom w:w="28" w:type="dxa"/>
          <w:right w:w="28" w:type="dxa"/>
        </w:tblCellMar>
      </w:tblPr>
      <w:tblGrid>
        <w:gridCol w:w="1846"/>
        <w:gridCol w:w="40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Sherry Aulin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Sherry Aulin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fis_certification"/>
      <w:bookmarkStart w:id="20" w:name="xene-ex31_1.htm"/>
      <w:bookmarkStart w:id="21" w:name="ksxeneex31_1"/>
      <w:bookmarkEnd w:id="19"/>
      <w:bookmarkEnd w:id="20"/>
      <w:bookmarkEnd w:id="2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88" w:type="dxa"/>
        <w:jc w:val="left"/>
        <w:tblInd w:w="0" w:type="dxa"/>
        <w:tblLayout w:type="fixed"/>
        <w:tblCellMar>
          <w:top w:w="28" w:type="dxa"/>
          <w:left w:w="28" w:type="dxa"/>
          <w:bottom w:w="28" w:type="dxa"/>
          <w:right w:w="28" w:type="dxa"/>
        </w:tblCellMar>
      </w:tblPr>
      <w:tblGrid>
        <w:gridCol w:w="1846"/>
        <w:gridCol w:w="109"/>
        <w:gridCol w:w="406"/>
        <w:gridCol w:w="3227"/>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tcBorders/>
            <w:shd w:fill="FFFFFF" w:val="clear"/>
            <w:tcMar>
              <w:top w:w="0" w:type="dxa"/>
              <w:left w:w="0" w:type="dxa"/>
              <w:bottom w:w="0" w:type="dxa"/>
              <w:right w:w="0" w:type="dxa"/>
            </w:tcMar>
            <w:vAlign w:val="center"/>
          </w:tcPr>
          <w:p>
            <w:pPr>
              <w:pStyle w:val="TableContents"/>
              <w:bidi w:val="0"/>
              <w:ind w:left="0" w:right="16" w:hanging="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fis_certification_2"/>
      <w:bookmarkStart w:id="23" w:name="xene-ex31_2.htm"/>
      <w:bookmarkStart w:id="24" w:name="ksxeneex31_2"/>
      <w:bookmarkEnd w:id="2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 Sherry Aulin, certify that: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 have reviewed this Quarterly Report on Form 10-Q of Xenon Pharmaceuticals Inc.;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Sherry Aulin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Sherry Aulin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xene-ex32_1.htm"/>
      <w:bookmarkStart w:id="26" w:name="ksxene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bookmarkStart w:id="27" w:name="fis_certification_3"/>
      <w:bookmarkEnd w:id="27"/>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June 30, 2024,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572" w:type="dxa"/>
        <w:jc w:val="left"/>
        <w:tblInd w:w="0" w:type="dxa"/>
        <w:tblLayout w:type="fixed"/>
        <w:tblCellMar>
          <w:top w:w="28" w:type="dxa"/>
          <w:left w:w="28" w:type="dxa"/>
          <w:bottom w:w="28" w:type="dxa"/>
          <w:right w:w="28" w:type="dxa"/>
        </w:tblCellMar>
      </w:tblPr>
      <w:tblGrid>
        <w:gridCol w:w="1846"/>
        <w:gridCol w:w="109"/>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bookmarkStart w:id="28" w:name="d564546dex322_htm"/>
      <w:bookmarkStart w:id="29" w:name="eolpage87"/>
      <w:bookmarkStart w:id="30" w:name="fis_exhibit_32_2"/>
      <w:bookmarkEnd w:id="28"/>
      <w:bookmarkEnd w:id="29"/>
      <w:bookmarkEnd w:id="30"/>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xene-ex32_2.htm"/>
      <w:bookmarkStart w:id="32" w:name="ksxeneex32_2"/>
      <w:bookmarkEnd w:id="31"/>
      <w:bookmarkEnd w:id="3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bookmarkStart w:id="33" w:name="fis_certification_4"/>
      <w:bookmarkEnd w:id="33"/>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Xenon Pharmaceuticals Inc. (the “Company”) on Form 10-Q for the quarter ended June 30, 2024, as filed with the Securities and Exchange Commission on the date hereof (the “Report”), I, Sherry Aulin, Chief Financial Officer (Principal Financial and Accounting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87" w:type="dxa"/>
        <w:jc w:val="left"/>
        <w:tblInd w:w="0" w:type="dxa"/>
        <w:tblLayout w:type="fixed"/>
        <w:tblCellMar>
          <w:top w:w="28" w:type="dxa"/>
          <w:left w:w="28" w:type="dxa"/>
          <w:bottom w:w="28" w:type="dxa"/>
          <w:right w:w="28" w:type="dxa"/>
        </w:tblCellMar>
      </w:tblPr>
      <w:tblGrid>
        <w:gridCol w:w="1906"/>
        <w:gridCol w:w="109"/>
        <w:gridCol w:w="406"/>
        <w:gridCol w:w="3766"/>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Sherry Aulin</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Sherry Aulin</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0" w:after="16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2313/000117184314005910/exh_31.htm" TargetMode="External"/><Relationship Id="rId3" Type="http://schemas.openxmlformats.org/officeDocument/2006/relationships/hyperlink" Target="https://www.sec.gov/Archives/edgar/data/1582313/000156459018006921/xene-ex31_8.htm" TargetMode="External"/><Relationship Id="rId4" Type="http://schemas.openxmlformats.org/officeDocument/2006/relationships/hyperlink" Target="https://www.sec.gov/Archives/edgar/data/1582313/000117184314005910/exh_32.htm" TargetMode="External"/><Relationship Id="rId5" Type="http://schemas.openxmlformats.org/officeDocument/2006/relationships/hyperlink" Target="https://www.sec.gov/Archives/edgar/data/1582313/000095017024069318/xene-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44489</Words>
  <Characters>250358</Characters>
  <CharactersWithSpaces>295572</CharactersWithSpaces>
  <Paragraphs>5076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