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20" w:type="dxa"/>
        <w:tblCellMar>
          <w:top w:w="0" w:type="dxa"/>
          <w:left w:w="0" w:type="dxa"/>
          <w:bottom w:w="0" w:type="dxa"/>
          <w:right w:w="0" w:type="dxa"/>
        </w:tblCellMar>
      </w:tblPr>
      <w:tr>
        <w:trPr>
          <w:trHeight w:val="222"/>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12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001-36687</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100" w:type="dxa"/>
            <w:vAlign w:val="bottom"/>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3650 Gilmore Way</w:t>
            </w:r>
          </w:p>
        </w:tc>
        <w:tc>
          <w:tcPr>
            <w:tcW w:w="3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2"/>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Burnaby, British Columbia, Canada</w:t>
            </w:r>
          </w:p>
        </w:tc>
        <w:tc>
          <w:tcPr>
            <w:tcW w:w="3120" w:type="dxa"/>
            <w:vAlign w:val="bottom"/>
          </w:tcPr>
          <w:p>
            <w:pPr>
              <w:spacing w:after="0"/>
              <w:rPr>
                <w:sz w:val="19"/>
                <w:szCs w:val="19"/>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w w:val="99"/>
              </w:rPr>
              <w:t>V5G 4W8</w:t>
            </w:r>
          </w:p>
        </w:tc>
      </w:tr>
      <w:tr>
        <w:trPr>
          <w:trHeight w:val="178"/>
        </w:trPr>
        <w:tc>
          <w:tcPr>
            <w:tcW w:w="336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(604) 484-3300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XENE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2026, Xenon Pharmaceuticals Inc. (the “Company”) amended and restated the Company’s Amended and Restated 2025 Inducement Equity Incentive Plan (as amended and restated, the “2025 Inducement Plan”) to increase the maximum number of shares of its common stock reserved for issuance under the 2025 Inducement Plan from 900,000 shares to 1,175,000 shares (subject to adjustments as provided in the 2025 Inducement Plan) to be used exclusively for grants of nonstatutory stock options, stock appreciation rights, restricted stock units, restricted stock, and performance awards as an inducement material to individuals being hired, or rehired following a bona fide period of interruption of employment, as an employee of the Company or any of its subsidiaries. In accordance with Nasdaq Listing Rule 5635(c)(4), the Company did not seek approval of the 2025 Inducement Plan by its shareholders.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a brief description of the material terms of the 2025 Inducement Plan and is qualified in its entirety by reference to the full text of the 2025 Inducement Plan filed as an exhibit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24"/>
                <w:szCs w:val="24"/>
                <w:color w:val="auto"/>
              </w:rPr>
            </w:pPr>
          </w:p>
        </w:tc>
        <w:tc>
          <w:tcPr>
            <w:tcW w:w="6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2025 Inducement Equity Plan and related form agreements.</w:t>
            </w:r>
          </w:p>
        </w:tc>
        <w:tc>
          <w:tcPr>
            <w:tcW w:w="3100" w:type="dxa"/>
            <w:vAlign w:val="bottom"/>
          </w:tcPr>
          <w:p>
            <w:pPr>
              <w:spacing w:after="0"/>
              <w:rPr>
                <w:sz w:val="24"/>
                <w:szCs w:val="24"/>
                <w:color w:val="auto"/>
              </w:rPr>
            </w:pPr>
          </w:p>
        </w:tc>
      </w:tr>
      <w:tr>
        <w:trPr>
          <w:trHeight w:val="345"/>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7"/>
        </w:trPr>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13, 2026</w:t>
      </w:r>
      <w:r>
        <w:rPr>
          <w:sz w:val="20"/>
          <w:szCs w:val="20"/>
          <w:color w:val="auto"/>
        </w:rPr>
        <w:tab/>
      </w:r>
      <w:r>
        <w:rPr>
          <w:rFonts w:ascii="Times New Roman" w:cs="Times New Roman" w:eastAsia="Times New Roman" w:hAnsi="Times New Roman"/>
          <w:sz w:val="18"/>
          <w:szCs w:val="18"/>
          <w:color w:val="auto"/>
        </w:rPr>
        <w:t>By:</w:t>
        <w:tab/>
        <w:t>/s/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P. Kelly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2025 INDUCEMENT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XENON PHARMACEUTICALS INC.</w:t>
      </w:r>
    </w:p>
    <w:p>
      <w:pPr>
        <w:spacing w:after="0" w:line="17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i w:val="1"/>
          <w:iCs w:val="1"/>
          <w:color w:val="auto"/>
        </w:rPr>
        <w:t>Amended as of April 7, 2026</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78"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The purpose of this Plan is to promote the interests of Xenon Pharmaceuticals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by assisting the Company in attracting, retaining and motivating employees by providing an inducement material to individuals entering into employment with the Company or any of its subsidiaries.</w:t>
      </w:r>
    </w:p>
    <w:p>
      <w:pPr>
        <w:spacing w:after="0" w:line="171"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 Company believes that this purpose may best be effected by granting Options or Share Awards to acquire Common Shares without par value in the capital of the Company. This Plan is intended to meet the requirements of a plan providing for inducement grants under Nasdaq Listing Rule 5635(c)(4) and the official regulations thereunder (together, the “</w:t>
      </w:r>
      <w:r>
        <w:rPr>
          <w:rFonts w:ascii="Times New Roman" w:cs="Times New Roman" w:eastAsia="Times New Roman" w:hAnsi="Times New Roman"/>
          <w:sz w:val="22"/>
          <w:szCs w:val="22"/>
          <w:b w:val="1"/>
          <w:bCs w:val="1"/>
          <w:color w:val="auto"/>
        </w:rPr>
        <w:t>Inducement Listing Rule</w:t>
      </w:r>
      <w:r>
        <w:rPr>
          <w:rFonts w:ascii="Times New Roman" w:cs="Times New Roman" w:eastAsia="Times New Roman" w:hAnsi="Times New Roman"/>
          <w:sz w:val="22"/>
          <w:szCs w:val="22"/>
          <w:color w:val="auto"/>
        </w:rPr>
        <w:t>”) and shall be administered in accordance with such intent. Each Award under the Plan is intended to qualify as an employment inducement award under the Inducement Listing Rule or to qualify under the exception relating to plans or arrangements relating to an acquisition or merger under Nasdaq Listing Rule 5635(c)(3) and the official guidance thereunder.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In this Plan, unless there is something in the subject matter or context inconsistent therewith:</w:t>
      </w:r>
    </w:p>
    <w:p>
      <w:pPr>
        <w:spacing w:after="0" w:line="202" w:lineRule="exact"/>
        <w:rPr>
          <w:sz w:val="20"/>
          <w:szCs w:val="20"/>
          <w:color w:val="auto"/>
        </w:rPr>
      </w:pPr>
    </w:p>
    <w:p>
      <w:pPr>
        <w:jc w:val="both"/>
        <w:ind w:left="1500" w:hanging="743"/>
        <w:spacing w:after="0" w:line="286" w:lineRule="auto"/>
        <w:tabs>
          <w:tab w:leader="none" w:pos="15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means, individually or collectively, an award of Options, an award of Share Appreciation Rights, a Restricted Share Award, a Restricted Share Unit Award, or a Performance Share Award granted under the Plan;</w:t>
      </w:r>
    </w:p>
    <w:p>
      <w:pPr>
        <w:spacing w:after="0" w:line="126" w:lineRule="exact"/>
        <w:rPr>
          <w:rFonts w:ascii="Times New Roman" w:cs="Times New Roman" w:eastAsia="Times New Roman" w:hAnsi="Times New Roman"/>
          <w:sz w:val="21"/>
          <w:szCs w:val="21"/>
          <w:color w:val="auto"/>
        </w:rPr>
      </w:pPr>
    </w:p>
    <w:p>
      <w:pPr>
        <w:jc w:val="both"/>
        <w:ind w:left="1500" w:right="20" w:hanging="743"/>
        <w:spacing w:after="0" w:line="246"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67"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means any period during which a Participant is prevented from trading the Common Shares pursuant to a policy of the Company, including but not limited to the Company’s insider trading policy, as amended and in force from time to time, and any lockup or similar agreement between the Company and a third party restricting the trading of Common Shares;</w:t>
      </w:r>
    </w:p>
    <w:p>
      <w:pPr>
        <w:ind w:left="1500" w:hanging="743"/>
        <w:spacing w:after="0"/>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81" w:lineRule="exact"/>
        <w:rPr>
          <w:sz w:val="20"/>
          <w:szCs w:val="20"/>
          <w:color w:val="auto"/>
        </w:rPr>
      </w:pPr>
    </w:p>
    <w:p>
      <w:pPr>
        <w:ind w:left="743" w:right="20" w:hanging="743"/>
        <w:spacing w:after="0" w:line="262" w:lineRule="auto"/>
        <w:tabs>
          <w:tab w:leader="none" w:pos="74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and any other day which is a statutory holiday in British Columbia Canada or New York U.S.A.;</w:t>
      </w:r>
    </w:p>
    <w:p>
      <w:pPr>
        <w:spacing w:after="0" w:line="149" w:lineRule="exact"/>
        <w:rPr>
          <w:rFonts w:ascii="Times New Roman" w:cs="Times New Roman" w:eastAsia="Times New Roman" w:hAnsi="Times New Roman"/>
          <w:sz w:val="22"/>
          <w:szCs w:val="22"/>
          <w:color w:val="auto"/>
        </w:rPr>
      </w:pPr>
    </w:p>
    <w:p>
      <w:pPr>
        <w:jc w:val="both"/>
        <w:ind w:left="743" w:hanging="743"/>
        <w:spacing w:after="0" w:line="237" w:lineRule="auto"/>
        <w:tabs>
          <w:tab w:leader="none" w:pos="74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with respect to any Participant, shall mean (i) a Participant’s willful misconduct, (ii) a willful failure of a Participant to perform his or her duties, (iii) a Participant’s insubordination, theft, dishonesty, or any other willful conduct that is detrimental to the Company or its subsidiaries, (iv) cause for termination of employment or other service contract at common law, or (v) such other cause as the Compensation Committee in good faith reasonably determines provides cause for the discharge of the Participant or termination of the Participant’s relationship with the Company;</w:t>
      </w:r>
    </w:p>
    <w:p>
      <w:pPr>
        <w:spacing w:after="0" w:line="175"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w:t>
      </w:r>
    </w:p>
    <w:p>
      <w:pPr>
        <w:spacing w:after="0" w:line="210" w:lineRule="exact"/>
        <w:rPr>
          <w:rFonts w:ascii="Times New Roman" w:cs="Times New Roman" w:eastAsia="Times New Roman" w:hAnsi="Times New Roman"/>
          <w:sz w:val="22"/>
          <w:szCs w:val="22"/>
          <w:color w:val="auto"/>
        </w:rPr>
      </w:pPr>
    </w:p>
    <w:p>
      <w:pPr>
        <w:jc w:val="both"/>
        <w:ind w:left="1503" w:hanging="755"/>
        <w:spacing w:after="0" w:line="235" w:lineRule="auto"/>
        <w:tabs>
          <w:tab w:leader="none" w:pos="150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or persons acting jointly or in concert (as determined by the Securities Act)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whether directly or indirectly, of voting securities of the Company that, together with all other voting securities of the Company held by such Person, constitute in the aggregate more than 50% of all outstanding voting securities of the Company; provided, however, that for purposes of this subsection, the acquisition of additional securities by any one Person, who is considered to own more than 50% of all outstanding voting securities of the Company, will not be considered a Change of Control;</w:t>
      </w:r>
    </w:p>
    <w:p>
      <w:pPr>
        <w:spacing w:after="0" w:line="183" w:lineRule="exact"/>
        <w:rPr>
          <w:rFonts w:ascii="Times New Roman" w:cs="Times New Roman" w:eastAsia="Times New Roman" w:hAnsi="Times New Roman"/>
          <w:sz w:val="22"/>
          <w:szCs w:val="22"/>
          <w:color w:val="auto"/>
        </w:rPr>
      </w:pPr>
    </w:p>
    <w:p>
      <w:pPr>
        <w:jc w:val="both"/>
        <w:ind w:left="1503" w:hanging="755"/>
        <w:spacing w:after="0" w:line="236" w:lineRule="auto"/>
        <w:tabs>
          <w:tab w:leader="none" w:pos="150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amalgamation, arrangement or other form of business combination of the Company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is considered to own more than 50% of all outstanding voting securities of the Company, will not be considered a Change of Control; or</w:t>
      </w:r>
    </w:p>
    <w:p>
      <w:pPr>
        <w:spacing w:after="0" w:line="181" w:lineRule="exact"/>
        <w:rPr>
          <w:rFonts w:ascii="Times New Roman" w:cs="Times New Roman" w:eastAsia="Times New Roman" w:hAnsi="Times New Roman"/>
          <w:sz w:val="22"/>
          <w:szCs w:val="22"/>
          <w:color w:val="auto"/>
        </w:rPr>
      </w:pPr>
    </w:p>
    <w:p>
      <w:pPr>
        <w:jc w:val="both"/>
        <w:ind w:left="1503" w:hanging="755"/>
        <w:spacing w:after="0" w:line="244" w:lineRule="auto"/>
        <w:tabs>
          <w:tab w:leader="none" w:pos="1503"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 Related Entity, or (B) a transfer of assets by the Company to: (1) a stockholder of the Company (immediately before the asset transfer) in exchange for or with respect to the Company’s stock, (2) an entity of which the Company has Control,</w:t>
      </w:r>
    </w:p>
    <w:p>
      <w:pPr>
        <w:spacing w:after="0" w:line="1" w:lineRule="exact"/>
        <w:rPr>
          <w:rFonts w:ascii="Times New Roman" w:cs="Times New Roman" w:eastAsia="Times New Roman" w:hAnsi="Times New Roman"/>
          <w:sz w:val="21"/>
          <w:szCs w:val="21"/>
          <w:color w:val="auto"/>
        </w:rPr>
      </w:pPr>
    </w:p>
    <w:p>
      <w:pPr>
        <w:ind w:left="1503"/>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a Person, that owns, directly or indirectly, fifty percent (50%) or more of the total value or voting power of</w:t>
      </w:r>
    </w:p>
    <w:p>
      <w:pPr>
        <w:spacing w:after="0" w:line="36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5" w:name="page6"/>
    <w:bookmarkEnd w:id="5"/>
    <w:p>
      <w:pPr>
        <w:spacing w:after="0" w:line="185" w:lineRule="exact"/>
        <w:rPr>
          <w:sz w:val="20"/>
          <w:szCs w:val="20"/>
          <w:color w:val="auto"/>
        </w:rPr>
      </w:pPr>
    </w:p>
    <w:p>
      <w:pPr>
        <w:jc w:val="both"/>
        <w:ind w:left="1503"/>
        <w:spacing w:after="0" w:line="239" w:lineRule="auto"/>
        <w:rPr>
          <w:sz w:val="20"/>
          <w:szCs w:val="20"/>
          <w:color w:val="auto"/>
        </w:rPr>
      </w:pPr>
      <w:r>
        <w:rPr>
          <w:rFonts w:ascii="Times New Roman" w:cs="Times New Roman" w:eastAsia="Times New Roman" w:hAnsi="Times New Roman"/>
          <w:sz w:val="22"/>
          <w:szCs w:val="22"/>
          <w:color w:val="auto"/>
        </w:rPr>
        <w:t>all the outstanding stock of the Company, or (4) an entity of which a Person described in this subsection (iii)(B)(3) has Control. For purposes of this subsection (iii), gross fair market value means the value of the assets of the Company, or the value of the assets being disposed of, determined without regard to any liabilities associated with such assets; or</w:t>
      </w:r>
    </w:p>
    <w:p>
      <w:pPr>
        <w:spacing w:after="0" w:line="180" w:lineRule="exact"/>
        <w:rPr>
          <w:sz w:val="20"/>
          <w:szCs w:val="20"/>
          <w:color w:val="auto"/>
        </w:rPr>
      </w:pPr>
    </w:p>
    <w:p>
      <w:pPr>
        <w:jc w:val="both"/>
        <w:ind w:left="743"/>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of Control for Awards granted to Participants who are subject to U.S. taxation unless the transaction qualifies as a Change of Control event within the meaning of Code Section 409A, as it has been and may be amended from time to time, and any proposed or final Treasury Regulations and U.S. Internal Revenue Service guidance that has been promulgated or may be promulgated thereunder from time to time.</w:t>
      </w:r>
    </w:p>
    <w:p>
      <w:pPr>
        <w:spacing w:after="0" w:line="177" w:lineRule="exact"/>
        <w:rPr>
          <w:sz w:val="20"/>
          <w:szCs w:val="20"/>
          <w:color w:val="auto"/>
        </w:rPr>
      </w:pPr>
    </w:p>
    <w:p>
      <w:pPr>
        <w:jc w:val="both"/>
        <w:ind w:left="743"/>
        <w:spacing w:after="0" w:line="239"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of Control if: (x) its sole purpose is to change the state or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743" w:hanging="743"/>
        <w:spacing w:after="0"/>
        <w:tabs>
          <w:tab w:leader="none" w:pos="7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means the Chief Executive Officer of the Company;</w:t>
      </w:r>
    </w:p>
    <w:p>
      <w:pPr>
        <w:spacing w:after="0" w:line="206"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1"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without par value in the capital of the Company;</w:t>
      </w:r>
    </w:p>
    <w:p>
      <w:pPr>
        <w:spacing w:after="0" w:line="206"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means the compensation committee of the Board of Directors.</w:t>
      </w:r>
    </w:p>
    <w:p>
      <w:pPr>
        <w:spacing w:after="0" w:line="206" w:lineRule="exact"/>
        <w:rPr>
          <w:rFonts w:ascii="Times New Roman" w:cs="Times New Roman" w:eastAsia="Times New Roman" w:hAnsi="Times New Roman"/>
          <w:sz w:val="22"/>
          <w:szCs w:val="22"/>
          <w:color w:val="auto"/>
        </w:rPr>
      </w:pPr>
    </w:p>
    <w:p>
      <w:pPr>
        <w:ind w:left="743" w:right="20" w:hanging="743"/>
        <w:spacing w:after="0" w:line="262" w:lineRule="auto"/>
        <w:tabs>
          <w:tab w:leader="none" w:pos="7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 person other than an employee, officer or director of the Company or of any of its subsidiaries that:</w:t>
      </w:r>
    </w:p>
    <w:p>
      <w:pPr>
        <w:spacing w:after="0" w:line="153"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engaged to provide services to the Company or any of its subsidiaries;</w:t>
      </w:r>
    </w:p>
    <w:p>
      <w:pPr>
        <w:spacing w:after="0" w:line="206"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the services under a written contract with the Company or of any of its subsidiaries; and</w:t>
      </w:r>
    </w:p>
    <w:p>
      <w:pPr>
        <w:spacing w:after="0" w:line="206" w:lineRule="exact"/>
        <w:rPr>
          <w:rFonts w:ascii="Times New Roman" w:cs="Times New Roman" w:eastAsia="Times New Roman" w:hAnsi="Times New Roman"/>
          <w:sz w:val="22"/>
          <w:szCs w:val="22"/>
          <w:color w:val="auto"/>
        </w:rPr>
      </w:pPr>
    </w:p>
    <w:p>
      <w:pPr>
        <w:ind w:left="1503" w:hanging="755"/>
        <w:spacing w:after="0" w:line="258" w:lineRule="auto"/>
        <w:tabs>
          <w:tab w:leader="none" w:pos="150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spends or will spend a significant amount of time and attention on the affairs and business of the Company or of any of its subsidiaries;</w:t>
      </w:r>
    </w:p>
    <w:p>
      <w:pPr>
        <w:spacing w:after="0" w:line="34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6" w:name="page7"/>
    <w:bookmarkEnd w:id="6"/>
    <w:p>
      <w:pPr>
        <w:spacing w:after="0" w:line="181" w:lineRule="exact"/>
        <w:rPr>
          <w:sz w:val="20"/>
          <w:szCs w:val="20"/>
          <w:color w:val="auto"/>
        </w:rPr>
      </w:pPr>
    </w:p>
    <w:p>
      <w:pPr>
        <w:ind w:left="743" w:hanging="743"/>
        <w:spacing w:after="0" w:line="262" w:lineRule="auto"/>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by a person over a second person means the power to direct, directly or indirectly, the management and policies of the second person by virtue of:</w:t>
      </w:r>
    </w:p>
    <w:p>
      <w:pPr>
        <w:spacing w:after="0" w:line="153"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or direction over voting securities in the second person;</w:t>
      </w:r>
    </w:p>
    <w:p>
      <w:pPr>
        <w:spacing w:after="0" w:line="206"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agreement or indenture;</w:t>
      </w:r>
    </w:p>
    <w:p>
      <w:pPr>
        <w:spacing w:after="0" w:line="206"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 Controlling the general partner of the second person; or</w:t>
      </w:r>
    </w:p>
    <w:p>
      <w:pPr>
        <w:spacing w:after="0" w:line="206"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trustee of the second person;</w:t>
      </w:r>
    </w:p>
    <w:p>
      <w:pPr>
        <w:spacing w:after="0" w:line="202"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 of directors of the Company or any of its subsidiaries;</w:t>
      </w:r>
    </w:p>
    <w:p>
      <w:pPr>
        <w:spacing w:after="0" w:line="206" w:lineRule="exact"/>
        <w:rPr>
          <w:rFonts w:ascii="Times New Roman" w:cs="Times New Roman" w:eastAsia="Times New Roman" w:hAnsi="Times New Roman"/>
          <w:sz w:val="22"/>
          <w:szCs w:val="22"/>
          <w:color w:val="auto"/>
        </w:rPr>
      </w:pPr>
    </w:p>
    <w:p>
      <w:pPr>
        <w:jc w:val="both"/>
        <w:ind w:left="743" w:hanging="743"/>
        <w:spacing w:after="0" w:line="234" w:lineRule="auto"/>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Persons</w:t>
      </w:r>
      <w:r>
        <w:rPr>
          <w:rFonts w:ascii="Times New Roman" w:cs="Times New Roman" w:eastAsia="Times New Roman" w:hAnsi="Times New Roman"/>
          <w:sz w:val="22"/>
          <w:szCs w:val="22"/>
          <w:color w:val="auto"/>
        </w:rPr>
        <w:t>” means employees of the Company or of any of its subsidiaries, and an “</w:t>
      </w:r>
      <w:r>
        <w:rPr>
          <w:rFonts w:ascii="Times New Roman" w:cs="Times New Roman" w:eastAsia="Times New Roman" w:hAnsi="Times New Roman"/>
          <w:sz w:val="22"/>
          <w:szCs w:val="22"/>
          <w:b w:val="1"/>
          <w:bCs w:val="1"/>
          <w:color w:val="auto"/>
        </w:rPr>
        <w:t>Eligible Person</w:t>
      </w:r>
      <w:r>
        <w:rPr>
          <w:rFonts w:ascii="Times New Roman" w:cs="Times New Roman" w:eastAsia="Times New Roman" w:hAnsi="Times New Roman"/>
          <w:sz w:val="22"/>
          <w:szCs w:val="22"/>
          <w:color w:val="auto"/>
        </w:rPr>
        <w:t>” shall have a corresponding meaning. However, for the avoidance of doubt, although a person who is an employee of the Company or of any of its subsidiaries also may be a Director, a person who already is serving as a Director prior to becoming an employee of the Company or of any of its subsidiaries will not be an Eligible Person who may be granted an Award under the Plan unless permitted under the Inducement Listing Rule. The Company shall determine in good faith and in the exercise of its discretion whether an individual has become or has ceased to be an Eligible Person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75"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6"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means the price per share at which Common Shares may be subscribed for by a Participant pursuant to a particular Option Award Agreement, as further described under paragraph 8.1(c) of the Plan;</w:t>
      </w:r>
    </w:p>
    <w:p>
      <w:pPr>
        <w:spacing w:after="0" w:line="149"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 Price</w:t>
      </w:r>
      <w:r>
        <w:rPr>
          <w:rFonts w:ascii="Times New Roman" w:cs="Times New Roman" w:eastAsia="Times New Roman" w:hAnsi="Times New Roman"/>
          <w:sz w:val="22"/>
          <w:szCs w:val="22"/>
          <w:color w:val="auto"/>
        </w:rPr>
        <w:t>” means, as of any date, the value of Common Shares determined as follows:</w:t>
      </w:r>
    </w:p>
    <w:p>
      <w:pPr>
        <w:spacing w:after="0" w:line="210" w:lineRule="exact"/>
        <w:rPr>
          <w:rFonts w:ascii="Times New Roman" w:cs="Times New Roman" w:eastAsia="Times New Roman" w:hAnsi="Times New Roman"/>
          <w:sz w:val="22"/>
          <w:szCs w:val="22"/>
          <w:color w:val="auto"/>
        </w:rPr>
      </w:pPr>
    </w:p>
    <w:p>
      <w:pPr>
        <w:jc w:val="both"/>
        <w:ind w:left="1503" w:hanging="755"/>
        <w:spacing w:after="0" w:line="239" w:lineRule="auto"/>
        <w:tabs>
          <w:tab w:leader="none" w:pos="15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Shares are listed on a Stock Exchange, its Fair Market Value Price will be the closing price for such stock (or the closing bid, if no sales were reported) as quoted on such exchange or system on the day of determination, as reported in such other source as the Compensation Committee deems reliable;</w:t>
      </w:r>
    </w:p>
    <w:p>
      <w:pPr>
        <w:spacing w:after="0" w:line="36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7" w:name="page8"/>
    <w:bookmarkEnd w:id="7"/>
    <w:p>
      <w:pPr>
        <w:spacing w:after="0" w:line="185" w:lineRule="exact"/>
        <w:rPr>
          <w:sz w:val="20"/>
          <w:szCs w:val="20"/>
          <w:color w:val="auto"/>
        </w:rPr>
      </w:pPr>
    </w:p>
    <w:p>
      <w:pPr>
        <w:jc w:val="both"/>
        <w:ind w:left="1503" w:hanging="755"/>
        <w:spacing w:after="0" w:line="238" w:lineRule="auto"/>
        <w:tabs>
          <w:tab w:leader="none" w:pos="150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Shares are regularly quoted by a recognized securities dealer but selling prices are not reported, the Fair Market Value Price of a Common Share will be the mean between the high bid and low asked prices for the Common Shares on the day of determination (or, if no bids and asks were reported on that date, as applicable, on the last trading date such bids and asks were reported), as reported in such source as the Compensation Committee deems reliable; or</w:t>
      </w:r>
    </w:p>
    <w:p>
      <w:pPr>
        <w:spacing w:after="0" w:line="176" w:lineRule="exact"/>
        <w:rPr>
          <w:rFonts w:ascii="Times New Roman" w:cs="Times New Roman" w:eastAsia="Times New Roman" w:hAnsi="Times New Roman"/>
          <w:sz w:val="22"/>
          <w:szCs w:val="22"/>
          <w:color w:val="auto"/>
        </w:rPr>
      </w:pPr>
    </w:p>
    <w:p>
      <w:pPr>
        <w:ind w:left="1503" w:hanging="755"/>
        <w:spacing w:after="0" w:line="258" w:lineRule="auto"/>
        <w:tabs>
          <w:tab w:leader="none" w:pos="150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Shares, the Fair Market Value Price will be determined in good faith by the Compensation Committee.</w:t>
      </w:r>
    </w:p>
    <w:p>
      <w:pPr>
        <w:spacing w:after="0" w:line="158" w:lineRule="exact"/>
        <w:rPr>
          <w:sz w:val="20"/>
          <w:szCs w:val="20"/>
          <w:color w:val="auto"/>
        </w:rPr>
      </w:pPr>
    </w:p>
    <w:p>
      <w:pPr>
        <w:ind w:left="743"/>
        <w:spacing w:after="0" w:line="253" w:lineRule="auto"/>
        <w:rPr>
          <w:sz w:val="20"/>
          <w:szCs w:val="20"/>
          <w:color w:val="auto"/>
        </w:rPr>
      </w:pPr>
      <w:r>
        <w:rPr>
          <w:rFonts w:ascii="Times New Roman" w:cs="Times New Roman" w:eastAsia="Times New Roman" w:hAnsi="Times New Roman"/>
          <w:sz w:val="21"/>
          <w:szCs w:val="21"/>
          <w:color w:val="auto"/>
        </w:rPr>
        <w:t>Notwithstanding the foregoing, if the determination date for the Fair Market Value Price occurs on a day other than a Business Day, the Fair Market Value Price will be the price as determined in accordance with subsections</w:t>
      </w:r>
    </w:p>
    <w:p>
      <w:pPr>
        <w:spacing w:after="0" w:line="1"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2"/>
          <w:szCs w:val="22"/>
          <w:color w:val="auto"/>
        </w:rPr>
        <w:t>(i) through (iii) above (as applicable) on the next Business Day;</w:t>
      </w:r>
    </w:p>
    <w:p>
      <w:pPr>
        <w:spacing w:after="0" w:line="178" w:lineRule="exact"/>
        <w:rPr>
          <w:sz w:val="20"/>
          <w:szCs w:val="20"/>
          <w:color w:val="auto"/>
        </w:rPr>
      </w:pPr>
    </w:p>
    <w:p>
      <w:pPr>
        <w:ind w:left="743" w:hanging="743"/>
        <w:spacing w:after="0" w:line="262"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Share Option</w:t>
      </w:r>
      <w:r>
        <w:rPr>
          <w:rFonts w:ascii="Times New Roman" w:cs="Times New Roman" w:eastAsia="Times New Roman" w:hAnsi="Times New Roman"/>
          <w:sz w:val="22"/>
          <w:szCs w:val="22"/>
          <w:color w:val="auto"/>
        </w:rPr>
        <w:t>” means an Option to purchase Common Shares that is not intended to be an “incentive stock option” under Section 422 of the Code;</w:t>
      </w:r>
    </w:p>
    <w:p>
      <w:pPr>
        <w:spacing w:after="0" w:line="149"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share options granted hereunder to purchase Common Shares from treasury. All Options granted under the Plan will be Nonqualified Share Options;</w:t>
      </w:r>
    </w:p>
    <w:p>
      <w:pPr>
        <w:spacing w:after="0" w:line="149"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 Eligible Person to whom an Award is granted pursuant to the Plan or, if applicable, such other person who holds an outstanding Award;</w:t>
      </w:r>
    </w:p>
    <w:p>
      <w:pPr>
        <w:spacing w:after="0" w:line="149"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Criteria</w:t>
      </w:r>
      <w:r>
        <w:rPr>
          <w:rFonts w:ascii="Times New Roman" w:cs="Times New Roman" w:eastAsia="Times New Roman" w:hAnsi="Times New Roman"/>
          <w:sz w:val="22"/>
          <w:szCs w:val="22"/>
          <w:color w:val="auto"/>
        </w:rPr>
        <w:t>” means the one or more criteria that the Compensation Committee shall select for purposes of establishing the performance goals for a Performance Period;</w:t>
      </w:r>
    </w:p>
    <w:p>
      <w:pPr>
        <w:spacing w:after="0" w:line="149"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one or more periods of time, which may be of varying and overlapping duration, as the Compensation Committee may select, over which the attainment of one or more performance goals will be measured for the purpose of determining a Participant’s right to, and the payment of, a Performance Share Award;</w:t>
      </w:r>
    </w:p>
    <w:p>
      <w:pPr>
        <w:spacing w:after="0" w:line="171"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Share Award</w:t>
      </w:r>
      <w:r>
        <w:rPr>
          <w:rFonts w:ascii="Times New Roman" w:cs="Times New Roman" w:eastAsia="Times New Roman" w:hAnsi="Times New Roman"/>
          <w:sz w:val="22"/>
          <w:szCs w:val="22"/>
          <w:color w:val="auto"/>
        </w:rPr>
        <w:t>” means a bookkeeping entry representing an unfunded and unsecured promise, denominated in Common Shares, to deliver Common Shares or cash measured by the value of Common Shares in the future, granted pursuant to the terms and conditions of Article 9 and subject to the satisfaction of specified performance-based vesting conditions;</w:t>
      </w:r>
    </w:p>
    <w:p>
      <w:pPr>
        <w:spacing w:after="0" w:line="171" w:lineRule="exact"/>
        <w:rPr>
          <w:rFonts w:ascii="Times New Roman" w:cs="Times New Roman" w:eastAsia="Times New Roman" w:hAnsi="Times New Roman"/>
          <w:sz w:val="22"/>
          <w:szCs w:val="22"/>
          <w:color w:val="auto"/>
        </w:rPr>
      </w:pPr>
    </w:p>
    <w:p>
      <w:pPr>
        <w:ind w:left="743" w:right="20" w:hanging="743"/>
        <w:spacing w:after="0" w:line="262"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2025 Inducement Equity Incentive Plan, as the same may from time to time be supplemented, amended and/or restated and in effect;</w:t>
      </w:r>
    </w:p>
    <w:p>
      <w:pPr>
        <w:spacing w:after="0" w:line="34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8" w:name="page9"/>
    <w:bookmarkEnd w:id="8"/>
    <w:p>
      <w:pPr>
        <w:spacing w:after="0" w:line="181" w:lineRule="exact"/>
        <w:rPr>
          <w:sz w:val="20"/>
          <w:szCs w:val="20"/>
          <w:color w:val="auto"/>
        </w:rPr>
      </w:pPr>
    </w:p>
    <w:p>
      <w:pPr>
        <w:ind w:left="743" w:hanging="743"/>
        <w:spacing w:after="0" w:line="262" w:lineRule="auto"/>
        <w:tabs>
          <w:tab w:leader="none" w:pos="74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Entity</w:t>
      </w:r>
      <w:r>
        <w:rPr>
          <w:rFonts w:ascii="Times New Roman" w:cs="Times New Roman" w:eastAsia="Times New Roman" w:hAnsi="Times New Roman"/>
          <w:sz w:val="22"/>
          <w:szCs w:val="22"/>
          <w:color w:val="auto"/>
        </w:rPr>
        <w:t>” means, for a company or corporation, a Person that Controls or is Controlled by the Company or that is Controlled by the same Person that controls that company or corporation;</w:t>
      </w:r>
    </w:p>
    <w:p>
      <w:pPr>
        <w:spacing w:after="0" w:line="150" w:lineRule="exact"/>
        <w:rPr>
          <w:sz w:val="20"/>
          <w:szCs w:val="20"/>
          <w:color w:val="auto"/>
        </w:rPr>
      </w:pPr>
    </w:p>
    <w:p>
      <w:pPr>
        <w:jc w:val="both"/>
        <w:ind w:left="743" w:hanging="743"/>
        <w:spacing w:after="0" w:line="246"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 Award</w:t>
      </w:r>
      <w:r>
        <w:rPr>
          <w:rFonts w:ascii="Times New Roman" w:cs="Times New Roman" w:eastAsia="Times New Roman" w:hAnsi="Times New Roman"/>
          <w:sz w:val="22"/>
          <w:szCs w:val="22"/>
          <w:color w:val="auto"/>
        </w:rPr>
        <w:t>” means an award of Common Shares which is granted pursuant to the terms and conditions of Article 9 and subject to restrictions requiring that it be forfeited, redelivered or offered for sale to the Company if specified performance or other vesting conditions are not satisfied;</w:t>
      </w:r>
    </w:p>
    <w:p>
      <w:pPr>
        <w:spacing w:after="0" w:line="167"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 Unit Award</w:t>
      </w:r>
      <w:r>
        <w:rPr>
          <w:rFonts w:ascii="Times New Roman" w:cs="Times New Roman" w:eastAsia="Times New Roman" w:hAnsi="Times New Roman"/>
          <w:sz w:val="22"/>
          <w:szCs w:val="22"/>
          <w:color w:val="auto"/>
        </w:rPr>
        <w:t>” means a bookkeeping entry representing an unfunded and unsecured promise, denominated in Common Shares, to deliver Common Shares or cash measured by the value of Common Shares in the future, granted pursuant to the terms and conditions of Article 9 and subject to the satisfaction of specified service-based vesting conditions;</w:t>
      </w:r>
    </w:p>
    <w:p>
      <w:pPr>
        <w:spacing w:after="0" w:line="171" w:lineRule="exact"/>
        <w:rPr>
          <w:rFonts w:ascii="Times New Roman" w:cs="Times New Roman" w:eastAsia="Times New Roman" w:hAnsi="Times New Roman"/>
          <w:sz w:val="22"/>
          <w:szCs w:val="22"/>
          <w:color w:val="auto"/>
        </w:rPr>
      </w:pPr>
    </w:p>
    <w:p>
      <w:pPr>
        <w:jc w:val="both"/>
        <w:ind w:left="743" w:hanging="743"/>
        <w:spacing w:after="0" w:line="238"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retirement as an employee and/or officer of the Company or any of its subsidiaries, and if there is any question on whether a cessation of employment is by way of a retirement or not, the determination by the CEO (or in the CEO’s absence or in the case of a situation involving the cessation of employment of an executive officer of the Company, the Compensation Committee) shall be conclusive and binding on the Participant;</w:t>
      </w:r>
    </w:p>
    <w:p>
      <w:pPr>
        <w:spacing w:after="0" w:line="146" w:lineRule="exact"/>
        <w:rPr>
          <w:rFonts w:ascii="Times New Roman" w:cs="Times New Roman" w:eastAsia="Times New Roman" w:hAnsi="Times New Roman"/>
          <w:sz w:val="22"/>
          <w:szCs w:val="22"/>
          <w:color w:val="auto"/>
        </w:rPr>
      </w:pPr>
    </w:p>
    <w:p>
      <w:pPr>
        <w:ind w:left="743" w:right="20" w:hanging="743"/>
        <w:spacing w:after="0" w:line="287" w:lineRule="exact"/>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means Rule 16b-3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2"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(British Columbia);</w:t>
      </w:r>
    </w:p>
    <w:p>
      <w:pPr>
        <w:spacing w:after="0" w:line="206" w:lineRule="exact"/>
        <w:rPr>
          <w:rFonts w:ascii="Times New Roman" w:cs="Times New Roman" w:eastAsia="Times New Roman" w:hAnsi="Times New Roman"/>
          <w:sz w:val="22"/>
          <w:szCs w:val="22"/>
          <w:color w:val="auto"/>
        </w:rPr>
      </w:pPr>
    </w:p>
    <w:p>
      <w:pPr>
        <w:jc w:val="both"/>
        <w:ind w:left="743" w:hanging="743"/>
        <w:spacing w:after="0" w:line="236"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Providers</w:t>
      </w:r>
      <w:r>
        <w:rPr>
          <w:rFonts w:ascii="Times New Roman" w:cs="Times New Roman" w:eastAsia="Times New Roman" w:hAnsi="Times New Roman"/>
          <w:sz w:val="22"/>
          <w:szCs w:val="22"/>
          <w:color w:val="auto"/>
        </w:rPr>
        <w:t>” means directors, officers, employees or Consultants of the Company or of any of its subsidiaries, and a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shall have a corresponding meaning. The Company shall determine in good faith and in the exercise of its discretion whether an individual has become or has ceased to be a Service Provider and the effective date of such individual’s service or termination of service,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75"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Appreciation Right</w:t>
      </w:r>
      <w:r>
        <w:rPr>
          <w:rFonts w:ascii="Times New Roman" w:cs="Times New Roman" w:eastAsia="Times New Roman" w:hAnsi="Times New Roman"/>
          <w:sz w:val="22"/>
          <w:szCs w:val="22"/>
          <w:color w:val="auto"/>
        </w:rPr>
        <w:t>” means a right to receive the appreciation on Common Shares that is granted pursuant to the terms and conditions of Article 9;</w:t>
      </w:r>
    </w:p>
    <w:p>
      <w:pPr>
        <w:spacing w:after="0" w:line="149" w:lineRule="exact"/>
        <w:rPr>
          <w:rFonts w:ascii="Times New Roman" w:cs="Times New Roman" w:eastAsia="Times New Roman" w:hAnsi="Times New Roman"/>
          <w:sz w:val="22"/>
          <w:szCs w:val="22"/>
          <w:color w:val="auto"/>
        </w:rPr>
      </w:pPr>
    </w:p>
    <w:p>
      <w:pPr>
        <w:ind w:left="743" w:right="20" w:hanging="743"/>
        <w:spacing w:after="0" w:line="262"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Award</w:t>
      </w:r>
      <w:r>
        <w:rPr>
          <w:rFonts w:ascii="Times New Roman" w:cs="Times New Roman" w:eastAsia="Times New Roman" w:hAnsi="Times New Roman"/>
          <w:sz w:val="22"/>
          <w:szCs w:val="22"/>
          <w:color w:val="auto"/>
        </w:rPr>
        <w:t>” means any Restricted Share Award, Restricted Share Unit Award, Share Appreciation Right, or Performance Share Award granted under the Plan;</w:t>
      </w:r>
    </w:p>
    <w:p>
      <w:pPr>
        <w:spacing w:after="0" w:line="34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 w:name="page10"/>
    <w:bookmarkEnd w:id="9"/>
    <w:p>
      <w:pPr>
        <w:spacing w:after="0" w:line="181" w:lineRule="exact"/>
        <w:rPr>
          <w:sz w:val="20"/>
          <w:szCs w:val="20"/>
          <w:color w:val="auto"/>
        </w:rPr>
      </w:pPr>
    </w:p>
    <w:p>
      <w:pPr>
        <w:ind w:left="1500" w:hanging="743"/>
        <w:spacing w:after="0" w:line="262"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Exchanges</w:t>
      </w:r>
      <w:r>
        <w:rPr>
          <w:rFonts w:ascii="Times New Roman" w:cs="Times New Roman" w:eastAsia="Times New Roman" w:hAnsi="Times New Roman"/>
          <w:sz w:val="22"/>
          <w:szCs w:val="22"/>
          <w:color w:val="auto"/>
        </w:rPr>
        <w:t>” means such stock exchanges or other organized market on which the Common Shares are listed or posted for trading, including the Nasdaq Stock Market;</w:t>
      </w:r>
    </w:p>
    <w:p>
      <w:pPr>
        <w:spacing w:after="0" w:line="149" w:lineRule="exact"/>
        <w:rPr>
          <w:rFonts w:ascii="Times New Roman" w:cs="Times New Roman" w:eastAsia="Times New Roman" w:hAnsi="Times New Roman"/>
          <w:sz w:val="22"/>
          <w:szCs w:val="22"/>
          <w:color w:val="auto"/>
        </w:rPr>
      </w:pPr>
    </w:p>
    <w:p>
      <w:pPr>
        <w:ind w:left="1500" w:hanging="743"/>
        <w:spacing w:after="0" w:line="262"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has the meaning assigned thereto under the Securities Act (British Columbia) as the same may from time to time be amended or re-enacted; and</w:t>
      </w:r>
    </w:p>
    <w:p>
      <w:pPr>
        <w:spacing w:after="0" w:line="154" w:lineRule="exact"/>
        <w:rPr>
          <w:sz w:val="20"/>
          <w:szCs w:val="20"/>
          <w:color w:val="auto"/>
        </w:rPr>
      </w:pPr>
    </w:p>
    <w:p>
      <w:pPr>
        <w:jc w:val="both"/>
        <w:ind w:left="760" w:right="2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Any question arising as to the interpretation of this Plan will be determined by the Compensation Committee and, absent manifest error, such determination will be conclusive and binding on the Company and all Participants.</w:t>
      </w:r>
    </w:p>
    <w:p>
      <w:pPr>
        <w:spacing w:after="0" w:line="158"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In this Plan, words importing the singular number only include the plural and vice versa, words importing any gender include all genders and words importing persons include individuals, corporations, limited and unlimited liability companies, general and unlimited partnerships, associations, trusts, incorporated organizations, joint ventures and governmental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 OF PLAN</w:t>
      </w:r>
    </w:p>
    <w:p>
      <w:pPr>
        <w:spacing w:after="0" w:line="182"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The Plan will be administered by the Compensation Committee so long as the Compensation Committee is the independent compensation committee of the Board of Directors within the meaning of Rule 5635(c)(4) of the Nasdaq Listing Rules and, if the Compensation Committee does not meet such requirement, the Plan will be administered by the “Independent Directors” (as defined under Rule 5605(a)(2) of the Nasdaq Listing Rules) of the Board of Directors. The Compensation Committee (or the independent members of the Board of Directors) will have full authority to act as the administrator of the Plan and the power to grant Awards under the Plan pursuant to Section 3.3. References in the Plan to the Compensation Committee shall be deemed to refer to the Compensation Committee that is the independent compensation committee of the Board of Directors within the meaning of Rule 5635(c)(4) of the Nasdaq Listing Rules and/or the “Independent Directors” (as defined under Rule 5605(a)(2) of the Nasdaq Listing Rules) of the Board of Directors, as applicable.</w:t>
      </w:r>
    </w:p>
    <w:p>
      <w:pPr>
        <w:spacing w:after="0" w:line="17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Notwithstanding anything in the Plan to the contrary, all Awards granted under the Plan must be approved by a majority of the Company’s “Independent Directors” (as defined under Rule 5605(a)(2) of the Nasdaq Listing Rules) or by the Compensation Committee (which is the independent compensation committee of the Board of Directors within the meaning of Rule 5635(c)(4) of the Nasdaq Listing Rules), in each case acting as the administrator of the Plan.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Subject to the provisions of the Plan, the Compensation Committee, will have the authority, in its discretion:</w:t>
      </w:r>
    </w:p>
    <w:p>
      <w:pPr>
        <w:spacing w:after="0" w:line="206" w:lineRule="exact"/>
        <w:rPr>
          <w:sz w:val="20"/>
          <w:szCs w:val="20"/>
          <w:color w:val="auto"/>
        </w:rPr>
      </w:pPr>
    </w:p>
    <w:p>
      <w:pPr>
        <w:ind w:left="1500" w:hanging="743"/>
        <w:spacing w:after="0"/>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 Price;</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3.3 and Article 7, to select the Eligible Persons to whom Awards may be granted hereunder (which Awards will be intended as a material inducement to the individual becoming an employee of the Company or any of its subsidiaries or to otherwise be permitted under Nasdaq Listing Rule 5635(c) and the official guidance thereunder);</w:t>
      </w:r>
    </w:p>
    <w:p>
      <w:pPr>
        <w:spacing w:after="0" w:line="180"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3.3, to determine the number of Common Shares to be covered by each Award granted hereunder;</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3.3, to determine the terms and conditions, not inconsistent with the terms of the Plan, of any Award granted hereunder. Such terms and conditions include, but are not limited to, the exercise price, base value from which appreciation is measured, or purchase price, if any, applicable to any Award, the time or times when Awards may be exercised (which may be based on Performance Criteria), any vesting acceleration or waiver of forfeiture restrictions, the form of settlement of an Award (whether in cash, Common Shares or other property) and any restriction or limitation regarding any Award or the Common Shares relating thereto, based in each case on such factors as the Compensation Committee will determine;</w:t>
      </w:r>
    </w:p>
    <w:p>
      <w:pPr>
        <w:spacing w:after="0" w:line="18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Article 11 of the Plan), including but not limited to the discretionary authority to extend the post-termination exercisability period of Awards;</w:t>
      </w:r>
    </w:p>
    <w:p>
      <w:pPr>
        <w:spacing w:after="0" w:line="15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the satisfaction of withholding tax obligations in such manner as prescribed in paragraph 10.6 of the Plan;</w:t>
      </w:r>
    </w:p>
    <w:p>
      <w:pPr>
        <w:spacing w:after="0" w:line="15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under the Plan;</w:t>
      </w:r>
    </w:p>
    <w:p>
      <w:pPr>
        <w:spacing w:after="0" w:line="15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Common Shares that would otherwise be due to such Participant, as applicable, under an Award;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ind w:left="1500" w:hanging="743"/>
        <w:spacing w:after="0"/>
        <w:tabs>
          <w:tab w:leader="none" w:pos="1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The Compensation Committee has the authority to determine all questions arising out of the Plan and any Award granted pursuant to the Plan, which interpretations and determinations will be conclusive and binding on the Company and all other affected persons.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REGULATIONS</w:t>
      </w:r>
    </w:p>
    <w:p>
      <w:pPr>
        <w:spacing w:after="0" w:line="182"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The Compensation Committee may from time to time establish such regulations, make such determinations and interpretations and take such steps in connection with this Plan which, in its opinion, are necessary or desirable for the administration of this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WITH LAWS</w:t>
      </w:r>
    </w:p>
    <w:p>
      <w:pPr>
        <w:spacing w:after="0" w:line="182"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The Plan, the grant, exercise, vesting, and/or settlement of Awards under the Plan and the Company’s obligation to issue Common Shares on exercise, vesting, or settlement of Awards will be subject to all applicable federal, provincial and foreign laws, rules and regulations and the rules of any regulatory authority or Stock Exchange on which the securities of the Company are listed. The Company shall not be required, or in any way obliged, to grant Awards or issue Common Shares if such grant or issuance would require registration of the Plan or of any Awards or Common Shares under the securities laws of any jurisdiction other than Canada or the United States. Common Shares issued to a Participant pursuant to the exercise, vesting, or settlement of an Award may be subject to limitations on sale or resale under applicable securities laws.</w:t>
      </w:r>
    </w:p>
    <w:p>
      <w:pPr>
        <w:spacing w:after="0" w:line="178"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The Compensation Committee may from time to time take such steps and require such documentation from Eligible Persons or Participants which in its opinion are necessary or desirable to ensure compliance with all applicable laws, the bylaws, rules and regulations of any Stock Exchanges.</w:t>
      </w:r>
    </w:p>
    <w:p>
      <w:pPr>
        <w:spacing w:after="0" w:line="173" w:lineRule="exact"/>
        <w:rPr>
          <w:sz w:val="20"/>
          <w:szCs w:val="20"/>
          <w:color w:val="auto"/>
        </w:rPr>
      </w:pPr>
    </w:p>
    <w:p>
      <w:pPr>
        <w:jc w:val="both"/>
        <w:ind w:left="760" w:hanging="748"/>
        <w:spacing w:after="0" w:line="236" w:lineRule="auto"/>
        <w:tabs>
          <w:tab w:leader="none" w:pos="7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The Compensation Committee may also from time to time take such steps which in its opinion are necessary or desirable to restrict the transferability of any Common Shares acquired on the exercise, vesting, or settlement of any Award in order to ensure such compliance, including, where applicable, the endorsement of a legend on any certificate representing Common Shares acquired on the exercise, vesting, or settlement of any Award to the effect that such Common Shares may not be offered, sold or delivered except in compliance with the applicable securities laws and regulations of Canada or the United States.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 SUBJECT TO PLAN</w:t>
      </w:r>
    </w:p>
    <w:p>
      <w:pPr>
        <w:spacing w:after="0" w:line="182"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Subject to adjustment provided for herein and subject to Section 6.3 below, the initial number of Common Shares that may be issued pursuant to the Plan will be 1,175,000 Common Shares (the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The Board of Directors will reserve for allotment from time to time out of the authorized but unissued Common Shares sufficient Common Shares to provide for issuance of all Common Shares which are issuable under all outstanding Options or Share Awards.</w:t>
      </w:r>
    </w:p>
    <w:p>
      <w:pPr>
        <w:spacing w:after="0" w:line="173"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Upon the expiry or termination of an Award which has not been exercised in full or, with respect to an Award not requiring exercise that is forfeited to or repurchased by the Company due to failure to vest, the number of unpurchased Common Shares reserved for issuance under that Award (or for Awards other than Options or Share Appreciation Rights the forfeited or repurchased Common Shares) shall become available for issue for the purpose of additional Awards which may be granted under this Plan (unless the Plan has terminated). With respect to Share Appreciation Rights, only Common Shares actually issued (i.e., the net Common Shares issued) pursuant to a Share Appreciation Right will cease to be available under the Plan; all remaining Common Shares under Share Appreciation Rights will remain available for future grant or sale under the Plan (unless the Plan has terminated). Common Shares that have actually been issued under the Plan under any Award will not be returned to the Plan and will not become available for future distribution under the Plan; provided, however, that if Common Shares issued pursuant to Restricted Share Awards, Restricted Share Unit Awards, or Performance Share Awards are repurchased by the Company or are forfeited to the Company, such Common Shares will become available for future grant under the Plan. Common Shares used to pay the exercise price of an Award or to satisfy the tax withholding obligations related to an Award will become available for future grant or sale under the Plan. To the extent an Award under the Plan is paid out in cash rather than Common Shares, such cash payment will not result in reducing the number of Common Shares available for issuance under the Plan.</w:t>
      </w:r>
    </w:p>
    <w:p>
      <w:pPr>
        <w:spacing w:after="0" w:line="178"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Participation in this Plan will be entirely voluntary and any decision not to participate will not affect an Eligible Person’s employment or other service relationship with the Company or any of its subsidiaries.</w:t>
      </w:r>
    </w:p>
    <w:p>
      <w:pPr>
        <w:spacing w:after="0" w:line="158"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color w:val="auto"/>
        </w:rPr>
        <w:t>Nothing in this Plan or in any Award Agreement will confer on any Participant any right to remain as an employee, officer, director or Consultant of the Company or any of its subsidiaries.</w:t>
      </w:r>
    </w:p>
    <w:p>
      <w:pPr>
        <w:spacing w:after="0" w:line="158"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color w:val="auto"/>
        </w:rPr>
        <w:t>Nothing herein or otherwise shall be construed so as to confer on any Participant any rights as a shareholder of the Company with respect to any Common Shares reserved for the purpose of any Award.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color w:val="auto"/>
        </w:rPr>
        <w:t>A Participant will only have rights as a shareholder of the Company with respect to Common Shares that the Participant acquires through the exercise of an Option in accordance with its terms.</w:t>
      </w:r>
    </w:p>
    <w:p>
      <w:pPr>
        <w:spacing w:after="0" w:line="158"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color w:val="auto"/>
        </w:rPr>
        <w:t>A holder of a Share Award will only have rights as a shareholder of the Company with respect to the Common Shares subject to the Share Award as specified and subject to restrictions as set out in the relevant agreement evidencing such Share Award.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ELIGIBILITY</w:t>
      </w:r>
    </w:p>
    <w:p>
      <w:pPr>
        <w:spacing w:after="0" w:line="182"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Awards may be granted to individuals who are employees of the Company or any of its subsidiaries so long as the following requirements are met:</w:t>
      </w:r>
    </w:p>
    <w:p>
      <w:pPr>
        <w:spacing w:after="0" w:line="158" w:lineRule="exact"/>
        <w:rPr>
          <w:sz w:val="20"/>
          <w:szCs w:val="20"/>
          <w:color w:val="auto"/>
        </w:rPr>
      </w:pPr>
    </w:p>
    <w:p>
      <w:pPr>
        <w:jc w:val="both"/>
        <w:ind w:left="1500" w:hanging="743"/>
        <w:spacing w:after="0" w:line="244" w:lineRule="auto"/>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was not previously an employee of the Company or any of its subsidiaries or a Director, or the individual is returning to employment with the Company following a bona-fide period of non-employment with the Company or any of its subsidiaries; and</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Award is an inducement material to the individual’s entering into employment with the Company or any of its subsidiaries in accordance with the Inducement Listing Rule.</w:t>
      </w:r>
    </w:p>
    <w:p>
      <w:pPr>
        <w:spacing w:after="0" w:line="158"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In addition, eligibility for Options and Share Appreciation Rights is limited to Eligible Persons who are providing direct services on the date of grant of the Award to the Company or any of its subsidiaries that would be described in the first sentence of Treasury Regulation Section 1.409A-1(b)(5)(iii)(E).</w:t>
      </w:r>
    </w:p>
    <w:p>
      <w:pPr>
        <w:spacing w:after="0" w:line="173"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Notwithstanding the foregoing, an employee of the Company or any of its subsidiaries may be granted an Award in connection with a merger or acquisition to the extent permitted by Nasdaq Listing Rule 5635(c)(3) and the official guidance thereunder, and any such grant will not reduce the number of Common Shares available for issuance under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OPTIONS</w:t>
      </w:r>
    </w:p>
    <w:p>
      <w:pPr>
        <w:spacing w:after="0" w:line="182"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Subject to Section 3.3, Article 7 and the rules set out below, the Compensation Committee may from time to time grant an Option to any individual as a material inducement to the individual becoming an Eligible Person or as otherwise permitted under Article 7 in connection with a merger or acquisition, in each case, which grant shall become effective only if the individual actually becomes an Eligible Person, as the Compensation Committee deems appropriate:</w:t>
      </w:r>
    </w:p>
    <w:p>
      <w:pPr>
        <w:spacing w:after="0" w:line="158" w:lineRule="exact"/>
        <w:rPr>
          <w:sz w:val="20"/>
          <w:szCs w:val="20"/>
          <w:color w:val="auto"/>
        </w:rPr>
      </w:pPr>
    </w:p>
    <w:p>
      <w:pPr>
        <w:jc w:val="both"/>
        <w:ind w:left="1500" w:hanging="743"/>
        <w:spacing w:after="0" w:line="246" w:lineRule="auto"/>
        <w:tabs>
          <w:tab w:leader="none" w:pos="150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Date Option Granted</w:t>
      </w:r>
      <w:r>
        <w:rPr>
          <w:rFonts w:ascii="Times New Roman" w:cs="Times New Roman" w:eastAsia="Times New Roman" w:hAnsi="Times New Roman"/>
          <w:sz w:val="22"/>
          <w:szCs w:val="22"/>
          <w:color w:val="auto"/>
        </w:rPr>
        <w:t>. The date on which an Option will be deemed to have been granted under this Plan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the date on which the Compensation Committee authorizes the grant of such Option or such other date as may be specified by the Compensation Committee at the time of such authorization.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1" w:lineRule="exact"/>
        <w:rPr>
          <w:sz w:val="20"/>
          <w:szCs w:val="20"/>
          <w:color w:val="auto"/>
        </w:rPr>
      </w:pPr>
    </w:p>
    <w:p>
      <w:pPr>
        <w:jc w:val="both"/>
        <w:ind w:left="743" w:hanging="743"/>
        <w:spacing w:after="0" w:line="241" w:lineRule="auto"/>
        <w:tabs>
          <w:tab w:leader="none" w:pos="743"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Common Shares</w:t>
      </w:r>
      <w:r>
        <w:rPr>
          <w:rFonts w:ascii="Times New Roman" w:cs="Times New Roman" w:eastAsia="Times New Roman" w:hAnsi="Times New Roman"/>
          <w:sz w:val="22"/>
          <w:szCs w:val="22"/>
          <w:color w:val="auto"/>
        </w:rPr>
        <w:t>. The number of Common Shares that may be purchased under any Option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will be determined by the Compensation Committee provided that such number may not be greater than the maximum number permitted under the applicable rules and regulations of all regulatory authorities to which the Company is subject, including the Stock Exchanges.</w:t>
      </w:r>
    </w:p>
    <w:p>
      <w:pPr>
        <w:spacing w:after="0" w:line="171" w:lineRule="exact"/>
        <w:rPr>
          <w:rFonts w:ascii="Times New Roman" w:cs="Times New Roman" w:eastAsia="Times New Roman" w:hAnsi="Times New Roman"/>
          <w:sz w:val="22"/>
          <w:szCs w:val="22"/>
          <w:b w:val="1"/>
          <w:bCs w:val="1"/>
          <w:color w:val="auto"/>
        </w:rPr>
      </w:pPr>
    </w:p>
    <w:p>
      <w:pPr>
        <w:jc w:val="both"/>
        <w:ind w:left="743" w:hanging="743"/>
        <w:spacing w:after="0" w:line="248" w:lineRule="auto"/>
        <w:tabs>
          <w:tab w:leader="none" w:pos="743"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The exercise price per Common Share under each Option will be determined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Committee by reference to the fair market price(s) of the Common Shares on the primary Stock Exchange for which most trading of the Common Shares occurs, generally by reference to the closing market price of the Common Shares, provided that such price may not be less than the lowest price permitted under the applicable rules and regulations of all regulatory authorities to which the Company is subject, including those of the Stock Exchanges. Notwithstanding the foregoing, the Exercise Price of an Option will be no less than one hundred percent (100%) of the Fair Market Value Price per Common Share on the date of grant.</w:t>
      </w:r>
    </w:p>
    <w:p>
      <w:pPr>
        <w:spacing w:after="0" w:line="170" w:lineRule="exact"/>
        <w:rPr>
          <w:rFonts w:ascii="Times New Roman" w:cs="Times New Roman" w:eastAsia="Times New Roman" w:hAnsi="Times New Roman"/>
          <w:sz w:val="21"/>
          <w:szCs w:val="21"/>
          <w:b w:val="1"/>
          <w:bCs w:val="1"/>
          <w:color w:val="auto"/>
        </w:rPr>
      </w:pPr>
    </w:p>
    <w:p>
      <w:pPr>
        <w:jc w:val="both"/>
        <w:ind w:left="743" w:hanging="743"/>
        <w:spacing w:after="0" w:line="237" w:lineRule="auto"/>
        <w:tabs>
          <w:tab w:leader="none" w:pos="743"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Option will be evidenced by an Award Agreement, which incorporates such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as the Compensation Committee, in its discretion, deems appropriate and consistent with the provisions of this Plan. Each Award Agreement will be executed (which may be electronic signature) by the Eligible Person to whom the Option is granted and on behalf of the Company by any member of the Board of Directors, the CEO or the Corporate Secretary of the Company or such other person as the Compensation Committee may designate for such purpose.</w:t>
      </w:r>
    </w:p>
    <w:p>
      <w:pPr>
        <w:spacing w:after="0" w:line="175" w:lineRule="exact"/>
        <w:rPr>
          <w:rFonts w:ascii="Times New Roman" w:cs="Times New Roman" w:eastAsia="Times New Roman" w:hAnsi="Times New Roman"/>
          <w:sz w:val="22"/>
          <w:szCs w:val="22"/>
          <w:b w:val="1"/>
          <w:bCs w:val="1"/>
          <w:color w:val="auto"/>
        </w:rPr>
      </w:pPr>
    </w:p>
    <w:p>
      <w:pPr>
        <w:ind w:left="743" w:hanging="743"/>
        <w:spacing w:after="0"/>
        <w:tabs>
          <w:tab w:leader="none" w:pos="743"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Expiry of Options</w:t>
      </w:r>
      <w:r>
        <w:rPr>
          <w:rFonts w:ascii="Times New Roman" w:cs="Times New Roman" w:eastAsia="Times New Roman" w:hAnsi="Times New Roman"/>
          <w:sz w:val="22"/>
          <w:szCs w:val="22"/>
          <w:color w:val="auto"/>
        </w:rPr>
        <w:t>. Each Option will expire on the earlier of:</w:t>
      </w:r>
    </w:p>
    <w:p>
      <w:pPr>
        <w:spacing w:after="0" w:line="210" w:lineRule="exact"/>
        <w:rPr>
          <w:rFonts w:ascii="Times New Roman" w:cs="Times New Roman" w:eastAsia="Times New Roman" w:hAnsi="Times New Roman"/>
          <w:sz w:val="22"/>
          <w:szCs w:val="22"/>
          <w:b w:val="1"/>
          <w:bCs w:val="1"/>
          <w:color w:val="auto"/>
        </w:rPr>
      </w:pPr>
    </w:p>
    <w:p>
      <w:pPr>
        <w:jc w:val="both"/>
        <w:ind w:left="1503" w:hanging="755"/>
        <w:spacing w:after="0" w:line="234" w:lineRule="auto"/>
        <w:tabs>
          <w:tab w:leader="none" w:pos="150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specified in the Award Agreement pursuant to which such Option is granted, provided that such date may not be later than the earlier of (A) the date which is the tenth anniversary of the date on which such Option is granted (except in the circumstances where the tenth anniversary falls within, or within five Business Days after, the end of a Blackout Period, then instead of the tenth anniversary, the relevant date shall be the fifth Business Day after the end of such Blackout Period; provided, however, that the extension in this subsection 7(e)(i)(A)(1) shall be applied to any Option held by a Participant who is a U.S. taxpayer only to the extent that it would not violate Code Section 409A) and (B) the latest date permitted under the applicable rules and regulations of all regulatory authorities to which the Company is subject, including the Stock Exchanges;</w:t>
      </w:r>
    </w:p>
    <w:p>
      <w:pPr>
        <w:spacing w:after="0" w:line="183" w:lineRule="exact"/>
        <w:rPr>
          <w:rFonts w:ascii="Times New Roman" w:cs="Times New Roman" w:eastAsia="Times New Roman" w:hAnsi="Times New Roman"/>
          <w:sz w:val="22"/>
          <w:szCs w:val="22"/>
          <w:color w:val="auto"/>
        </w:rPr>
      </w:pPr>
    </w:p>
    <w:p>
      <w:pPr>
        <w:jc w:val="both"/>
        <w:ind w:left="1503" w:hanging="755"/>
        <w:spacing w:after="0" w:line="239" w:lineRule="auto"/>
        <w:tabs>
          <w:tab w:leader="none" w:pos="150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 ceases to be a Service Provider for any reason, other than death of the Participant, such period of time after the date on which the Participant ceases to be a Service Provider as may be specified by the Compensation Committee, which period may be specified in the specific Award Agreement with respect to such Option (but in no event</w:t>
      </w:r>
    </w:p>
    <w:p>
      <w:pPr>
        <w:spacing w:after="0" w:line="369"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5" w:name="page16"/>
    <w:bookmarkEnd w:id="15"/>
    <w:p>
      <w:pPr>
        <w:spacing w:after="0" w:line="185" w:lineRule="exact"/>
        <w:rPr>
          <w:sz w:val="20"/>
          <w:szCs w:val="20"/>
          <w:color w:val="auto"/>
        </w:rPr>
      </w:pPr>
    </w:p>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granted beyond the original expiry date of the Option as provided for in subparagraph (i) above). In the absence of a specified time in the Award Agreement, the Option will remain exercisable for 90 days following the date the Participant ceases to be a Service Provider due to termination without Cause or resignation (or 180 days following the date Participant ceases to be a Service Provider due to such Participant’s Retirement, 365 days following the date Participant ceases to be a Service Provider due to such Participant’s disability, and immediately upon Participant ceasing to be a Service Provider due to the termination of such Participant as a Service Provider for Cause). Unless otherwise provided by the Compensation Committee, if on the date the Participant ceases to be a Service Provider, the Participant is not vested as to his or her entire Option, the Common Shares covered by the unvested portion of the Option will revert to the Plan. If after the date the Participant ceases to be a Service Provider, the Participant does not exercise his or her Option within the time specified by the Compensation Committee, the Option will terminate, and the Common Shares covered by such Option will revert to the Plan;</w:t>
      </w:r>
    </w:p>
    <w:p>
      <w:pPr>
        <w:spacing w:after="0" w:line="182" w:lineRule="exact"/>
        <w:rPr>
          <w:sz w:val="20"/>
          <w:szCs w:val="20"/>
          <w:color w:val="auto"/>
        </w:rPr>
      </w:pPr>
    </w:p>
    <w:p>
      <w:pPr>
        <w:ind w:left="1140" w:hanging="755"/>
        <w:spacing w:after="0"/>
        <w:tabs>
          <w:tab w:leader="none" w:pos="11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death of a Participant prior to: (A) the Participant ceasing to be a Service Provider; or</w:t>
      </w:r>
    </w:p>
    <w:p>
      <w:pPr>
        <w:spacing w:after="0" w:line="25" w:lineRule="exact"/>
        <w:rPr>
          <w:rFonts w:ascii="Times New Roman" w:cs="Times New Roman" w:eastAsia="Times New Roman" w:hAnsi="Times New Roman"/>
          <w:sz w:val="21"/>
          <w:szCs w:val="21"/>
          <w:color w:val="auto"/>
        </w:rPr>
      </w:pPr>
    </w:p>
    <w:p>
      <w:pPr>
        <w:jc w:val="both"/>
        <w:ind w:left="1140" w:hanging="6"/>
        <w:spacing w:after="0" w:line="232" w:lineRule="auto"/>
        <w:tabs>
          <w:tab w:leader="none" w:pos="149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is the number of days determined under subparagraph (ii) above, from the date on which the Participant ceased to be a Service Provider; the date which is the 365th day after the date of death of such Participant or such other date as may be specified by the Compensation Committee and which period will be specified in the Award Agreement with respect to such Option (but in no event beyond the original expiry date of the Option as provided for in subparagraph (i) above). Unless otherwise provided by the Compensation Committee, if at the time of death Participant is not vested as to his or her entire Option, the Common Shares covered by the unvested portion of the Option will immediately revert to the Plan. If the Option is not so exercised within the time specified herein, the Option will terminate, and the Common Shares covered by such Option will revert to the Plan;</w:t>
      </w:r>
    </w:p>
    <w:p>
      <w:pPr>
        <w:spacing w:after="0" w:line="178" w:lineRule="exact"/>
        <w:rPr>
          <w:rFonts w:ascii="Times New Roman" w:cs="Times New Roman" w:eastAsia="Times New Roman" w:hAnsi="Times New Roman"/>
          <w:sz w:val="22"/>
          <w:szCs w:val="22"/>
          <w:color w:val="auto"/>
        </w:rPr>
      </w:pPr>
    </w:p>
    <w:p>
      <w:pPr>
        <w:jc w:val="both"/>
        <w:ind w:left="1140" w:hanging="755"/>
        <w:spacing w:after="0" w:line="236" w:lineRule="auto"/>
        <w:tabs>
          <w:tab w:leader="none" w:pos="1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subparagraphs (ii) and (iii) of this paragraph 8.1(e), the Compensation Committee may, subject to regulatory approval, at any time prior to expiry of an Option extend the period of time within which an Option held by a deceased Participant may be exercised or within which an Option may be exercised by an Participant who has ceased to be a Service Provider, but such an extension shall not be granted beyond the original expiry date of the Option as provided for in subparagraph (i) above; and</w:t>
      </w:r>
    </w:p>
    <w:p>
      <w:pPr>
        <w:spacing w:after="0" w:line="181" w:lineRule="exact"/>
        <w:rPr>
          <w:rFonts w:ascii="Times New Roman" w:cs="Times New Roman" w:eastAsia="Times New Roman" w:hAnsi="Times New Roman"/>
          <w:sz w:val="22"/>
          <w:szCs w:val="22"/>
          <w:color w:val="auto"/>
        </w:rPr>
      </w:pPr>
    </w:p>
    <w:p>
      <w:pPr>
        <w:jc w:val="both"/>
        <w:ind w:left="1140" w:hanging="755"/>
        <w:spacing w:after="0" w:line="239" w:lineRule="auto"/>
        <w:tabs>
          <w:tab w:leader="none" w:pos="11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if the expiry of an Option pursuant to subparagraphs (ii) and (iii) of this paragraph 8.1(e) occurs during the Blackout Period applicable to the Participant or within five Business Days after the last day of a Blackout Period applicable to the Participant, the expiry date for the Option will be the last day of such five</w:t>
      </w:r>
    </w:p>
    <w:p>
      <w:pPr>
        <w:spacing w:after="0" w:line="3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6" w:name="page17"/>
    <w:bookmarkEnd w:id="16"/>
    <w:p>
      <w:pPr>
        <w:spacing w:after="0" w:line="185" w:lineRule="exact"/>
        <w:rPr>
          <w:sz w:val="20"/>
          <w:szCs w:val="20"/>
          <w:color w:val="auto"/>
        </w:rPr>
      </w:pPr>
    </w:p>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Business Day period, except to the extent that it would violate Code Section 409A or in the event of expiry of Options following termination of a Participant’s employment or services (for a director) or contract as a Consultant for Cause.</w:t>
      </w:r>
    </w:p>
    <w:p>
      <w:pPr>
        <w:spacing w:after="0" w:line="169" w:lineRule="exact"/>
        <w:rPr>
          <w:sz w:val="20"/>
          <w:szCs w:val="20"/>
          <w:color w:val="auto"/>
        </w:rPr>
      </w:pPr>
    </w:p>
    <w:p>
      <w:pPr>
        <w:ind w:left="1500" w:hanging="743"/>
        <w:spacing w:after="0"/>
        <w:tabs>
          <w:tab w:leader="none" w:pos="15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260" w:hanging="755"/>
        <w:spacing w:after="0" w:line="236"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may impose such limitations or conditions on the exercise or vesting of any Option as the Compensation Committee, in its discretion, deems appropriate. Each Award Agreement will provide that the Option granted thereunder may be exercised by notice signed by the Participant (which may be electronic signature) and accompanied by full payment for the Common Shares being purchased or by other means, including without limitation electronic means via on-line arrangements, as the Compensation Committee may from time to time approve and allow.</w:t>
      </w:r>
    </w:p>
    <w:p>
      <w:pPr>
        <w:spacing w:after="0" w:line="181" w:lineRule="exact"/>
        <w:rPr>
          <w:rFonts w:ascii="Times New Roman" w:cs="Times New Roman" w:eastAsia="Times New Roman" w:hAnsi="Times New Roman"/>
          <w:sz w:val="22"/>
          <w:szCs w:val="22"/>
          <w:color w:val="auto"/>
        </w:rPr>
      </w:pPr>
    </w:p>
    <w:p>
      <w:pPr>
        <w:jc w:val="both"/>
        <w:ind w:left="2260" w:hanging="755"/>
        <w:spacing w:after="0" w:line="233"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will determine the acceptable form of consideration for exercising an Option, including the method of payment. Such consideration may consist entirely of: (A) cash; (B) cheque; (C) other Common Shares, provided that such Common Shares have a Fair Market Value Price on the date of surrender equal to the aggregate exercise price of the Common Shares as to which such Option will be exercised and provided that accepting such Common Shares will not result in any adverse accounting consequences to the Company, as the Compensation Committee determines in its sole discretion; (D) consideration received by the Company under a broker-assisted (or other) cashless exercise program (whether through a broker or otherwise) implemented by the Company in connection with the Plan; (E) by net exercise; (F) such other consideration and method of payment for the issuance of Common Shares to the extent permitted by the applicable securities laws and all applicable rules and regulations of all regulatory authorities to which the Company is subject; or (G) any combination of the foregoing methods of payment.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PROVISIONS OF SHARE AWARDS OTHER THAN OPTIONS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Section 3.3, Article 7 and the rules set out below, the Compensation Committee may in its discretion determine to grant other forms of Awards other than Options under this Plan to any individual as a material inducement to the individual becoming an Eligible Person or as otherwise permitted under Article 7 in connection with a merger or acquisition, in each case, which grant shall become effective only if the individual actually becomes an Eligible Person, on the terms and conditions set out below and all such other forms of share awards will be subject to the Share Reserve: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Restricted Share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hanging="743"/>
        <w:spacing w:after="0" w:line="236" w:lineRule="auto"/>
        <w:tabs>
          <w:tab w:leader="none" w:pos="15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Restricted Share Award will be evidenced by an Award Agreement that shall contain such terms and conditions as the Compensation Committee shall deem appropriate. The terms and conditions of each Award Agreement evidencing a Restricted Share Award may change from time to time, and the terms and conditions of separate Restricted Share Award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Award Agreement evidencing a Restricted Share Award shall conform to (through incorporation of the provisions hereof by reference in the agreement or otherwise) the substance of each of the following provisions:</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56" w:lineRule="auto"/>
        <w:tabs>
          <w:tab w:leader="none" w:pos="2260" w:val="left"/>
        </w:tabs>
        <w:numPr>
          <w:ilvl w:val="1"/>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Consideration</w:t>
      </w:r>
      <w:r>
        <w:rPr>
          <w:rFonts w:ascii="Times New Roman" w:cs="Times New Roman" w:eastAsia="Times New Roman" w:hAnsi="Times New Roman"/>
          <w:sz w:val="21"/>
          <w:szCs w:val="21"/>
          <w:color w:val="auto"/>
        </w:rPr>
        <w:t>. A Restricted Share Award may be awarded in consideration for (A) cash, cheque,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 draft or money order payable to the Company; (B) past services actually rendered to the Company or any of its subsidiaries; or (C) any other form of legal consideration that may be acceptable to the Compensation Committee, in its sole discretion, and permissible under applicable law.</w:t>
      </w:r>
    </w:p>
    <w:p>
      <w:pPr>
        <w:spacing w:after="0" w:line="157" w:lineRule="exact"/>
        <w:rPr>
          <w:rFonts w:ascii="Times New Roman" w:cs="Times New Roman" w:eastAsia="Times New Roman" w:hAnsi="Times New Roman"/>
          <w:sz w:val="21"/>
          <w:szCs w:val="21"/>
          <w:b w:val="1"/>
          <w:bCs w:val="1"/>
          <w:color w:val="auto"/>
        </w:rPr>
      </w:pPr>
    </w:p>
    <w:p>
      <w:pPr>
        <w:jc w:val="both"/>
        <w:ind w:left="2260" w:hanging="755"/>
        <w:spacing w:after="0" w:line="234" w:lineRule="auto"/>
        <w:tabs>
          <w:tab w:leader="none" w:pos="226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Other Restrictions</w:t>
      </w:r>
      <w:r>
        <w:rPr>
          <w:rFonts w:ascii="Times New Roman" w:cs="Times New Roman" w:eastAsia="Times New Roman" w:hAnsi="Times New Roman"/>
          <w:sz w:val="22"/>
          <w:szCs w:val="22"/>
          <w:color w:val="auto"/>
        </w:rPr>
        <w:t>. Common Shares subject to a Restricted Share Award may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forfeiture to or repurchase by the Company in accordance with a vesting schedule (which may include performance-based vesting conditions) or other restrictions to be determined by the Compensation Committee as specified in the Award Agreement evidencing the Restricted Share Award. Except as otherwise provided in this Plan, Common Shares subject to the Restricted Share Award will be released from escrow as soon as practicable after such Common Shares vest or the restrictions lapse or at such other time as the Compensation Committee may determine. The Compensation Committee, in its discretion, may accelerate the time at which any vesting conditions or other restrictions will lapse or be removed. On the date set forth in the Award Agreement, the Common Shares subject to the Restricted Share Award that have not vested or for which restrictions have not lapsed will revert to the Company and again will become available for grant under the Plan.</w:t>
      </w:r>
    </w:p>
    <w:p>
      <w:pPr>
        <w:spacing w:after="0" w:line="175" w:lineRule="exact"/>
        <w:rPr>
          <w:rFonts w:ascii="Times New Roman" w:cs="Times New Roman" w:eastAsia="Times New Roman" w:hAnsi="Times New Roman"/>
          <w:sz w:val="22"/>
          <w:szCs w:val="22"/>
          <w:b w:val="1"/>
          <w:bCs w:val="1"/>
          <w:color w:val="auto"/>
        </w:rPr>
      </w:pPr>
    </w:p>
    <w:p>
      <w:pPr>
        <w:jc w:val="both"/>
        <w:ind w:left="2260" w:hanging="755"/>
        <w:spacing w:after="0" w:line="237" w:lineRule="auto"/>
        <w:tabs>
          <w:tab w:leader="none" w:pos="226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Voting Rights; Dividend and Other Distributions</w:t>
      </w:r>
      <w:r>
        <w:rPr>
          <w:rFonts w:ascii="Times New Roman" w:cs="Times New Roman" w:eastAsia="Times New Roman" w:hAnsi="Times New Roman"/>
          <w:sz w:val="22"/>
          <w:szCs w:val="22"/>
          <w:color w:val="auto"/>
        </w:rPr>
        <w:t>. Before the Common Shares subject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 Award vest or are otherwise subject to restrictions, Participants holding Common Shares subject to the Restricted Share Award granted hereunder (A) may exercise full voting rights with respect to those Common Shares, unless the Compensation Committee determines otherwise and</w:t>
      </w:r>
    </w:p>
    <w:p>
      <w:pPr>
        <w:jc w:val="both"/>
        <w:ind w:left="2260" w:hanging="6"/>
        <w:spacing w:after="0" w:line="233" w:lineRule="auto"/>
        <w:tabs>
          <w:tab w:leader="none" w:pos="261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entitled to receive all dividends and other distributions paid with respect to such Common Shares, unless the Compensation Committee provides otherwise. If any such dividends or distributions are paid in Common Shares, the Common Shares will be subject to the same restrictions on transferability and forfeitability as the Common Shares subject to the Restricted Share Award with respect to which they were paid.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Restricted Share Unit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hanging="743"/>
        <w:spacing w:after="0" w:line="249" w:lineRule="auto"/>
        <w:tabs>
          <w:tab w:leader="none" w:pos="15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Restricted Share Unit Award will be evidenced by an Award Agreement that shall contain such terms and conditions as the Compensation Committee shall deem appropriate. The terms and conditions of each Award Agreement evidencing a Restricted Share Unit Award may change from time to time, and the terms and conditions of separate Restricted Share Unit Award need not be identical,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Award Agreement evidencing a Restricted Share Unit Award shall conform to (through incorporation of the provisions hereof by reference in the agreement or otherwise) the substance of each of the following provisions:</w:t>
      </w:r>
    </w:p>
    <w:p>
      <w:pPr>
        <w:spacing w:after="0" w:line="166" w:lineRule="exact"/>
        <w:rPr>
          <w:rFonts w:ascii="Times New Roman" w:cs="Times New Roman" w:eastAsia="Times New Roman" w:hAnsi="Times New Roman"/>
          <w:sz w:val="21"/>
          <w:szCs w:val="21"/>
          <w:color w:val="auto"/>
        </w:rPr>
      </w:pPr>
    </w:p>
    <w:p>
      <w:pPr>
        <w:jc w:val="both"/>
        <w:ind w:left="2260" w:hanging="755"/>
        <w:spacing w:after="0" w:line="237" w:lineRule="auto"/>
        <w:tabs>
          <w:tab w:leader="none" w:pos="226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At the time of grant of a Restricted Share Unit Award, the Compensation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determine the consideration, if any, to be paid 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the Compensation Committee in its sole discretion and permissible under applicable law.</w:t>
      </w:r>
    </w:p>
    <w:p>
      <w:pPr>
        <w:spacing w:after="0" w:line="175" w:lineRule="exact"/>
        <w:rPr>
          <w:rFonts w:ascii="Times New Roman" w:cs="Times New Roman" w:eastAsia="Times New Roman" w:hAnsi="Times New Roman"/>
          <w:sz w:val="22"/>
          <w:szCs w:val="22"/>
          <w:b w:val="1"/>
          <w:bCs w:val="1"/>
          <w:color w:val="auto"/>
        </w:rPr>
      </w:pPr>
    </w:p>
    <w:p>
      <w:pPr>
        <w:jc w:val="both"/>
        <w:ind w:left="2260" w:hanging="755"/>
        <w:spacing w:after="0" w:line="235" w:lineRule="auto"/>
        <w:tabs>
          <w:tab w:leader="none" w:pos="226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At the time of the grant of a Restricted Share Unit Award, the Compensation Committee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 such restrictions or conditions to the vesting of the Restricted Share Unit Award as it, in its sole discretion, deems appropriate. The Compensation Committee, in its discretion, may accelerate the time at which any vesting conditions or other restrictions will lapse or be removed. On the date set forth in the Award Agreement, the Restricted Share Unit Award for which restrictions have not lapsed will revert to the Company and again will become available for grant under the Plan. Except as otherwise provided in the applicable Award Agreement, such portion of the Restricted Share Unit Award that has not vested will be forfeited upon the Participant’s termination of services or employment or engagement with the Company.</w:t>
      </w:r>
    </w:p>
    <w:p>
      <w:pPr>
        <w:spacing w:after="0" w:line="173"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Upon meeting the applicable vesting criteria, a Restricted Share Unit Award (or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thereof) may be settled by the delivery of Common Shares, its cash equivalent, or in any combination thereof, as determined by the Compensation Committee and contained in the Award Agreement evidencing the Restricted Share Unit Award.</w:t>
      </w:r>
    </w:p>
    <w:p>
      <w:pPr>
        <w:spacing w:after="0" w:line="171"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w:t>
      </w:r>
      <w:r>
        <w:rPr>
          <w:rFonts w:ascii="Times New Roman" w:cs="Times New Roman" w:eastAsia="Times New Roman" w:hAnsi="Times New Roman"/>
          <w:sz w:val="22"/>
          <w:szCs w:val="22"/>
          <w:color w:val="auto"/>
        </w:rPr>
        <w:t>. At the time of the grant of a Restricted Share Unit Award, the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as it deems appropriate, may impose such restrictions or conditions that delay the delivery of the Common Shares (or their cash equivalent) subject to a Restricted Share Unit Award to a time after the vesting of such Restricted Share Unit Award.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1" w:lineRule="exact"/>
        <w:rPr>
          <w:sz w:val="20"/>
          <w:szCs w:val="20"/>
          <w:color w:val="auto"/>
        </w:rPr>
      </w:pPr>
    </w:p>
    <w:p>
      <w:pPr>
        <w:jc w:val="both"/>
        <w:ind w:left="2260" w:hanging="755"/>
        <w:spacing w:after="0" w:line="235" w:lineRule="auto"/>
        <w:tabs>
          <w:tab w:leader="none" w:pos="22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Dividend equivalents may be credited in respect of Common Shares 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Restricted Share Unit Award, as determined by the Compensation Committee and contained in the Award Agreement evidencing Restricted Share Unit Award. At the sole discretion of the Compensation Committee, such dividend equivalents may be converted into additional Common Shares covered by the Restricted Share Unit Award in such manner as determined by the Compensation Committee. Any additional Common Shares covered by the Restricted Share Unit Award credited by reason of such dividend equivalents will be subject to all the terms and conditions of the underlying Award Agreement to which they relate.</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Share Appreciation Rights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hanging="743"/>
        <w:spacing w:after="0" w:line="249" w:lineRule="auto"/>
        <w:tabs>
          <w:tab w:leader="none" w:pos="15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Share Appreciation Right Award will be evidenced by an Award Agreement that shall contain such terms and conditions as the Compensation Committee shall deem appropriate. The terms and conditions of each Award Agreement evidencing a Share Appreciation Right Award may change from time to time, and the terms and conditions of separate Share Appreciation Right Award need not be identical,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each Award Agreement evidencing a Share Appreciation Right Award shall conform to (through incorporation of the provisions hereof by reference in the agreement or otherwise) the substance of each of the following provisions:</w:t>
      </w:r>
    </w:p>
    <w:p>
      <w:pPr>
        <w:spacing w:after="0" w:line="166" w:lineRule="exact"/>
        <w:rPr>
          <w:rFonts w:ascii="Times New Roman" w:cs="Times New Roman" w:eastAsia="Times New Roman" w:hAnsi="Times New Roman"/>
          <w:sz w:val="21"/>
          <w:szCs w:val="21"/>
          <w:color w:val="auto"/>
        </w:rPr>
      </w:pPr>
    </w:p>
    <w:p>
      <w:pPr>
        <w:ind w:left="2260" w:hanging="755"/>
        <w:spacing w:after="0" w:line="286" w:lineRule="auto"/>
        <w:tabs>
          <w:tab w:leader="none" w:pos="2260"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No Share Appreciation Right shall be exercisable after the expiration of ten (10) years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of its grant or such shorter period specified in the Share Appreciation Right Award Agreement.</w:t>
      </w:r>
    </w:p>
    <w:p>
      <w:pPr>
        <w:spacing w:after="0" w:line="126" w:lineRule="exact"/>
        <w:rPr>
          <w:rFonts w:ascii="Times New Roman" w:cs="Times New Roman" w:eastAsia="Times New Roman" w:hAnsi="Times New Roman"/>
          <w:sz w:val="21"/>
          <w:szCs w:val="21"/>
          <w:b w:val="1"/>
          <w:bCs w:val="1"/>
          <w:color w:val="auto"/>
        </w:rPr>
      </w:pPr>
    </w:p>
    <w:p>
      <w:pPr>
        <w:jc w:val="both"/>
        <w:ind w:left="2260" w:hanging="755"/>
        <w:spacing w:after="0" w:line="252" w:lineRule="auto"/>
        <w:tabs>
          <w:tab w:leader="none" w:pos="2260"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The exercise under each Share Appreciation Right will be determined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Committee by reference to the fair market price(s) of the Common Shares on the primary Stock Exchange for which most trading of the Common Shares occurs, generally by reference to the closing market price of the Common Shares, provided that such price may not be less than one hundred percent (100%) of the Fair Market Value Price per Common Share on the date of grant.</w:t>
      </w:r>
    </w:p>
    <w:p>
      <w:pPr>
        <w:spacing w:after="0" w:line="163" w:lineRule="exact"/>
        <w:rPr>
          <w:rFonts w:ascii="Times New Roman" w:cs="Times New Roman" w:eastAsia="Times New Roman" w:hAnsi="Times New Roman"/>
          <w:sz w:val="21"/>
          <w:szCs w:val="21"/>
          <w:b w:val="1"/>
          <w:bCs w:val="1"/>
          <w:color w:val="auto"/>
        </w:rPr>
      </w:pPr>
    </w:p>
    <w:p>
      <w:pPr>
        <w:jc w:val="both"/>
        <w:ind w:left="2260" w:hanging="755"/>
        <w:spacing w:after="0" w:line="236" w:lineRule="auto"/>
        <w:tabs>
          <w:tab w:leader="none" w:pos="2260" w:val="left"/>
        </w:tabs>
        <w:numPr>
          <w:ilvl w:val="1"/>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Calculation of Appreciation</w:t>
      </w:r>
      <w:r>
        <w:rPr>
          <w:rFonts w:ascii="Times New Roman" w:cs="Times New Roman" w:eastAsia="Times New Roman" w:hAnsi="Times New Roman"/>
          <w:sz w:val="22"/>
          <w:szCs w:val="22"/>
          <w:color w:val="auto"/>
        </w:rPr>
        <w:t>. The appreciation distribution payable on the exercise of a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Appreciation Right will be not greater than an amount equal to the excess of (A) the aggregate Fair Market Value Price (on the date of the exercise of the Share Appreciation Right) of a number of Common Shares equal to the number of Common Share equivalents in which the Participant is vested under such Share Appreciation Right, and with respect to which the Participant is exercising the Share Appreciation Right on such date, over (B) the aggregate Exercise Price of such number of Common Share equivalents being exercised.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1" w:lineRule="exact"/>
        <w:rPr>
          <w:sz w:val="20"/>
          <w:szCs w:val="20"/>
          <w:color w:val="auto"/>
        </w:rPr>
      </w:pPr>
    </w:p>
    <w:p>
      <w:pPr>
        <w:jc w:val="both"/>
        <w:ind w:left="2260" w:hanging="755"/>
        <w:spacing w:after="0" w:line="246" w:lineRule="auto"/>
        <w:tabs>
          <w:tab w:leader="none" w:pos="22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At the time of the grant of a Share Appreciation Right, the Compensation Committee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 such restrictions or conditions to the vesting of such Share Appreciation Right as it, in its sole discretion, deems appropriate.</w:t>
      </w:r>
    </w:p>
    <w:p>
      <w:pPr>
        <w:spacing w:after="0" w:line="167"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To exercise any outstanding Share Appreciation Right, the Participant must provide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exercise to the Company in compliance with the provisions of the Award Agreement evidencing such Share Appreciation Right or by other means, including without limitation electronic means via on-line arrangements, as the Compensation Committee may from time to time approve and allow.</w:t>
      </w:r>
    </w:p>
    <w:p>
      <w:pPr>
        <w:spacing w:after="0" w:line="171"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The appreciation distribution in respect of a Share Appreciation Right may be paid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in cash, in any combination of the two or in any other form of consideration, as determined by the Compensation Committee and set forth in the Award Agreement evidencing such Share Appreciation Right.</w:t>
      </w:r>
    </w:p>
    <w:p>
      <w:pPr>
        <w:spacing w:after="0" w:line="171"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Expiry of Share Appreciation Rights</w:t>
      </w:r>
      <w:r>
        <w:rPr>
          <w:rFonts w:ascii="Times New Roman" w:cs="Times New Roman" w:eastAsia="Times New Roman" w:hAnsi="Times New Roman"/>
          <w:sz w:val="22"/>
          <w:szCs w:val="22"/>
          <w:color w:val="auto"/>
        </w:rPr>
        <w:t>. Each Share Appreciation Right will expire upon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Compensation Committee, in its sole discretion, and set forth in the Award Agreement evidencing Share Appreciation Rights. Notwithstanding the foregoing, the rules of paragraph 8.1(e) also will apply to Share Appreciation Rights.</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Performance Share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hanging="743"/>
        <w:spacing w:after="0" w:line="236" w:lineRule="auto"/>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Performance Share Award will be evidenced by an Award Agreement that shall contain such terms and conditions as the Compensation Committee shall deem appropriate. The terms and conditions of each Award Agreement evidencing a Performance Share Award may change from time to time, and the terms and conditions of separate Performance Share Award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Award Agreement evidencing a Performance Share Award shall conform to (through incorporation of the provisions hereof by reference in the agreement or otherwise) the substance of each of the following provisions:</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35" w:lineRule="auto"/>
        <w:tabs>
          <w:tab w:leader="none" w:pos="2260"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Objectives and Other Terms</w:t>
      </w:r>
      <w:r>
        <w:rPr>
          <w:rFonts w:ascii="Times New Roman" w:cs="Times New Roman" w:eastAsia="Times New Roman" w:hAnsi="Times New Roman"/>
          <w:sz w:val="22"/>
          <w:szCs w:val="22"/>
          <w:color w:val="auto"/>
        </w:rPr>
        <w:t>. The Compensation Committee will set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objectives or other vesting provisions (including, without limitation, continued status as a Service Provider) in its discretion which, depending on the extent to which they are met, will determine the number or value of Common Shares subject to a Performance Share Award that will be paid out to the Participant. The time period during which the performance objectives or other vesting provisions must be met will be called the “Performance Period.” Each Performance Share Award will be evidenced by an Award Agreement that will specify the Performance Period, and such other terms and conditions as the Compensation Committee, in its sole discretion, will determine. The Compensation Committee may set performance objectives based upon the achievement of</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Company-wide, divisional, business unit or individual goals (including, but not limited to, continued employment or service), or any other criterion or criteria determined by the Compensation Committee in its discretion.</w:t>
      </w:r>
    </w:p>
    <w:p>
      <w:pPr>
        <w:spacing w:after="0" w:line="169" w:lineRule="exact"/>
        <w:rPr>
          <w:sz w:val="20"/>
          <w:szCs w:val="20"/>
          <w:color w:val="auto"/>
        </w:rPr>
      </w:pPr>
    </w:p>
    <w:p>
      <w:pPr>
        <w:jc w:val="both"/>
        <w:ind w:left="2260" w:hanging="755"/>
        <w:spacing w:after="0" w:line="236" w:lineRule="auto"/>
        <w:tabs>
          <w:tab w:leader="none" w:pos="22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After the applicable Performance Period has ended, the holder of Performance Share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receive a payout of the number of Common Shares subject to the Performance Share Award earned by the Participant over the Performance Period, to be determined as a function of the extent to which the corresponding performance objectives or other vesting provisions have been achieved. After the grant of a Performance Share Award, the Compensation Committee, in its sole discretion, may reduce or waive any performance objectives or other vesting provisions for such Common Shares subject to the Performance Share Award.</w:t>
      </w:r>
    </w:p>
    <w:p>
      <w:pPr>
        <w:spacing w:after="0" w:line="175" w:lineRule="exact"/>
        <w:rPr>
          <w:rFonts w:ascii="Times New Roman" w:cs="Times New Roman" w:eastAsia="Times New Roman" w:hAnsi="Times New Roman"/>
          <w:sz w:val="22"/>
          <w:szCs w:val="22"/>
          <w:b w:val="1"/>
          <w:bCs w:val="1"/>
          <w:color w:val="auto"/>
        </w:rPr>
      </w:pPr>
    </w:p>
    <w:p>
      <w:pPr>
        <w:jc w:val="both"/>
        <w:ind w:left="2260" w:hanging="755"/>
        <w:spacing w:after="0" w:line="241" w:lineRule="auto"/>
        <w:tabs>
          <w:tab w:leader="none" w:pos="22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Upon meeting the applicable vesting criteria, a Performance Share Award (or vested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may be settled by the delivery of Common Shares, its cash equivalent, or in any combination thereof, as determined by the Compensation Committee and contained in the Award Agreement evidencing the Performance Share Award.</w:t>
      </w:r>
    </w:p>
    <w:p>
      <w:pPr>
        <w:spacing w:after="0" w:line="171" w:lineRule="exact"/>
        <w:rPr>
          <w:rFonts w:ascii="Times New Roman" w:cs="Times New Roman" w:eastAsia="Times New Roman" w:hAnsi="Times New Roman"/>
          <w:sz w:val="22"/>
          <w:szCs w:val="22"/>
          <w:b w:val="1"/>
          <w:bCs w:val="1"/>
          <w:color w:val="auto"/>
        </w:rPr>
      </w:pPr>
    </w:p>
    <w:p>
      <w:pPr>
        <w:jc w:val="both"/>
        <w:ind w:left="2260" w:hanging="755"/>
        <w:spacing w:after="0" w:line="246" w:lineRule="auto"/>
        <w:tabs>
          <w:tab w:leader="none" w:pos="22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Expiry of Performance Share Award</w:t>
      </w:r>
      <w:r>
        <w:rPr>
          <w:rFonts w:ascii="Times New Roman" w:cs="Times New Roman" w:eastAsia="Times New Roman" w:hAnsi="Times New Roman"/>
          <w:sz w:val="22"/>
          <w:szCs w:val="22"/>
          <w:color w:val="auto"/>
        </w:rPr>
        <w:t>. On the date set forth in the Award Agreement, all unearned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unvested Common Shares subject to a Performance Share Award will be forfeited to the Company, and again will be available for grant under the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PROVISIONS APPLICABLE TO AWARDS</w:t>
      </w:r>
    </w:p>
    <w:p>
      <w:pPr>
        <w:spacing w:after="0" w:line="178"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2"/>
          <w:szCs w:val="22"/>
          <w:b w:val="1"/>
          <w:bCs w:val="1"/>
          <w:color w:val="auto"/>
        </w:rPr>
        <w:t>Leave of Absence/Transfer Between Locations</w:t>
      </w:r>
      <w:r>
        <w:rPr>
          <w:rFonts w:ascii="Times New Roman" w:cs="Times New Roman" w:eastAsia="Times New Roman" w:hAnsi="Times New Roman"/>
          <w:sz w:val="22"/>
          <w:szCs w:val="22"/>
          <w:color w:val="auto"/>
        </w:rPr>
        <w:t>. Unless the Compensation Committee provides otherwise and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applicable laws, vesting of Awards granted hereunder will be suspended during any unpaid leave of absence. A Participant will not cease to be an employee in the case of (a) any leave of absence approved by the Company, (b) transfers between locations of the Company or between the Company, its parent, or any subsidiary, or (c) any statutory-protected leave.</w:t>
      </w:r>
    </w:p>
    <w:p>
      <w:pPr>
        <w:spacing w:after="0" w:line="177"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2"/>
          <w:szCs w:val="22"/>
          <w:b w:val="1"/>
          <w:bCs w:val="1"/>
          <w:color w:val="auto"/>
        </w:rPr>
        <w:t>Restrictions on Transfer</w:t>
      </w:r>
      <w:r>
        <w:rPr>
          <w:rFonts w:ascii="Times New Roman" w:cs="Times New Roman" w:eastAsia="Times New Roman" w:hAnsi="Times New Roman"/>
          <w:sz w:val="22"/>
          <w:szCs w:val="22"/>
          <w:color w:val="auto"/>
        </w:rPr>
        <w:t>. Unless the Compensation Committee provides otherwise, an Award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hypothecated, transferred, or disposed of in any manner other than by will or by the laws of descent or distribution and may be exercised, during the lifetime of the Participant, only by the Participant. If the Compensation Committee makes an Award transferable, such Award will contain such additional terms and conditions as the Compensation Committee deems appropriate.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Adjustments; Dissolution or Liquidation; Merger or Change of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3"/>
        <w:spacing w:after="0" w:line="235" w:lineRule="auto"/>
        <w:tabs>
          <w:tab w:leader="none" w:pos="15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other securities, or other property), 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Compensation Committee, in order to prevent diminution or enlargement of the benefits or potential benefits intended to be made available under the Plan, will make appropriate adjustments to the number and class of Common Shares that may be delivered under the Plan and/or the number, class, and price of Common Shares covered by each outstanding Award, and the Share Reserve.</w:t>
      </w:r>
    </w:p>
    <w:p>
      <w:pPr>
        <w:spacing w:after="0" w:line="178" w:lineRule="exact"/>
        <w:rPr>
          <w:rFonts w:ascii="Times New Roman" w:cs="Times New Roman" w:eastAsia="Times New Roman" w:hAnsi="Times New Roman"/>
          <w:sz w:val="22"/>
          <w:szCs w:val="22"/>
          <w:b w:val="1"/>
          <w:bCs w:val="1"/>
          <w:color w:val="auto"/>
        </w:rPr>
      </w:pPr>
    </w:p>
    <w:p>
      <w:pPr>
        <w:jc w:val="both"/>
        <w:ind w:left="1500" w:hanging="743"/>
        <w:spacing w:after="0" w:line="241" w:lineRule="auto"/>
        <w:tabs>
          <w:tab w:leader="none" w:pos="15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1" w:lineRule="exact"/>
        <w:rPr>
          <w:rFonts w:ascii="Times New Roman" w:cs="Times New Roman" w:eastAsia="Times New Roman" w:hAnsi="Times New Roman"/>
          <w:sz w:val="22"/>
          <w:szCs w:val="22"/>
          <w:b w:val="1"/>
          <w:bCs w:val="1"/>
          <w:color w:val="auto"/>
        </w:rPr>
      </w:pPr>
    </w:p>
    <w:p>
      <w:pPr>
        <w:jc w:val="both"/>
        <w:ind w:left="1500" w:hanging="743"/>
        <w:spacing w:after="0" w:line="244" w:lineRule="auto"/>
        <w:tabs>
          <w:tab w:leader="none" w:pos="150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Subject to the immediately following paragraph, in the event of a merger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or into another corporation or other entity or a Change of Control, each outstanding Award will be treated as the Compensation Committee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of Control; (iii) outstanding Awards will vest and become exercisable, realizable, or payable, or restrictions applicable to an Award will lapse, in whole or in part prior to or upon consummation of such merger or Change of Control, and, to the extent the Compensation Committee determines, terminate upon or immediately prior to the effectiveness of such merger or Change of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Compensation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Compensation Committee in its sole discretion; or (v) any combination of the foregoing. In taking any of the actions permitted under this subparagraph (c), the Compensation Committee will not be required to treat all Awards similarly in the transaction.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consistent with subsection (i) of the immediately preceding paragraph, the Participant will fully vest in and have the right to exercise all of his or her outstanding Options and Share Appreciation Rights, including Common Shares as to which such Awards would not otherwise be vested or exercisable, all restrictions on Restricted Share Awards, Performance Share Awards, and Restricted Share Unit Awards will lapse, and, with respect to Awards with performance-based vesting, all performance goals or other vesting criteria will be deemed achieved at one hundred percent (100%) of target levels and all other terms and conditions met. In addition, if an Option or Share Appreciation Right is not assumed or substituted in the event of a Change of Control, the Compensation Committee will notify the Participant in writing or electronically that the Option or Share Appreciation Right will be exercisable for a period of time determined by the Compensation Committee in its sole discretion, and the Option or Share Appreciation Right will terminate upon the expiration of such period.</w:t>
      </w:r>
    </w:p>
    <w:p>
      <w:pPr>
        <w:spacing w:after="0" w:line="187" w:lineRule="exact"/>
        <w:rPr>
          <w:sz w:val="20"/>
          <w:szCs w:val="20"/>
          <w:color w:val="auto"/>
        </w:rPr>
      </w:pPr>
    </w:p>
    <w:p>
      <w:pPr>
        <w:jc w:val="both"/>
        <w:ind w:left="743"/>
        <w:spacing w:after="0" w:line="233" w:lineRule="auto"/>
        <w:rPr>
          <w:sz w:val="20"/>
          <w:szCs w:val="20"/>
          <w:color w:val="auto"/>
        </w:rPr>
      </w:pPr>
      <w:r>
        <w:rPr>
          <w:rFonts w:ascii="Times New Roman" w:cs="Times New Roman" w:eastAsia="Times New Roman" w:hAnsi="Times New Roman"/>
          <w:sz w:val="22"/>
          <w:szCs w:val="22"/>
          <w:color w:val="auto"/>
        </w:rPr>
        <w:t>For the purposes of this subparagraph (c), an Award will be considered assumed if, following the Change of Control, the Award confers the right to purchase or receive, for each Common Share subject to the Award immediately prior to the Change of Control, the consideration (whether stock, cash, or other securities or property) received in the Change of Control by holders of Common Shares for each Common Share held on the effective date of the transaction (and if holders were offered a choice of consideration, the type of consideration chosen by the holders of a majority of the outstanding Common Shares); provided, however, that if such consideration received in the Change of Control is not solely common shares or common stock of the successor corporation or its Parent, the Compensation Committee may, with the consent of the successor corporation, provide for the consideration to be received upon the exercise of an Option or Share Appreciation Rights or upon the payout of a Restricted Share Unit Award or Performance Share Award, for each Common Share subject to such Award, to be solely common shares or common stock of the successor corporation or its parent equal in fair market value to the per share consideration received by holders of Common Shares in the Change of Control.</w:t>
      </w:r>
    </w:p>
    <w:p>
      <w:pPr>
        <w:spacing w:after="0" w:line="182" w:lineRule="exact"/>
        <w:rPr>
          <w:sz w:val="20"/>
          <w:szCs w:val="20"/>
          <w:color w:val="auto"/>
        </w:rPr>
      </w:pPr>
    </w:p>
    <w:p>
      <w:pPr>
        <w:jc w:val="both"/>
        <w:ind w:left="743"/>
        <w:spacing w:after="0" w:line="238" w:lineRule="auto"/>
        <w:rPr>
          <w:sz w:val="20"/>
          <w:szCs w:val="20"/>
          <w:color w:val="auto"/>
        </w:rPr>
      </w:pPr>
      <w:r>
        <w:rPr>
          <w:rFonts w:ascii="Times New Roman" w:cs="Times New Roman" w:eastAsia="Times New Roman" w:hAnsi="Times New Roman"/>
          <w:sz w:val="22"/>
          <w:szCs w:val="22"/>
          <w:color w:val="auto"/>
        </w:rPr>
        <w:t>Notwithstanding anything in this subparagraph (c)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spacing w:after="0" w:line="173" w:lineRule="exact"/>
        <w:rPr>
          <w:sz w:val="20"/>
          <w:szCs w:val="20"/>
          <w:color w:val="auto"/>
        </w:rPr>
      </w:pPr>
    </w:p>
    <w:p>
      <w:pPr>
        <w:ind w:left="3" w:hanging="748"/>
        <w:spacing w:after="0" w:line="262" w:lineRule="auto"/>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 xml:space="preserve"> </w:t>
      </w:r>
      <w:r>
        <w:rPr>
          <w:rFonts w:ascii="Times New Roman" w:cs="Times New Roman" w:eastAsia="Times New Roman" w:hAnsi="Times New Roman"/>
          <w:sz w:val="22"/>
          <w:szCs w:val="22"/>
          <w:b w:val="1"/>
          <w:bCs w:val="1"/>
          <w:color w:val="auto"/>
        </w:rPr>
        <w:t>Representations and Covenants of Award Holder</w:t>
      </w:r>
      <w:r>
        <w:rPr>
          <w:rFonts w:ascii="Times New Roman" w:cs="Times New Roman" w:eastAsia="Times New Roman" w:hAnsi="Times New Roman"/>
          <w:sz w:val="22"/>
          <w:szCs w:val="22"/>
          <w:color w:val="auto"/>
        </w:rPr>
        <w:t>. Each Award Agreement will contain representations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the holder that:</w:t>
      </w:r>
    </w:p>
    <w:p>
      <w:pPr>
        <w:spacing w:after="0" w:line="154" w:lineRule="exact"/>
        <w:rPr>
          <w:sz w:val="20"/>
          <w:szCs w:val="20"/>
          <w:color w:val="auto"/>
        </w:rPr>
      </w:pPr>
    </w:p>
    <w:p>
      <w:pPr>
        <w:jc w:val="center"/>
        <w:ind w:left="4763" w:right="1260" w:hanging="4763"/>
        <w:spacing w:after="0" w:line="642" w:lineRule="auto"/>
        <w:tabs>
          <w:tab w:leader="none" w:pos="75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is an employee of the Company or of a subsidiary of the Company on the date of grant;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191135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4" w:name="page25"/>
    <w:bookmarkEnd w:id="24"/>
    <w:p>
      <w:pPr>
        <w:spacing w:after="0" w:line="185" w:lineRule="exact"/>
        <w:rPr>
          <w:sz w:val="20"/>
          <w:szCs w:val="20"/>
          <w:color w:val="auto"/>
        </w:rPr>
      </w:pPr>
    </w:p>
    <w:p>
      <w:pPr>
        <w:ind w:left="1500" w:hanging="743"/>
        <w:spacing w:after="0"/>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participation in the Plan is voluntary;</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is aware that the grant of the Award and the issuance by the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Awards or the Common Shares to be distributed thereunder under any applicable securities laws and if such exemption for any reason becomes unavailable, the obligation of the Company to grant any Awards or issue any Common Shares upon the exercise, vesting, or settlement of an Award, as the case may be, will cease; and</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or the Legal Representative, as the case may be, will prior to and upon any sale or disposition of any Common Shares purchased pursuant to the exercise of the Share Awards, comply with all applicable securities laws and all applicable rules and regulations of all regulatory authorities to which the Company is subject, including the Stock Exchanges,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w:t>
      </w:r>
    </w:p>
    <w:p>
      <w:pPr>
        <w:spacing w:after="0" w:line="17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Clawback/Recovery</w:t>
      </w:r>
      <w:r>
        <w:rPr>
          <w:rFonts w:ascii="Times New Roman" w:cs="Times New Roman" w:eastAsia="Times New Roman" w:hAnsi="Times New Roman"/>
          <w:sz w:val="21"/>
          <w:szCs w:val="21"/>
          <w:color w:val="auto"/>
        </w:rPr>
        <w:t>. All Awards granted under the Plan will be subject to any policy or policies of the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 its affiliates that provides for forfeiture, disgorgement or clawback with respect to incentive compensation that includes Awards under the Plan, including the Xenon Pharmaceuticals Clawback Policy. In addition, the Compensation Committee may impose such other clawback, recovery or recoupment provisions in an agreement evidencing the grant of the Awards as the Compensation Committee determines necessary or appropriate, including but not limited to a reacquisition right in respect of previously acquired Common Shares. No recovery of compensation under any clawback policy of the Company will be an event giving rise to a right to resign for “good reason” or “constructive termination” (or similar term) under any agreement with the Company or any of its subsidiaries. Each Participant, by accepting or being deemed to have accepted an Award under the Plan, agrees (or will be deemed to have agreed) to the terms of this Section 10.5 and to any clawback, recoupment or similar policy or policies of the Company or any of its affiliates applicable to the Participant and further agrees (or will be deemed to have agreed) to cooperate fully with the Compensation Committee, and to cause any and all permitted transferees of the Participant to cooperate fully with the Compensation Committee, to effectuate any forfeiture or disgorgement described in this Section 10.5. Neither the Compensation Committee nor the Company nor any other person, other than the Participant and his or her permitted transferees, if any, will be responsible for any adverse tax or other consequences to a Participant or his or her permitted transferees, if any, that may arise in connection with this Section 10.5.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3"/>
        <w:spacing w:after="0" w:line="238" w:lineRule="auto"/>
        <w:tabs>
          <w:tab w:leader="none" w:pos="15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Common Shares or cash pursuant to an Award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thereof) or such earlier time as any tax withholding obligations are due, the Company will have the power and the right to deduct or withhold, or require a Participant to remit to the Company, an amount sufficient to satisfy U.S. or Canadian federal, provincial, state, local, foreign or other taxes required to be withheld with respect to such Award (or exercise thereof).</w:t>
      </w:r>
    </w:p>
    <w:p>
      <w:pPr>
        <w:spacing w:after="0" w:line="176" w:lineRule="exact"/>
        <w:rPr>
          <w:rFonts w:ascii="Times New Roman" w:cs="Times New Roman" w:eastAsia="Times New Roman" w:hAnsi="Times New Roman"/>
          <w:sz w:val="22"/>
          <w:szCs w:val="22"/>
          <w:b w:val="1"/>
          <w:bCs w:val="1"/>
          <w:color w:val="auto"/>
        </w:rPr>
      </w:pPr>
    </w:p>
    <w:p>
      <w:pPr>
        <w:jc w:val="both"/>
        <w:ind w:left="1500" w:hanging="743"/>
        <w:spacing w:after="0" w:line="235" w:lineRule="auto"/>
        <w:tabs>
          <w:tab w:leader="none" w:pos="15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Compensation Committee, in its sole discretion and pursuant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procedures as it may specify from time to time, may permit a Participant to satisfy such tax withholding obligation, in whole or in part by (without limitation) (i) paying cash, (ii) electing to have the Company withhold otherwise deliverable cash or Common Shares having a fair market value not in excess of the maximum statutory amount required to be withheld, or (iii) delivering to the Company already-owned Common Shares having a fair market value not in excess of the maximum statutory amount required to be withheld. The fair market value of the Common Shares to be withheld or delivered will be determined as of the date that the taxes are required to be withheld.</w:t>
      </w:r>
    </w:p>
    <w:p>
      <w:pPr>
        <w:spacing w:after="0" w:line="178"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260" w:hanging="755"/>
        <w:spacing w:after="0" w:line="233" w:lineRule="auto"/>
        <w:tabs>
          <w:tab w:leader="none" w:pos="22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Compensation Committee. The Plan and each Award Agreement under the Plan is intended to meet the requirements of Code Section 409A and will be construed and interpreted in accordance with such intent, except as otherwise determined in the sole discretion of the Compensation Committee.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In no event will the Company have any obligation under the terms of the Plan to reimburse a Participant for any taxes or other costs that may be imposed on the Participant as a result of Code Section 409A.</w:t>
      </w:r>
    </w:p>
    <w:p>
      <w:pPr>
        <w:spacing w:after="0" w:line="182"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Plan or any Award Agreement, the Compensation Committee may unilaterally amend, modify or terminate the Plan or any outstanding Award, including, without limitation, changing the form of the Award, if the Compensation Committee determines that such amendment, modification or termination is necessary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or desirable to avoid the imposition of an additional tax, interest or penalty under Code Section 409A.</w:t>
      </w:r>
    </w:p>
    <w:p>
      <w:pPr>
        <w:spacing w:after="0" w:line="206" w:lineRule="exact"/>
        <w:rPr>
          <w:sz w:val="20"/>
          <w:szCs w:val="20"/>
          <w:color w:val="auto"/>
        </w:rPr>
      </w:pPr>
    </w:p>
    <w:p>
      <w:pPr>
        <w:jc w:val="both"/>
        <w:ind w:left="2260" w:hanging="755"/>
        <w:spacing w:after="0" w:line="233" w:lineRule="auto"/>
        <w:tabs>
          <w:tab w:leader="none" w:pos="2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is determined on the date of the Participant’s termination of employment to be a “specified employee” within the meaning of that term under Code Section 409A(a)(2)(B), then, with regard to any payment that is considered nonqualified deferred compensation under Code Section 409A, to the extent applicable, payable on account of a “separation from service”, such payment will be made or provided on the date that is the earlier of (x) the first Business Day following the expiration of the six-month period measured from the date of such “separation from service” and (y) the date of the Participant’s death (the “</w:t>
      </w:r>
      <w:r>
        <w:rPr>
          <w:rFonts w:ascii="Times New Roman" w:cs="Times New Roman" w:eastAsia="Times New Roman" w:hAnsi="Times New Roman"/>
          <w:sz w:val="22"/>
          <w:szCs w:val="22"/>
          <w:b w:val="1"/>
          <w:bCs w:val="1"/>
          <w:color w:val="auto"/>
        </w:rPr>
        <w:t>Delay Period</w:t>
      </w:r>
      <w:r>
        <w:rPr>
          <w:rFonts w:ascii="Times New Roman" w:cs="Times New Roman" w:eastAsia="Times New Roman" w:hAnsi="Times New Roman"/>
          <w:sz w:val="22"/>
          <w:szCs w:val="22"/>
          <w:color w:val="auto"/>
        </w:rPr>
        <w:t>”). Upon the expiration of the Delay Period, all payments delayed pursuant to this Section 10.6(c)(iii) (whether they would have otherwise been payable in a single lump sum or in installments in the absence of such delay) will be paid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184" w:lineRule="exact"/>
        <w:rPr>
          <w:rFonts w:ascii="Times New Roman" w:cs="Times New Roman" w:eastAsia="Times New Roman" w:hAnsi="Times New Roman"/>
          <w:sz w:val="22"/>
          <w:szCs w:val="22"/>
          <w:color w:val="auto"/>
        </w:rPr>
      </w:pPr>
    </w:p>
    <w:p>
      <w:pPr>
        <w:jc w:val="both"/>
        <w:ind w:left="2260" w:hanging="755"/>
        <w:spacing w:after="0" w:line="251" w:lineRule="auto"/>
        <w:tabs>
          <w:tab w:leader="none" w:pos="22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regard to any payment considered to be nonqualified deferred compensation under Code Section 409A, to the extent applicable, that is payable upon a change in control of the Company or other similar event, to the extent required to avoid the imposition of any additional tax, interest, or penalty under Code Section 409A, no amount will be payable unless such change in control constitutes a “change in control event” within the meaning of Section 1.409A-3(i)(5) of the Treasury Regulations.</w:t>
      </w:r>
    </w:p>
    <w:p>
      <w:pPr>
        <w:spacing w:after="0" w:line="168" w:lineRule="exact"/>
        <w:rPr>
          <w:rFonts w:ascii="Times New Roman" w:cs="Times New Roman" w:eastAsia="Times New Roman" w:hAnsi="Times New Roman"/>
          <w:sz w:val="21"/>
          <w:szCs w:val="21"/>
          <w:color w:val="auto"/>
        </w:rPr>
      </w:pPr>
    </w:p>
    <w:p>
      <w:pPr>
        <w:ind w:left="2260" w:right="20" w:hanging="755"/>
        <w:spacing w:after="0" w:line="258" w:lineRule="auto"/>
        <w:tabs>
          <w:tab w:leader="none" w:pos="2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Code Section 409A, each payment made under the Plan or any Award will be treated as a separate 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SUSPENSION, AMENDMENT OR TERMINATION OF PLAN</w:t>
      </w:r>
    </w:p>
    <w:p>
      <w:pPr>
        <w:spacing w:after="0" w:line="18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color w:val="auto"/>
        </w:rPr>
        <w:t>The Plan will become effective upon its adoption by the Board of Directors. It will continue in effect for a term of ten</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 years from the date adopted by the Board of Directors, unless terminated earlier under paragraph 11.2 of the Plan.</w:t>
      </w:r>
    </w:p>
    <w:p>
      <w:pPr>
        <w:spacing w:after="0" w:line="182"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2"/>
          <w:szCs w:val="22"/>
          <w:color w:val="auto"/>
        </w:rPr>
        <w:t>The Board of Directors or the Compensation Committee will have the right at any time and from time to time to suspend, amend or terminate this Plan or any Award in any manner without consent or approval from Participants or shareholders (provided that no such suspension, amendment or termination may be made that will materially prejudice the rights of any Participant under any Award previously granted to such Participant without consent by such Participant); it being understood that no action taken by the Board of Directors or the Compensation Committee that is permitted under the Plan including, without limitation, under Section 10.3 of the Plan shall be deemed an amendment requiring consent by a Participant.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color w:val="auto"/>
        </w:rPr>
        <w:t>The full powers of the Board of Directors or the Compensation Committee as provided for in this Plan will survive the termination of this Plan until all Awards have been exercised or settled in full or have otherwise expired.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APPLICABLE LAW</w:t>
      </w:r>
    </w:p>
    <w:p>
      <w:pPr>
        <w:spacing w:after="0" w:line="182"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2"/>
          <w:szCs w:val="22"/>
          <w:color w:val="auto"/>
        </w:rPr>
        <w:t>The laws of the Province of British Columbia shall apply to the Plan and any Award Agreement evidencing the grant of Awards granted hereunder and will be interpreted and construed in accordance with the laws of the Province of British Columbia.</w:t>
      </w:r>
    </w:p>
    <w:p>
      <w:pPr>
        <w:spacing w:after="0" w:line="173"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2"/>
          <w:szCs w:val="22"/>
          <w:color w:val="auto"/>
        </w:rPr>
        <w:t>Subject to any written agreement between the parties, the parties will submit all their disputes arising out of or in connection with the Plan to the exclusive jurisdiction of the courts of the Province of British Columbia.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10"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2"/>
          <w:szCs w:val="22"/>
          <w:color w:val="auto"/>
        </w:rPr>
        <w:t>The Company will obtain stockholder approval of any Plan amendment to the extent that the Board of Directors or the Compensation Committee (in its discretion) determines such approval is necessary and desirable to comply with applicable laws.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SHARE OPTION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“Optionee”)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52" w:lineRule="exact"/>
        <w:rPr>
          <w:sz w:val="20"/>
          <w:szCs w:val="20"/>
          <w:color w:val="auto"/>
        </w:rPr>
      </w:pPr>
    </w:p>
    <w:p>
      <w:pPr>
        <w:jc w:val="both"/>
        <w:ind w:right="20" w:firstLine="8"/>
        <w:spacing w:after="0" w:line="266"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Optionee of an option to purchase Common Shares in the Company to be an inducement material to the Optionee’s entering into employment with the Company or any of its subsidiaries in accordance with the Inducement Listing Rule; and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granted pursuant to the exception to shareholder approval provided for inducement grants under the Inducement Listing Rule.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“Expiry Date” means the close of business on [●] or such later date as may be extended pursuant to the terms of the Plan;</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Optionee or of the estate of the Optionee on the grounds that the Optionee is incapable, by reason of physical or mental infirmity, of managing his or her affairs;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194" w:lineRule="exact"/>
        <w:rPr>
          <w:sz w:val="20"/>
          <w:szCs w:val="20"/>
          <w:color w:val="auto"/>
        </w:rPr>
      </w:pPr>
    </w:p>
    <w:p>
      <w:pPr>
        <w:ind w:left="1500" w:hanging="743"/>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Exercise Form” has the meaning under Section 2.4 of this Agreement;</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Amended and Restated 2025 Inducement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2.2 of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Nonqualified Share Option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22" w:lineRule="exact"/>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OPTION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Agreement and the Plan, on the Date of Grant set forth above, the Company hereby grants to the Optionee an option to purchase [●] Common Shares (the “Option”) at an exercise price of $[●] per share (the “Exercise Price”), subject to adjustment pursuant to Section 10.3 of the Plan in respect of transactions occurring after the date hereof. The Common Shares underlying the Option will vest, if at all, in accordance with the terms set forth in Section 2.8 hereof.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Expiry of Option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Subject to the terms of the Plan, the provisions of this Agreement below, and/or any written employment or service agreement, offer letter, change in control severance agreement, or any other agreement that, prior to the Date of Grant, has been entered into between the Optionee and the Company or any subsidiary of the Company or any Affiliate of the Company (such agreement, a “Separate Agreement”), the Option will expire upon the earliest to occur of the following:</w:t>
      </w:r>
    </w:p>
    <w:p>
      <w:pPr>
        <w:spacing w:after="0" w:line="180" w:lineRule="exact"/>
        <w:rPr>
          <w:sz w:val="20"/>
          <w:szCs w:val="20"/>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90 days after the Optionee ceases to be a Service Provider due to termination of employment by the Company or any of its subsidiaries or any of its Affiliates without Cause or due to voluntary termination of employment by the Optionee (other than Retirement);</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180 days from the date the Optionee ceases to be a Service Provider due to Retirement;</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Optionee ceases to be a Service Provider due to termination of employment by the Company or any of its subsidiaries or any of its Affiliates for Cause or material breach of the Optionee’s duty to the Company or any of its subsidiaries or any of its Affiliates;</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365 days from the date the Optionee ceases to be a Service Provider due to disability;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365 days from the date the Optionee ceases to be a Service Provider due to death;</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however, in the event of the death of the Optionee occurring during the time period specified in subsections 2.2(2) and 2.2(3) above, subject to earlier expiry on the Expiry Date, the Option will expire on the date which is 365 days after the date the Optionee ceased to be a Service Provider.</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the Optionee is terminated without Cause or pursuant to voluntary resignation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Optionee is in receipt of, or entitled to receive, statutory, contractual or common law notice of termination or any compensation in lieu of such notice.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 Service Provider and the determination of the expiry date of the Option pursuant to subsection 2.2(2) will not apply to such event.</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Nontransferability of Option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Option is not transferable or assignable by the Optionee except as expressly permitted under Section 10.2 of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Manner of Exercise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Subject to the terms of the Plan, the Option may be exercised by (i) delivering to the Company, prior to the expiry of the Option, an option exercise form duly executed by the Optionee or its Legal Representative (the “Option Exercise Form”) substantially in the form of Schedule “A” completed and executed in a manner acceptable to the Company, acting reasonably, or (ii) in a manner and pursuant to such procedures as the Board of Directors may determine, which will state the election to exercise the Option (with appropriate proof of completion of such exercise procedure) (the “Alternative Exercise Procedure”). The Option Exercise Form or the completion of the Alternative Exercise Procedure (as applicable) must be accompanied by payment in full for the number of Common Shares in respect of which the Option is being exercised, in cash, bank draft, certified cheque or other form of payment acceptable to the Company, made payable to the Company at its principal place of business at the time of the exercise of the Option.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Payment of the aggregate exercise price will be by any of the following, or a combination thereof, at the election of the Optionee: (a) cash; (b) cheque; (c) consideration received by the Company under a formal cashless exercise (which, for clarity, may include net exercise) program adopted by the Company in connection with the Plan; or (d) surrender of other Common Shares which have a Fair Market Value Price on the date of surrender equal to the aggregate exercise price of the exercised Common Shares, provided that accepting such Common Shares, in the sole discretion of the Board of Directors, will not result in any adverse accounting consequences to the Company.</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At the time the Optionee exercises the Option, in whole or in part, and at any time thereafter as requested by the Company, the Optionee hereby authorizes withholding from payroll and any other amounts payable to the Optionee by the Company, any of its subsidiaries or any of its Affiliates and otherwise agree to make adequate provision for any sums required to satisfy the U.S. and Canadian federal, provincial, state, local and foreign tax withholding obligations of the Company, its subsidiaries or its Affiliates, if any, which arise in connection with the exercise of the Option.</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Optionee may not exercise the Option unless the tax withholding obligations of the Company, any of its subsidiaries and/or any of its Affiliate are satisfied. Accordingly, the Optionee may not be able to exercise the Option when desired even though the Option is vested, and the Company will have no obligation to issue a certificate for such Common Shares, unless such obligations are satisfied.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exercise of the Option unless the Board of Directors is satisfied that the issuance of such Common Shares to the Optionee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Optionee which in its opinion is necessary or desirable to ensure compliance with all applicable laws. The Board of Directors may also from time to time take such steps which in its opinion are necessary or desirable to restrict the transferability of any Common Shares acquired on the exercise of any Option in order to ensure such compliance, including the endorsement of a legend on any certificate representing Common Shares acquired on the exercise of the Option to the effect that such Common Shares may not be offered, sold or delivered except in compliance with the applicable securities laws and regulations of Canada or the United States.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Delivery of Share Certificates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Subject to Sections 2.5 and 2.6, the Company will, as soon as practicable after receipt of the Option Exercise Form or the confirmation of the completion of the Alternative Exercise Procedure and the payment referred to in Section 2.4 issue and deliver a certificate or certificates representing the Common Shares so purchased.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Vesting Conditions; Cessation of Employment</w:t>
      </w:r>
    </w:p>
    <w:p>
      <w:pPr>
        <w:spacing w:after="0" w:line="229" w:lineRule="exact"/>
        <w:rPr>
          <w:sz w:val="20"/>
          <w:szCs w:val="20"/>
          <w:color w:val="auto"/>
        </w:rPr>
      </w:pPr>
    </w:p>
    <w:p>
      <w:pPr>
        <w:jc w:val="both"/>
        <w:ind w:left="1500" w:hanging="743"/>
        <w:spacing w:after="0" w:line="258"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Except as provided in Section 2.8(2) and Section 2.8(3) below , the Option shall vest as to ¼ (one quarter) of the underlying Common Shares on first anniversary of the Date of Grant, and as to 1/48 (one forty-eighth) of the underlying Common Shares in equal monthly installments for 48 months thereafter, with such monthly vesting to occur on the last day of the applicable month; provided, that no portion of the Option shall vest pursuant to this Agreement unless the Optionee has continuously remained a Service Provider from the Date of Grant through the applicable vesting date.</w:t>
      </w:r>
    </w:p>
    <w:p>
      <w:pPr>
        <w:spacing w:after="0" w:line="183"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r>
        <w:rPr>
          <w:rFonts w:ascii="Times New Roman" w:cs="Times New Roman" w:eastAsia="Times New Roman" w:hAnsi="Times New Roman"/>
          <w:sz w:val="18"/>
          <w:szCs w:val="18"/>
          <w:color w:val="auto"/>
        </w:rPr>
        <w:t>. Except as expressly provided for in this Agreement or in a Separate Agreement, if the Optionee ceases to be a Service Provider for any reason, including due to termination of employment by the Company or any of its subsidiaries or any of its Affiliates without Cause or alleged constructive dismissal or due to voluntary termination by the Optionee, all Common Shares subject to the Option granted under this Agreement which are not yet vested and exercisable as provided for above will automatically and immediately be cancelled for no consideration on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Option past said deemed termination date.</w:t>
      </w:r>
    </w:p>
    <w:p>
      <w:pPr>
        <w:spacing w:after="0" w:line="188"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Control. Notwithstanding anything to the contrary in the Plan or this Agreement, if the Optionee ceases to be a Service Provider due to a termination of employment by the Company without Cause or the Optionee terminates his or her employment for Good Reason (but only if the Optionee is party to a Separate Agreement that contains a definition of “Good Reason”), in either case within the twelve (12) month period following a Change of Control, to the extent any portion of the Option is outstanding and unvested immediately prior to such termination of employment, such outstanding and unvested portion of the Option, if any, will automatically vest in full upon such termination of employment.</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 Service Provider and the vesting of the Option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Option,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Compensation Committee may cancel, rescind, withhold or otherwise limit or restrict the Option at any time if the Optionee is not in compliance with all applicable provisions of this Agreement and the Plan. By accepting this Option, the Optionee expressly acknowledges and agrees that his or her rights under this Agreement, and those of</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permitted transferee of this Agreement, including the right to any Common Shares acquired under this Agreement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Optionee expressly acknowledges and agrees that the Optionee’s rights hereunder, including the right to be issued Common Shares upon exercises of the Option, are subject to the satisfaction of all taxes required to be withheld with respect to the Option. Unless otherwise determined by the Company, the Optionee shall satisfy his or her tax withholding obligations by remitting to the Company by cash or check an amount sufficient to satisfy all taxes required to be withheld. The Optionee authorizes the Company and its subsidiaries to withhold any amounts due in respect of any required tax withholdings or payments by withholding from any amounts otherwise owed to the Optionee, but nothing in this Section 2.10 shall be construed as relieving the Optionee of any liability for satisfying his or her tax obligations relating to the Option.</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Optionee acknowledges and agrees that the Optionee shall remain fully responsible for satisfying his or her tax obligations relating to the Option in all cases.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Optionee) upon the occurrence of the events referred to in Section 10.3(a) of the Plan so that the rights of the Optionee hereunder, including the number of Common Shares that may be purchased on the exercise of the Option and the Exercise Price at which such Common Shares may be purchased,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Option is subject to the provisions of Section 10.3 of the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Optionee of all Common Shares which may become issuable from time to time under the Option.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Optionee is a bona fide employee of the Company or of a subsidiary of the Company on the Date of Grant.</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Representations and Covenants of the Optionee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Optionee hereby represents and covenants that:</w:t>
      </w:r>
    </w:p>
    <w:p>
      <w:pPr>
        <w:spacing w:after="0" w:line="225" w:lineRule="exact"/>
        <w:rPr>
          <w:sz w:val="20"/>
          <w:szCs w:val="20"/>
          <w:color w:val="auto"/>
        </w:rPr>
      </w:pPr>
    </w:p>
    <w:p>
      <w:pPr>
        <w:ind w:left="1500" w:hanging="743"/>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an employee of the Company or of a subsidiary of the Company on the Date of Grant;</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Optionee’s participation in the Plan is voluntary;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left="1500" w:hanging="743"/>
        <w:spacing w:after="0" w:line="258"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is aware that the grant of the Option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Option or the Common Shares to be distributed thereunder under any applicable securities laws and if such exemption for any reason becomes unavailable, the obligation of the Company to grant any Option or issue any Common Shares upon the exercise of an Option will cease;</w:t>
      </w:r>
    </w:p>
    <w:p>
      <w:pPr>
        <w:spacing w:after="0" w:line="183"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ceases to be a Service Provider due to termination of employment by the Company, any of its subsidiaries or any of its Affiliates without cause or alleged constructive dismissal or due to voluntary termination by the Optionee, the Optionee will not make any claims for continued vesting of the Option past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Optionee or the Legal Representative of the Optionee exercises the Option, the Optionee or the Legal Representative, as the case may be, will prior to and upon any sale or disposition of any Common Shares purchased upon the exercise of the Option,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agrees that the Company does not have a duty to design or administer the Plan or its other compensation programs in a manner that minimizes the Optionee’s tax liabilities and the Optionee will not make any claim against the Company, any of its subsidiaries, any of its Affiliates or any of their respective officers, directors or employees related to tax liabilities arising from the Option or any of the Optionee’s other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Option is intended to be exempt from Section 409A of the Code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Optionee, or to such other address as such party may designate to the other party by notice in writing delivered in accordance with this Section 5.2.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Optionee.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Neither this Agreement nor the Option may be assigned, transferred or charged in whole or in part by the Optionee, and any purported assignment, transfer or charge shall cause this Agreement and the Option to lapse forthwith and be null and void after that time.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Optionee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Employment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the Option, nor the issuance of Common Shares upon the exercise of the Option, will give the Optionee any right to be retained in the employ or service of the Company or any of its Affiliates, affect the right of the Company or any of its Affiliates to discharge or discipline the Optionee at any time, or affect any right of the Optionee to terminate his or her employment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Options awarded under the Plan or future awards that may be awarded under the Plan by electronic means or request the Optionee’s consent to participate in the Plan by electronic means, including, without limitation, by posting them on a website maintained by the Company or a third party under contract with the Company or through such methods indicated in this Agreement.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Optionee by e-mail or such other reasonable manner as then determined by the Company.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Option granted hereunder shall be subject to the terms of the Plan. Except as expressly provided herein, in the event of any conflict between the provisions of this Agreement and the terms of the Plan, the terms of the Plan shall govern.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Schedule A, Option Exercise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 FORM</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FOR OPTIONS UNDER THE AMENDED AND RESTATED</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ectPr>
          <w:pgSz w:w="11900" w:h="16838" w:orient="portrait"/>
          <w:cols w:equalWidth="0" w:num="1">
            <w:col w:w="11240"/>
          </w:cols>
          <w:pgMar w:left="320" w:top="1413" w:right="339" w:bottom="1440" w:gutter="0" w:footer="0" w:header="0"/>
        </w:sectPr>
      </w:pP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3650 Gilmore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Burnaby, BC, V5G 4W8</w:t>
      </w:r>
    </w:p>
    <w:p>
      <w:pPr>
        <w:spacing w:after="0" w:line="200" w:lineRule="exact"/>
        <w:rPr>
          <w:sz w:val="20"/>
          <w:szCs w:val="20"/>
          <w:color w:val="auto"/>
        </w:rPr>
      </w:pPr>
    </w:p>
    <w:p>
      <w:pPr>
        <w:sectPr>
          <w:pgSz w:w="11900" w:h="16838" w:orient="portrait"/>
          <w:cols w:equalWidth="0" w:num="2">
            <w:col w:w="400" w:space="560"/>
            <w:col w:w="10280"/>
          </w:cols>
          <w:pgMar w:left="320" w:top="1413" w:right="339" w:bottom="1440" w:gutter="0" w:footer="0" w:header="0"/>
          <w:type w:val="continuous"/>
        </w:sectPr>
      </w:pP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irrevocably gives notice, pursuant to the Amended and Restated 2025 Inducement Equity Incentive Plan of Xenon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the same may, from time to time, be supplemented or amended and in effect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the share option agreement(s) between the Company and the undersigned as listed on Exhibit A hereto (the “</w:t>
      </w:r>
      <w:r>
        <w:rPr>
          <w:rFonts w:ascii="Times New Roman" w:cs="Times New Roman" w:eastAsia="Times New Roman" w:hAnsi="Times New Roman"/>
          <w:sz w:val="18"/>
          <w:szCs w:val="18"/>
          <w:b w:val="1"/>
          <w:bCs w:val="1"/>
          <w:color w:val="auto"/>
        </w:rPr>
        <w:t>Share Option Agreement(s)</w:t>
      </w:r>
      <w:r>
        <w:rPr>
          <w:rFonts w:ascii="Times New Roman" w:cs="Times New Roman" w:eastAsia="Times New Roman" w:hAnsi="Times New Roman"/>
          <w:sz w:val="18"/>
          <w:szCs w:val="18"/>
          <w:color w:val="auto"/>
        </w:rPr>
        <w:t>”), of the exercise of the option(s)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granted to the undersigned pursuant to the Plan and the Share Option Agreement(s) and hereby irrevocably agrees to purchase common shares as listed in Exhibit A by way of:</w:t>
      </w:r>
    </w:p>
    <w:p>
      <w:pPr>
        <w:sectPr>
          <w:pgSz w:w="11900" w:h="16838" w:orient="portrait"/>
          <w:cols w:equalWidth="0" w:num="1">
            <w:col w:w="11240"/>
          </w:cols>
          <w:pgMar w:left="320" w:top="1413" w:right="339" w:bottom="1440" w:gutter="0" w:footer="0" w:header="0"/>
          <w:type w:val="continuous"/>
        </w:sectPr>
      </w:pP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[Choose (check off) one of the following]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exercise 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exercise</w:t>
      </w:r>
    </w:p>
    <w:p>
      <w:pPr>
        <w:spacing w:after="0" w:line="200" w:lineRule="exact"/>
        <w:rPr>
          <w:sz w:val="20"/>
          <w:szCs w:val="20"/>
          <w:color w:val="auto"/>
        </w:rPr>
      </w:pPr>
    </w:p>
    <w:p>
      <w:pPr>
        <w:sectPr>
          <w:pgSz w:w="11900" w:h="16838" w:orient="portrait"/>
          <w:cols w:equalWidth="0" w:num="3">
            <w:col w:w="5120" w:space="720"/>
            <w:col w:w="160" w:space="400"/>
            <w:col w:w="4840"/>
          </w:cols>
          <w:pgMar w:left="320" w:top="1413" w:right="339" w:bottom="1440" w:gutter="0" w:footer="0" w:header="0"/>
          <w:type w:val="continuous"/>
        </w:sectPr>
      </w:pP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[Complete the following, as applicable]</w:t>
      </w:r>
    </w:p>
    <w:p>
      <w:pPr>
        <w:spacing w:after="0" w:line="2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Total exercise price enclosed herewith: $____________</w:t>
      </w:r>
    </w:p>
    <w:p>
      <w:pPr>
        <w:sectPr>
          <w:pgSz w:w="11900" w:h="16838" w:orient="portrait"/>
          <w:cols w:equalWidth="0" w:num="1">
            <w:col w:w="11240"/>
          </w:cols>
          <w:pgMar w:left="320" w:top="1413" w:right="339" w:bottom="1440" w:gutter="0" w:footer="0" w:header="0"/>
          <w:type w:val="continuous"/>
        </w:sectPr>
      </w:pP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Total taxes $____________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Enclosed herewith OR</w:t>
      </w:r>
    </w:p>
    <w:p>
      <w:pPr>
        <w:spacing w:after="0" w:line="232" w:lineRule="exact"/>
        <w:rPr>
          <w:sz w:val="20"/>
          <w:szCs w:val="20"/>
          <w:color w:val="auto"/>
        </w:rPr>
      </w:pPr>
    </w:p>
    <w:p>
      <w:pPr>
        <w:spacing w:after="0"/>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Deducted from next paycheque</w:t>
      </w:r>
    </w:p>
    <w:p>
      <w:pPr>
        <w:spacing w:after="0" w:line="225" w:lineRule="exact"/>
        <w:rPr>
          <w:sz w:val="20"/>
          <w:szCs w:val="20"/>
          <w:color w:val="auto"/>
        </w:rPr>
      </w:pPr>
    </w:p>
    <w:p>
      <w:pPr>
        <w:spacing w:after="0"/>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If permitted by the Company, withholding from proceeds of a</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 of common shares acquired upon the exercise of the Option</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arranged by the Company (on the undersigned’s behalf pursuant</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this authorization without further consent)</w:t>
      </w:r>
    </w:p>
    <w:p>
      <w:pPr>
        <w:spacing w:after="0" w:line="200" w:lineRule="exact"/>
        <w:rPr>
          <w:sz w:val="20"/>
          <w:szCs w:val="20"/>
          <w:color w:val="auto"/>
        </w:rPr>
      </w:pPr>
    </w:p>
    <w:p>
      <w:pPr>
        <w:sectPr>
          <w:pgSz w:w="11900" w:h="16838" w:orient="portrait"/>
          <w:cols w:equalWidth="0" w:num="2">
            <w:col w:w="5240" w:space="720"/>
            <w:col w:w="5280"/>
          </w:cols>
          <w:pgMar w:left="320" w:top="1413" w:right="339" w:bottom="1440" w:gutter="0" w:footer="0" w:header="0"/>
          <w:type w:val="continuous"/>
        </w:sectPr>
      </w:pPr>
    </w:p>
    <w:p>
      <w:pPr>
        <w:spacing w:after="0" w:line="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undersigned tenders to the Company herewith an amount equal to the total exercise price for the common shares being purchased plus any amounts necessary to satisfy the tax withholding obligations in connection with such purchase.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directs the Company to issue the Direct Registration Statement evidencing the common shares in the name of the undersigned to be sent electronically to the undersigned to the following e-mail address: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issuance (as evidenced by the appropriate entry on the books of the Company or of a duly authorized transfer agent of the Company) of the common shares, no right to vote or receive dividends or any other rights as a shareholder will exist with respect to the common shares subject to the Option(s), notwithstanding the exercise of the Option(s). The common shares so acquired will be issued in the name so designated above as soon as practicable after exercise of the Option(s). No adjustment will be made for a dividend or other right for which the record date is prior to the date of issuance, except as provided in Section 10.3(a) of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undersigned may suffer adverse tax consequences as a result of the purchase or disposition of the common shares. The undersigned represents that the undersigned has consulted with any tax consultants the undersigned deems advisable in connection with the purchase or disposition of the common shares and that the undersigned is not relying on the Company for any tax advice.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9" w:name="page40"/>
    <w:bookmarkEnd w:id="3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notice and all matters arising hereunder will be governed by and construed in accordance with the laws of the Province of British Columbia. Subject to any written agreement between the parties, the parties will submit all their disputes arising out of or in connection with this notice to the exclusive jurisdiction of the courts of British Columbia.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the ______ day of ____________, 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7603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of Witness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7603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-127635</wp:posOffset>
            </wp:positionV>
            <wp:extent cx="2743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 (</w:t>
      </w:r>
      <w:r>
        <w:rPr>
          <w:rFonts w:ascii="Times New Roman" w:cs="Times New Roman" w:eastAsia="Times New Roman" w:hAnsi="Times New Roman"/>
          <w:sz w:val="18"/>
          <w:szCs w:val="18"/>
          <w:i w:val="1"/>
          <w:iCs w:val="1"/>
          <w:color w:val="auto"/>
        </w:rPr>
        <w:t>please 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-126365</wp:posOffset>
            </wp:positionV>
            <wp:extent cx="2743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440"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Return the Option Exercise Form, along with (as applicable) your certified cheque, bank draft or money order to: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3650 Gilmore Way, Burnaby,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V5G 4W8</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“Grantee”)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ind w:firstLine="8"/>
        <w:spacing w:after="0" w:line="266"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Grantee of a Restricted Share Unit Award to be an inducement material to the Grantee’s entering into employment with the Company or any of its subsidiaries in accordance with the Inducement Listing Rule;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Restricted Share Unit Award is granted pursuant to the exception to shareholder approval provided for inducement grants under the Inducement Listing Rule.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Grantee or of the estate of the Grantee on the grounds that the Grantee is incapable, by reason of physical or mental infirmity, of managing his or her affairs;</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Amended and Restated 2025 Inducement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2.6(2)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Restricted Share Unit Award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22" w:lineRule="exact"/>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THE RSUS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Section 10.3 of the Plan in respect of transactions occurring after the date hereof. The RSUs will vest, if at all, in accordance with the terms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Nontransferability of 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Restricted Share Unit Award is not transferable or assignable by the Grantee except as expressly permitted under Section 10.2 of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vesting or settlement of the RSUs unless the Board of Directors is satisfied that the issuance of such Common Shares to the Grantee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Delivery of Share Certificates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Subject to Sections 2.3 and 2.4, the Company will, as soon as practicable after the issuance of any Common Shares in settlement of the RSUs, issue and deliver a certificate or certificates representing the Common Shares so issued.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Vesting Conditions; Cessation of Employment; Change of Control</w:t>
      </w:r>
    </w:p>
    <w:p>
      <w:pPr>
        <w:spacing w:after="0" w:line="229" w:lineRule="exact"/>
        <w:rPr>
          <w:sz w:val="20"/>
          <w:szCs w:val="20"/>
          <w:color w:val="auto"/>
        </w:rPr>
      </w:pPr>
    </w:p>
    <w:p>
      <w:pPr>
        <w:jc w:val="both"/>
        <w:ind w:left="1500" w:hanging="369"/>
        <w:spacing w:after="0" w:line="266"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xml:space="preserve">. Except as provided in Section 2.6(2) and Section 2.6(3) below, the RSUs shall vest on the applicable “Vesting Date”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RSUs shall vest pursuant to this Agreement unless the Grantee has continuously remained a Service Provider from the Date of Grant through the applicable Vesting Date.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3"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r>
        <w:rPr>
          <w:rFonts w:ascii="Times New Roman" w:cs="Times New Roman" w:eastAsia="Times New Roman" w:hAnsi="Times New Roman"/>
          <w:sz w:val="18"/>
          <w:szCs w:val="18"/>
          <w:color w:val="auto"/>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 Service Provider for any reason, including due to termination of employment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spacing w:after="0" w:line="19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Notwithstanding anything to the contrary in the Plan or this Agreement, in the event of a Change of Control, the treatment of the RSUs in connection with such Change of Control shall be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not during or as of the end of any period following such date during which the Grantee is in receipt of, or entitled to receive, statutory, contractual or common law notice of termination or any compensation in lieu of such notice.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 Service Provider and the vesting of the RSUs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Settlement of RSUs</w:t>
      </w:r>
    </w:p>
    <w:p>
      <w:pPr>
        <w:spacing w:after="0" w:line="23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The Company shall, as soon as practicable upon the vesting of a RSU hereunder but in no event later than March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Dividends; Other Rights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Grantee expressly acknowledges that the vesting and/or settlement of the RSUs acquired hereunder may give rise to “wages” subject to withholding. The Grantee expressly acknowledges and agrees that the Grantee’s rights hereunder, including the right to receive Common Shares following the vesting of any portion of the Restricted Share Unit Award, are subject to the satisfaction of all taxes required to be withheld with respect to the Restricted Share Unit Award. Unless otherwise determined by the Company the Company shall satisfy the applicable taxes required to be withheld in connection with the vesting and/or settlement of the RSUs by withholding from the Common Shares that would otherwise be delivered in connection with the vesting and/or settlement of the RSUs hereunder a number of Common Shares having a fair market value equal to the minimum statutory amount required to be withheld to satisfy such tax withholding obligations. The Grantee authorizes the Company and its subsidiaries to withhold 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due in respect of any required tax withholdings or payments by withholding from any amounts otherwise owed to the Grantee, but nothing in this Section 2.10 shall be construed as relieving the Grantee of any liability for satisfying his or her tax obligations relating to the Restricted Share Unit Award.</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Grantee acknowledges and agrees that the Grantee shall remain fully responsible for satisfying his or her tax obligations relating to the Restricted Share Unit Award in all cases.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10.3 of the Plan.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Grantee of all Common Shares which may become issuable from time to time under the Restricted Share Unit Award.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Grantee is a bona fide employee of the Company or of a subsidiary of the Company on the Date of Grant.</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Representations and Covenants of the Grantee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Grantee hereby represents and covenants that:</w:t>
      </w:r>
    </w:p>
    <w:p>
      <w:pPr>
        <w:spacing w:after="0" w:line="225" w:lineRule="exact"/>
        <w:rPr>
          <w:sz w:val="20"/>
          <w:szCs w:val="20"/>
          <w:color w:val="auto"/>
        </w:rPr>
      </w:pPr>
    </w:p>
    <w:p>
      <w:pPr>
        <w:ind w:left="1500" w:hanging="743"/>
        <w:spacing w:after="0"/>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an employee of the Company or of a subsidiary of the Company on the Date of Grant;</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ind w:left="1500" w:hanging="743"/>
        <w:spacing w:after="0" w:line="256"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ceases to be a Service Provider due to termination of employment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or the Legal Representative of the Grantee receives any Common Shares in respect 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Grantee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Employment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Grantee by e-mail or such other reasonable manner as then determined by the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9" w:name="page50"/>
    <w:bookmarkEnd w:id="49"/>
    <w:p>
      <w:pPr>
        <w:jc w:val="center"/>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380" w:hanging="378"/>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RSUs will vest as to twenty-five percent (25%) of the RSUs on each of the first four (4) anniversaries of the Date of Grant (each such vesting date, a “Vesting Date”), subject to the Grantee continuously remaining a Service Provider through the applicable Vesting Date.</w:t>
      </w:r>
    </w:p>
    <w:p>
      <w:pPr>
        <w:spacing w:after="0" w:line="161" w:lineRule="exact"/>
        <w:rPr>
          <w:rFonts w:ascii="Times New Roman" w:cs="Times New Roman" w:eastAsia="Times New Roman" w:hAnsi="Times New Roman"/>
          <w:sz w:val="18"/>
          <w:szCs w:val="18"/>
          <w:color w:val="auto"/>
        </w:rPr>
      </w:pPr>
    </w:p>
    <w:p>
      <w:pPr>
        <w:jc w:val="both"/>
        <w:ind w:left="380" w:hanging="378"/>
        <w:spacing w:after="0" w:line="258"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RSUs on a Change of Control</w:t>
      </w:r>
      <w:r>
        <w:rPr>
          <w:rFonts w:ascii="Times New Roman" w:cs="Times New Roman" w:eastAsia="Times New Roman" w:hAnsi="Times New Roman"/>
          <w:sz w:val="18"/>
          <w:szCs w:val="18"/>
          <w:color w:val="auto"/>
        </w:rPr>
        <w:t>. Notwithstanding anything in this Exhibit A, if the Grantee ceases to be a Service Provider due to a termination of employment by the Company without Cause or the Grantee terminates his or her employment for Good Reason (but only if the Grantee is party to a Separate Agreement that contains a definition of “Good Reason”), in either case within the twelve (12) month period following a Change of Control, to the extent any RSUs are outstanding and unvested immediately prior to such termination of employment, such outstanding RSUs, if any, will automatically vest in full upon such termination of employment.</w:t>
      </w:r>
    </w:p>
    <w:p>
      <w:pPr>
        <w:spacing w:after="0" w:line="36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XENON PHARMACEUTICALS INC.</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made on [________] (the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ind w:left="1820" w:right="3560"/>
        <w:spacing w:after="0" w:line="286" w:lineRule="auto"/>
        <w:rPr>
          <w:sz w:val="20"/>
          <w:szCs w:val="20"/>
          <w:color w:val="auto"/>
        </w:rPr>
      </w:pPr>
      <w:r>
        <w:rPr>
          <w:rFonts w:ascii="Times New Roman" w:cs="Times New Roman" w:eastAsia="Times New Roman" w:hAnsi="Times New Roman"/>
          <w:sz w:val="18"/>
          <w:szCs w:val="18"/>
          <w:b w:val="1"/>
          <w:bCs w:val="1"/>
          <w:color w:val="auto"/>
        </w:rPr>
        <w:t>Xenon Pharmaceuticals Inc.</w:t>
      </w:r>
      <w:r>
        <w:rPr>
          <w:rFonts w:ascii="Times New Roman" w:cs="Times New Roman" w:eastAsia="Times New Roman" w:hAnsi="Times New Roman"/>
          <w:sz w:val="18"/>
          <w:szCs w:val="18"/>
          <w:color w:val="auto"/>
        </w:rPr>
        <w:t>, a company incorporated under the laws of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[First Name, Last Name, Title]</w:t>
      </w:r>
    </w:p>
    <w:p>
      <w:pPr>
        <w:spacing w:after="0" w:line="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“Grantee”)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jc w:val="both"/>
        <w:ind w:firstLine="8"/>
        <w:spacing w:after="0" w:line="266"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the grant to the Grantee of a Performance Share Award to be an inducement material to the Grantee’s entering into employment with the Company or any of its subsidiaries in accordance with the Inducement Listing Rule;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Performance Share Award is granted pursuant to the exception to shareholder approval provided for inducement grants under the Inducement Listing Rule.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THIS AGREEMENT WITNESSES THAT in consideration of the mutual premises and respective covenants and agreements herein contained, the parties hereto covenant and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spacing w:after="0" w:line="162" w:lineRule="exact"/>
        <w:rPr>
          <w:sz w:val="20"/>
          <w:szCs w:val="20"/>
          <w:color w:val="auto"/>
        </w:rPr>
      </w:pPr>
    </w:p>
    <w:p>
      <w:pPr>
        <w:ind w:left="1500" w:hanging="743"/>
        <w:spacing w:after="0"/>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ascribed thereto under the Canada Business Corporations Act in effect on the date hereof;</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Representative” means a committee or duly appointed attorney of the Grantee or of the estate of the Grantee on the grounds that the Grantee is incapable, by reason of physical or mental infirmity, of managing his or her affairs;</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Amended and Restated 2025 Inducement Equity Incentive Plan of the Company, as the same may from time to time be supplemented or amended and in effect;</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Agreement” has the meaning under Section 2.6(2)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purposes of this Agreement, except as otherwise provided:</w:t>
      </w:r>
    </w:p>
    <w:p>
      <w:pPr>
        <w:spacing w:after="0" w:line="225" w:lineRule="exact"/>
        <w:rPr>
          <w:sz w:val="20"/>
          <w:szCs w:val="20"/>
          <w:color w:val="auto"/>
        </w:rPr>
      </w:pPr>
    </w:p>
    <w:p>
      <w:pPr>
        <w:ind w:left="1500" w:hanging="743"/>
        <w:spacing w:after="0" w:line="282"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means this Performance Share Award Agreement as it may from time to time be supplemented or amended and in effect, and which is deemed to be an Award Agreement in accordance with the Plan;</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“Articles”, “Sections” and other subdivisions are to the designated Articles, Sections and other subdivisions of this Agreement;</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other words of similar import refer to this Agreement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do not form a part of this Agreement and are not intended to interpret, define or limit the scope, extent or intent of this Agreement or any provision hereof;</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22" w:lineRule="exact"/>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limiting language (such as “without limitation” or “but not limited to” or words of similar import) is used with reference thereto;</w:t>
      </w:r>
    </w:p>
    <w:p>
      <w:pPr>
        <w:spacing w:after="0" w:line="199"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time for doing an act falls or expires on a day other than a Business Day, the time for doing such act is extended to the next day which is a Business Day;</w:t>
      </w:r>
    </w:p>
    <w:p>
      <w:pPr>
        <w:spacing w:after="0" w:line="161"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capitalized terms not defined herein but defined in the Plan shall have the meaning as set out in the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PSUS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Grant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this Agreement and the Plan, on the Date of Grant set forth above, the Company hereby grants to the Grantee a Performance Share Award consisting of [•] performance-based restricted share units (the “PSUs”), giving the Grantee the conditional right to receive, on the terms and conditions provided herein and in the Plan, one Common Share with respect to each PSU forming part of this Award, subject to adjustment pursuant to Section 10.3 of the Plan in respect of transactions occurring after the date hereof. The percentage of the total number of PSUs that may be earned by the Grantee will be determined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Nontransferability of PSUs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Performance Share Award is not transferable or assignable by the Grantee except as expressly permitted under Section 10.2 of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Issuance of Shares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will have no obligation to issue Common Shares upon the vesting or settlement of the PSUs unless the Board of Directors is satisfied that the issuance of such Common Shares to the Grantee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PSUs in order to ensure such compliance, including the endorsement of a legend on any certificate representing Common Shares acquired on the settlement of the PSUs to the effect that such Common Shares may not be offered, sold or delivered except in compliance with the applicable securities laws and regulations of Canada or the United States.</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Delivery of Share Certificates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Subject to Sections 2.3 and 2.4, the Company will, as soon as practicable after the issuance of any Common Shares in settlement of the PSUs, issue and deliver a certificate or certificates representing the Common Shares so issued.</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Vesting Conditions; Cessation of Employment; Change of Control</w:t>
      </w:r>
    </w:p>
    <w:p>
      <w:pPr>
        <w:spacing w:after="0" w:line="229" w:lineRule="exact"/>
        <w:rPr>
          <w:sz w:val="20"/>
          <w:szCs w:val="20"/>
          <w:color w:val="auto"/>
        </w:rPr>
      </w:pPr>
    </w:p>
    <w:p>
      <w:pPr>
        <w:jc w:val="both"/>
        <w:ind w:left="1500" w:hanging="369"/>
        <w:spacing w:after="0" w:line="261"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xml:space="preserve">. Except as provided in Section 2.6(2) and Section 2.6(3) below, the PSUs shall vest on the applicable “Vesting Date”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based on achievement of the applicable Milestone (as such term is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PSUs shall vest pursuant to this Agreement unless the Grantee has continuously remained a Service Provider from the Date of Grant through the applicable Vesting Date.</w:t>
      </w:r>
    </w:p>
    <w:p>
      <w:pPr>
        <w:spacing w:after="0" w:line="179" w:lineRule="exact"/>
        <w:rPr>
          <w:rFonts w:ascii="Times New Roman" w:cs="Times New Roman" w:eastAsia="Times New Roman" w:hAnsi="Times New Roman"/>
          <w:sz w:val="18"/>
          <w:szCs w:val="18"/>
          <w:color w:val="auto"/>
        </w:rPr>
      </w:pPr>
    </w:p>
    <w:p>
      <w:pPr>
        <w:jc w:val="both"/>
        <w:ind w:left="1500" w:hanging="369"/>
        <w:spacing w:after="0" w:line="253"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Employment</w:t>
      </w:r>
      <w:r>
        <w:rPr>
          <w:rFonts w:ascii="Times New Roman" w:cs="Times New Roman" w:eastAsia="Times New Roman" w:hAnsi="Times New Roman"/>
          <w:sz w:val="18"/>
          <w:szCs w:val="18"/>
          <w:color w:val="auto"/>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 Service Provider for any reason, including due to termination of employment by the Company or any of its subsidiaries or any of its Affiliates without Cause or alleged constructive dismissal or due to voluntary termination by the Grantee, all outstanding PSUs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PSUs past said deemed termination date.</w:t>
      </w:r>
    </w:p>
    <w:p>
      <w:pPr>
        <w:spacing w:after="0" w:line="19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Notwithstanding anything to the contrary in the Plan or this Agreement, in the event of a Change of Control, the treatment of the PSUs in connection with such Change of Control shall be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not during or as of the end of any period following such date during which the Grantee is in receipt of, or entitled to receive, statutory, contractual or common law notice of termination or any compensation in lieu of such notice.</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 Service Provider and the vesting of the PSUs will not change as a result of such event.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Further, and notwithstanding the above, the Board of Directors may at its discretion accelerate the vesting of the PSUs,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Settlement of PSUs</w:t>
      </w:r>
    </w:p>
    <w:p>
      <w:pPr>
        <w:spacing w:after="0" w:line="23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The Company shall, as soon as practicable upon the vesting of a PSU hereunder but in no event later than March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PSU vests and in no event later than December 31, [•], with respect to each such PSU that so vests, transfer one (1) Common Share to the Grantee (or, in the event of the Grantee’s death, to the person to whom this Performance Share Award has passed by will or the laws of descent and distribution).</w:t>
      </w:r>
    </w:p>
    <w:p>
      <w:pPr>
        <w:spacing w:after="0" w:line="19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Forfeiture; Recovery of Compensation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Board of Directors may cancel, rescind, withhold or otherwise limit or restrict this Performance Share Award at any time if the Grantee is not in compliance with all applicable provisions of this Agreement and the Plan. By accepting this Performance Share Award, the Grantee expressly acknowledges and agrees that his or her rights under this Performance Share Award, and those of any permitted transferee of this Performance Share Award, including the right to any Common Shares acquired under this Performance Share Award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Dividends; Other Rights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Performance Share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Performance Share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Performance Share Award.</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Grantee expressly acknowledges that the vesting and/or settlement of the PSUs acquired hereunder may give rise to “wages” subject to withholding. The Grantee expressly acknowledges and agrees that the Grantee’s rights hereunder, including the right to receive Common Shares following the vesting of any portion of the Performance Share Award, are subject to the satisfaction of all taxes required to be withheld with respect to the Performance Share Award. Unless otherwise determined by the Company, the Company shall satisfy the applicable taxes required to be withheld in connection with the vesting and/or settlement of the PSUs by withholding from the Common Shares that would otherwise be delivered in connection with the vesting and/or settlement of the PSUs hereunder a number of Common Shares having a fair market value equal to the minimum statutory amount required to be withheld to satisfy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tax withholding obligations. The Grantee authorizes the Company and its subsidiaries to withhold any amounts due in respect of any required tax withholdings or payments by withholding from any amounts otherwise owed to the Grantee, but nothing in this Section 2.10 shall be construed as relieving the Grantee of any liability for satisfying his or her tax obligations relating to the Performance Share Award.</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the Grantee acknowledges and agrees that the Grantee shall remain fully responsible for satisfying his or her tax obligations relating to the Performance Share Award in all cases.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Performance Share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Performance Share Award is subject to the provisions of Section 10.3 of the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AND REPRESENTATIONS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Representations and Covenants of the Company</w:t>
      </w:r>
    </w:p>
    <w:p>
      <w:pPr>
        <w:spacing w:after="0" w:line="229" w:lineRule="exact"/>
        <w:rPr>
          <w:sz w:val="20"/>
          <w:szCs w:val="20"/>
          <w:color w:val="auto"/>
        </w:rPr>
      </w:pPr>
    </w:p>
    <w:p>
      <w:pPr>
        <w:ind w:left="1500" w:hanging="743"/>
        <w:spacing w:after="0" w:line="282"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covenants that it will reserve or cause to be reserved for allotment sufficient Common Shares for issue to the Grantee of all Common Shares which may become issuable from time to time under the Performance Share Award.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that the Grantee is a bona fide employee of the Company or of a subsidiary of the Company on the Date of Grant.</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Representations and Covenants of the Grantee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Grantee hereby represents and covenants that:</w:t>
      </w:r>
    </w:p>
    <w:p>
      <w:pPr>
        <w:spacing w:after="0" w:line="225" w:lineRule="exact"/>
        <w:rPr>
          <w:sz w:val="20"/>
          <w:szCs w:val="20"/>
          <w:color w:val="auto"/>
        </w:rPr>
      </w:pPr>
    </w:p>
    <w:p>
      <w:pPr>
        <w:ind w:left="1500" w:hanging="7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an employee of the Company or of a subsidiary of the Company on the Date of Grant;</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that the grant of the Performance Share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PSUs or the Common Shares to be distributed thereunder under any applicable securities laws and if such exemption for any reason becomes unavailable, the obligation of the Company to grant any PSUs or issue any Common Shares upon the vesting or settlement of any PSUs will cease;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left="1500" w:hanging="743"/>
        <w:spacing w:after="0" w:line="256"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ceases to be a Service Provider due to termination of employment by the Company, any of its subsidiaries or any of its Affiliates without cause or alleged constructive dismissal or due to voluntary termination by the Grantee, the Grantee will not make any claims for continued vesting of PSUs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7"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or the Legal Representative of the Grantee receives any Common Shares in respect of the PSUs, the Grantee or the Legal Representative, as the case may be, will prior to and upon any sale or disposition of any Common Shares received in respect of the PSUs,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91"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PSUs or any of the Grantee’s other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Section 409A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Performance Share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Interpretation; Administration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No Assignment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this Agreement nor the Performance Share Award may be assigned, transferred or charged in whole or in part by the Grantee, and any purported assignment, transfer or charge shall cause this Agreement and the Performance Share Award to lapse forthwith and be null and void after that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Burden and Benefit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will be binding upon and will enure to the benefit of the Company and its successors and assigns and the Grantee and, if applicable, his or her Legal Representative.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Time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 will be of the essence in this Agreement.</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Effect on Employment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Neither the grant of this Performance Share Award, nor the issuance of Common Shares upon the vesting or settlement of any PSUs,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Electronic Delivery and Acceptance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PSUs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the Company posts such documents on a website, it shall notify the Grantee by e-mail or such other reasonable manner as then determined by the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Incorporation of the Terms of the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Agreement shall be deemed to have incorporated all the terms of the Plan and the PSUs granted hereunder shall be subject to the terms of the Plan. Except as expressly provided herein, in the event of any conflict between the provisions of this Agreement and the terms of the Plan, the terms of the Plan shall govern.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1)"/>
      <w:numFmt w:val="lowerLetter"/>
      <w:start w:val="5"/>
    </w:lvl>
    <w:lvl w:ilvl="1">
      <w:lvlJc w:val="left"/>
      <w:lvlText w:val="(%2)"/>
      <w:numFmt w:val="lowerRoman"/>
      <w:start w:val="1"/>
    </w:lvl>
  </w:abstractNum>
  <w:abstractNum w:abstractNumId="3">
    <w:nsid w:val="836C40E"/>
    <w:multiLevelType w:val="hybridMultilevel"/>
    <w:lvl w:ilvl="0">
      <w:lvlJc w:val="left"/>
      <w:lvlText w:val="(%1)"/>
      <w:numFmt w:val="lowerLetter"/>
      <w:start w:val="8"/>
    </w:lvl>
    <w:lvl w:ilvl="1">
      <w:lvlJc w:val="left"/>
      <w:lvlText w:val="(%2)"/>
      <w:numFmt w:val="lowerRoman"/>
      <w:start w:val="1"/>
    </w:lvl>
  </w:abstractNum>
  <w:abstractNum w:abstractNumId="4">
    <w:nsid w:val="2901D82"/>
    <w:multiLevelType w:val="hybridMultilevel"/>
    <w:lvl w:ilvl="0">
      <w:lvlJc w:val="left"/>
      <w:lvlText w:val="(%1)"/>
      <w:numFmt w:val="lowerLetter"/>
      <w:start w:val="13"/>
    </w:lvl>
    <w:lvl w:ilvl="1">
      <w:lvlJc w:val="left"/>
      <w:lvlText w:val="(%2)"/>
      <w:numFmt w:val="lowerRoman"/>
      <w:start w:val="1"/>
    </w:lvl>
  </w:abstractNum>
  <w:abstractNum w:abstractNumId="5">
    <w:nsid w:val="3A95F874"/>
    <w:multiLevelType w:val="hybridMultilevel"/>
    <w:lvl w:ilvl="0">
      <w:lvlJc w:val="left"/>
      <w:lvlText w:val="(%1)"/>
      <w:numFmt w:val="lowerRoman"/>
      <w:start w:val="2"/>
    </w:lvl>
  </w:abstractNum>
  <w:abstractNum w:abstractNumId="6">
    <w:nsid w:val="8138641"/>
    <w:multiLevelType w:val="hybridMultilevel"/>
    <w:lvl w:ilvl="0">
      <w:lvlJc w:val="left"/>
      <w:lvlText w:val="(%1)"/>
      <w:numFmt w:val="lowerLetter"/>
      <w:start w:val="19"/>
    </w:lvl>
  </w:abstractNum>
  <w:abstractNum w:abstractNumId="7">
    <w:nsid w:val="1E7FF521"/>
    <w:multiLevelType w:val="hybridMultilevel"/>
    <w:lvl w:ilvl="0">
      <w:lvlJc w:val="left"/>
      <w:lvlText w:val="(%1)"/>
      <w:numFmt w:val="lowerLetter"/>
      <w:start w:val="26"/>
    </w:lvl>
  </w:abstractNum>
  <w:abstractNum w:abstractNumId="8">
    <w:nsid w:val="7C3DBD3D"/>
    <w:multiLevelType w:val="hybridMultilevel"/>
    <w:lvl w:ilvl="0">
      <w:lvlJc w:val="left"/>
      <w:lvlText w:val="(%1)"/>
      <w:numFmt w:val="lowerLetter"/>
      <w:start w:val="27"/>
    </w:lvl>
  </w:abstractNum>
  <w:abstractNum w:abstractNumId="9">
    <w:nsid w:val="737B8DDC"/>
    <w:multiLevelType w:val="hybridMultilevel"/>
    <w:lvl w:ilvl="0">
      <w:lvlJc w:val="left"/>
      <w:lvlText w:val="(%1)"/>
      <w:numFmt w:val="lowerLetter"/>
      <w:start w:val="36"/>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12"/>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2"/>
    </w:lvl>
    <w:lvl w:ilvl="1">
      <w:lvlJc w:val="left"/>
      <w:lvlText w:val="(%2)"/>
      <w:numFmt w:val="lowerRoman"/>
      <w:start w:val="1"/>
    </w:lvl>
  </w:abstractNum>
  <w:abstractNum w:abstractNumId="15">
    <w:nsid w:val="419AC241"/>
    <w:multiLevelType w:val="hybridMultilevel"/>
    <w:lvl w:ilvl="0">
      <w:lvlJc w:val="left"/>
      <w:lvlText w:val="(%1)"/>
      <w:numFmt w:val="lowerRoman"/>
      <w:start w:val="3"/>
    </w:lvl>
    <w:lvl w:ilvl="1">
      <w:lvlJc w:val="left"/>
      <w:lvlText w:val="(%2)"/>
      <w:numFmt w:val="upperLetter"/>
      <w:start w:val="2"/>
    </w:lvl>
  </w:abstractNum>
  <w:abstractNum w:abstractNumId="16">
    <w:nsid w:val="5577F8E1"/>
    <w:multiLevelType w:val="hybridMultilevel"/>
    <w:lvl w:ilvl="0">
      <w:lvlJc w:val="left"/>
      <w:lvlText w:val="(%1)"/>
      <w:numFmt w:val="lowerLetter"/>
      <w:start w:val="6"/>
    </w:lvl>
    <w:lvl w:ilvl="1">
      <w:lvlJc w:val="left"/>
      <w:lvlText w:val="(%2)"/>
      <w:numFmt w:val="lowerRoman"/>
      <w:start w:val="1"/>
    </w:lvl>
  </w:abstractNum>
  <w:abstractNum w:abstractNumId="17">
    <w:nsid w:val="440BADF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
    <w:nsid w:val="5072367"/>
    <w:multiLevelType w:val="hybridMultilevel"/>
    <w:lvl w:ilvl="0">
      <w:lvlJc w:val="left"/>
      <w:lvlText w:val="(%1)"/>
      <w:numFmt w:val="lowerLetter"/>
      <w:start w:val="1"/>
    </w:lvl>
    <w:lvl w:ilvl="1">
      <w:lvlJc w:val="left"/>
      <w:lvlText w:val="(%2)"/>
      <w:numFmt w:val="lowerRoman"/>
      <w:start w:val="1"/>
    </w:lvl>
  </w:abstractNum>
  <w:abstractNum w:abstractNumId="19">
    <w:nsid w:val="3804823E"/>
    <w:multiLevelType w:val="hybridMultilevel"/>
    <w:lvl w:ilvl="0">
      <w:lvlJc w:val="left"/>
      <w:lvlText w:val="(%1)"/>
      <w:numFmt w:val="lowerRoman"/>
      <w:start w:val="5"/>
    </w:lvl>
  </w:abstractNum>
  <w:abstractNum w:abstractNumId="20">
    <w:nsid w:val="77465F01"/>
    <w:multiLevelType w:val="hybridMultilevel"/>
    <w:lvl w:ilvl="0">
      <w:lvlJc w:val="left"/>
      <w:lvlText w:val="(%1)"/>
      <w:numFmt w:val="lowerLetter"/>
      <w:start w:val="1"/>
    </w:lvl>
    <w:lvl w:ilvl="1">
      <w:lvlJc w:val="left"/>
      <w:lvlText w:val="(%2)"/>
      <w:numFmt w:val="lowerRoman"/>
      <w:start w:val="1"/>
    </w:lvl>
  </w:abstractNum>
  <w:abstractNum w:abstractNumId="21">
    <w:nsid w:val="7724C67E"/>
    <w:multiLevelType w:val="hybridMultilevel"/>
    <w:lvl w:ilvl="0">
      <w:lvlJc w:val="left"/>
      <w:lvlText w:val="(%1)"/>
      <w:numFmt w:val="lowerRoman"/>
      <w:start w:val="4"/>
    </w:lvl>
  </w:abstractNum>
  <w:abstractNum w:abstractNumId="22">
    <w:nsid w:val="5C482A97"/>
    <w:multiLevelType w:val="hybridMultilevel"/>
    <w:lvl w:ilvl="0">
      <w:lvlJc w:val="left"/>
      <w:lvlText w:val="(%1)"/>
      <w:numFmt w:val="lowerLetter"/>
      <w:start w:val="1"/>
    </w:lvl>
    <w:lvl w:ilvl="1">
      <w:lvlJc w:val="left"/>
      <w:lvlText w:val="(%2)"/>
      <w:numFmt w:val="lowerRoman"/>
      <w:start w:val="1"/>
    </w:lvl>
  </w:abstractNum>
  <w:abstractNum w:abstractNumId="23">
    <w:nsid w:val="2463B9EA"/>
    <w:multiLevelType w:val="hybridMultilevel"/>
    <w:lvl w:ilvl="0">
      <w:lvlJc w:val="left"/>
      <w:lvlText w:val="(%1)"/>
      <w:numFmt w:val="lowerRoman"/>
      <w:start w:val="2"/>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1"/>
    </w:lvl>
    <w:lvl w:ilvl="1">
      <w:lvlJc w:val="left"/>
      <w:lvlText w:val="(%2)"/>
      <w:numFmt w:val="lowerRoman"/>
      <w:start w:val="1"/>
    </w:lvl>
  </w:abstractNum>
  <w:abstractNum w:abstractNumId="28">
    <w:nsid w:val="153EA438"/>
    <w:multiLevelType w:val="hybridMultilevel"/>
    <w:lvl w:ilvl="0">
      <w:lvlJc w:val="left"/>
      <w:lvlText w:val="(%1)"/>
      <w:numFmt w:val="lowerRoman"/>
      <w:start w:val="3"/>
    </w:lvl>
  </w:abstractNum>
  <w:abstractNum w:abstractNumId="29">
    <w:nsid w:val="3855585C"/>
    <w:multiLevelType w:val="hybridMultilevel"/>
    <w:lvl w:ilvl="0">
      <w:lvlJc w:val="left"/>
      <w:lvlText w:val="%1."/>
      <w:numFmt w:val="upperLetter"/>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4"/>
    </w:lvl>
  </w:abstractNum>
  <w:abstractNum w:abstractNumId="32">
    <w:nsid w:val="2A487CB0"/>
    <w:multiLevelType w:val="hybridMultilevel"/>
    <w:lvl w:ilvl="0">
      <w:lvlJc w:val="left"/>
      <w:lvlText w:val="(%1)"/>
      <w:numFmt w:val="decimal"/>
      <w:start w:val="7"/>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3"/>
    </w:lvl>
  </w:abstractNum>
  <w:abstractNum w:abstractNumId="38">
    <w:nsid w:val="4B588F54"/>
    <w:multiLevelType w:val="hybridMultilevel"/>
    <w:lvl w:ilvl="0">
      <w:lvlJc w:val="left"/>
      <w:lvlText w:val="%1."/>
      <w:numFmt w:val="upperLetter"/>
      <w:start w:val="1"/>
    </w:lvl>
  </w:abstractNum>
  <w:abstractNum w:abstractNumId="39">
    <w:nsid w:val="542289EC"/>
    <w:multiLevelType w:val="hybridMultilevel"/>
    <w:lvl w:ilvl="0">
      <w:lvlJc w:val="left"/>
      <w:lvlText w:val="(%1)"/>
      <w:numFmt w:val="decimal"/>
      <w:start w:val="15"/>
    </w:lvl>
  </w:abstractNum>
  <w:abstractNum w:abstractNumId="40">
    <w:nsid w:val="6DE91B18"/>
    <w:multiLevelType w:val="hybridMultilevel"/>
    <w:lvl w:ilvl="0">
      <w:lvlJc w:val="left"/>
      <w:lvlText w:val="(%1)"/>
      <w:numFmt w:val="decimal"/>
      <w:start w:val="19"/>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3"/>
    </w:lvl>
  </w:abstractNum>
  <w:abstractNum w:abstractNumId="43">
    <w:nsid w:val="32FFF902"/>
    <w:multiLevelType w:val="hybridMultilevel"/>
    <w:lvl w:ilvl="0">
      <w:lvlJc w:val="left"/>
      <w:lvlText w:val="(%1)"/>
      <w:numFmt w:val="decimal"/>
      <w:start w:val="7"/>
    </w:lvl>
  </w:abstractNum>
  <w:abstractNum w:abstractNumId="44">
    <w:nsid w:val="684A481A"/>
    <w:multiLevelType w:val="hybridMultilevel"/>
    <w:lvl w:ilvl="0">
      <w:lvlJc w:val="left"/>
      <w:lvlText w:val="(%1)"/>
      <w:numFmt w:val="decimal"/>
      <w:start w:val="10"/>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upperLetter"/>
      <w:start w:val="1"/>
    </w:lvl>
  </w:abstractNum>
  <w:abstractNum w:abstractNumId="47">
    <w:nsid w:val="3DC240FB"/>
    <w:multiLevelType w:val="hybridMultilevel"/>
    <w:lvl w:ilvl="0">
      <w:lvlJc w:val="left"/>
      <w:lvlText w:val="(%1)"/>
      <w:numFmt w:val="decimal"/>
      <w:start w:val="27"/>
    </w:lvl>
  </w:abstractNum>
  <w:abstractNum w:abstractNumId="48">
    <w:nsid w:val="1BA026FA"/>
    <w:multiLevelType w:val="hybridMultilevel"/>
    <w:lvl w:ilvl="0">
      <w:lvlJc w:val="left"/>
      <w:lvlText w:val="(%1)"/>
      <w:numFmt w:val="decimal"/>
      <w:start w:val="31"/>
    </w:lvl>
  </w:abstractNum>
  <w:abstractNum w:abstractNumId="49">
    <w:nsid w:val="79A1DEAA"/>
    <w:multiLevelType w:val="hybridMultilevel"/>
    <w:lvl w:ilvl="0">
      <w:lvlJc w:val="left"/>
      <w:lvlText w:val="(%1)"/>
      <w:numFmt w:val="decimal"/>
      <w:start w:val="4"/>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decimal"/>
      <w:start w:val="13"/>
    </w:lvl>
  </w:abstractNum>
  <w:abstractNum w:abstractNumId="52">
    <w:nsid w:val="70C6A52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2026-04-13T15:03:40Z</dcterms:created>
  <dcterms:modified xsi:type="dcterms:W3CDTF">2026-04-13T15:03:40Z</dcterms:modified>
</cp:coreProperties>
</file>