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9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9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81915</wp:posOffset>
            </wp:positionV>
            <wp:extent cx="14490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189" w:lineRule="exact"/>
        <w:rPr>
          <w:sz w:val="24"/>
          <w:szCs w:val="24"/>
          <w:color w:val="auto"/>
        </w:rPr>
      </w:pPr>
    </w:p>
    <w:p>
      <w:pPr>
        <w:jc w:val="center"/>
        <w:ind w:right="-99"/>
        <w:spacing w:after="0" w:line="368" w:lineRule="exact"/>
        <w:rPr>
          <w:sz w:val="20"/>
          <w:szCs w:val="20"/>
          <w:color w:val="auto"/>
        </w:rPr>
      </w:pPr>
      <w:r>
        <w:rPr>
          <w:rFonts w:ascii="Arial" w:cs="Arial" w:eastAsia="Arial" w:hAnsi="Arial"/>
          <w:sz w:val="32"/>
          <w:szCs w:val="32"/>
          <w:b w:val="1"/>
          <w:bCs w:val="1"/>
          <w:color w:val="auto"/>
        </w:rPr>
        <w:t>FORM 10</w:t>
      </w:r>
      <w:r>
        <w:rPr>
          <w:rFonts w:ascii="MS PGothic" w:cs="MS PGothic" w:eastAsia="MS PGothic" w:hAnsi="MS PGothic"/>
          <w:sz w:val="32"/>
          <w:szCs w:val="32"/>
          <w:b w:val="1"/>
          <w:bCs w:val="1"/>
          <w:color w:val="auto"/>
        </w:rPr>
        <w:t>‑</w:t>
      </w:r>
      <w:r>
        <w:rPr>
          <w:rFonts w:ascii="Arial" w:cs="Arial" w:eastAsia="Arial" w:hAnsi="Arial"/>
          <w:sz w:val="32"/>
          <w:szCs w:val="32"/>
          <w:b w:val="1"/>
          <w:bCs w:val="1"/>
          <w:color w:val="auto"/>
        </w:rPr>
        <w:t>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109855</wp:posOffset>
            </wp:positionV>
            <wp:extent cx="14490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52"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(Mark One)</w:t>
      </w:r>
    </w:p>
    <w:p>
      <w:pPr>
        <w:spacing w:after="0" w:line="5" w:lineRule="exact"/>
        <w:rPr>
          <w:sz w:val="24"/>
          <w:szCs w:val="24"/>
          <w:color w:val="auto"/>
        </w:rPr>
      </w:pPr>
    </w:p>
    <w:p>
      <w:pPr>
        <w:ind w:left="3980" w:right="1640" w:hanging="3972"/>
        <w:spacing w:after="0" w:line="392" w:lineRule="auto"/>
        <w:tabs>
          <w:tab w:leader="none" w:pos="527" w:val="left"/>
        </w:tabs>
        <w:numPr>
          <w:ilvl w:val="0"/>
          <w:numId w:val="1"/>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QUARTERLY REPORT PURSUANT TO SECTION 13 OR 15(d) OF THE SECURITIES EXCHANGE ACT OF 1934 For the quarterly period ended June 30, 2017</w:t>
      </w:r>
    </w:p>
    <w:p>
      <w:pPr>
        <w:spacing w:after="0" w:line="283" w:lineRule="exact"/>
        <w:rPr>
          <w:sz w:val="24"/>
          <w:szCs w:val="24"/>
          <w:color w:val="auto"/>
        </w:rPr>
      </w:pPr>
    </w:p>
    <w:p>
      <w:pPr>
        <w:ind w:left="520" w:hanging="512"/>
        <w:spacing w:after="0"/>
        <w:tabs>
          <w:tab w:leader="none" w:pos="520" w:val="left"/>
        </w:tabs>
        <w:numPr>
          <w:ilvl w:val="0"/>
          <w:numId w:val="2"/>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TRANSITION REPORT PURSUANT TO SECTION 13 OR 15(d) OF THE SECURITIES EXCHANGE ACT OF 1934</w:t>
      </w:r>
    </w:p>
    <w:p>
      <w:pPr>
        <w:spacing w:after="0" w:line="117" w:lineRule="exact"/>
        <w:rPr>
          <w:sz w:val="24"/>
          <w:szCs w:val="24"/>
          <w:color w:val="auto"/>
        </w:rPr>
      </w:pPr>
    </w:p>
    <w:p>
      <w:pPr>
        <w:ind w:left="3280"/>
        <w:spacing w:after="0"/>
        <w:tabs>
          <w:tab w:leader="none" w:pos="684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3590925</wp:posOffset>
            </wp:positionH>
            <wp:positionV relativeFrom="paragraph">
              <wp:posOffset>-7620</wp:posOffset>
            </wp:positionV>
            <wp:extent cx="15811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81150" cy="8890"/>
                    </a:xfrm>
                    <a:prstGeom prst="rect">
                      <a:avLst/>
                    </a:prstGeom>
                    <a:noFill/>
                  </pic:spPr>
                </pic:pic>
              </a:graphicData>
            </a:graphic>
          </wp:anchor>
        </w:drawing>
      </w:r>
    </w:p>
    <w:p>
      <w:pPr>
        <w:spacing w:after="0" w:line="97"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Commission File Number: 001-36687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111760</wp:posOffset>
            </wp:positionV>
            <wp:extent cx="14490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34" w:lineRule="exact"/>
        <w:rPr>
          <w:sz w:val="24"/>
          <w:szCs w:val="24"/>
          <w:color w:val="auto"/>
        </w:rPr>
      </w:pPr>
    </w:p>
    <w:p>
      <w:pPr>
        <w:jc w:val="center"/>
        <w:ind w:right="-99"/>
        <w:spacing w:after="0"/>
        <w:rPr>
          <w:sz w:val="20"/>
          <w:szCs w:val="20"/>
          <w:color w:val="auto"/>
        </w:rPr>
      </w:pPr>
      <w:r>
        <w:rPr>
          <w:rFonts w:ascii="Arial" w:cs="Arial" w:eastAsia="Arial" w:hAnsi="Arial"/>
          <w:sz w:val="43"/>
          <w:szCs w:val="43"/>
          <w:b w:val="1"/>
          <w:bCs w:val="1"/>
          <w:color w:val="auto"/>
        </w:rPr>
        <w:t>XENON PHARMACEUTICALS INC.</w:t>
      </w:r>
    </w:p>
    <w:p>
      <w:pPr>
        <w:spacing w:after="0" w:line="50"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125095</wp:posOffset>
            </wp:positionV>
            <wp:extent cx="14490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00" w:lineRule="exact"/>
        <w:rPr>
          <w:sz w:val="24"/>
          <w:szCs w:val="24"/>
          <w:color w:val="auto"/>
        </w:rPr>
      </w:pPr>
    </w:p>
    <w:p>
      <w:pPr>
        <w:spacing w:after="0" w:line="201" w:lineRule="exact"/>
        <w:rPr>
          <w:sz w:val="24"/>
          <w:szCs w:val="24"/>
          <w:color w:val="auto"/>
        </w:rPr>
      </w:pPr>
    </w:p>
    <w:tbl>
      <w:tblPr>
        <w:tblLayout w:type="fixed"/>
        <w:tblInd w:w="1480" w:type="dxa"/>
        <w:tblCellMar>
          <w:top w:w="0" w:type="dxa"/>
          <w:left w:w="0" w:type="dxa"/>
          <w:bottom w:w="0" w:type="dxa"/>
          <w:right w:w="0" w:type="dxa"/>
        </w:tblCellMar>
      </w:tblPr>
      <w:tr>
        <w:trPr>
          <w:trHeight w:val="216"/>
        </w:trPr>
        <w:tc>
          <w:tcPr>
            <w:tcW w:w="4680" w:type="dxa"/>
            <w:vAlign w:val="bottom"/>
          </w:tcPr>
          <w:p>
            <w:pPr>
              <w:jc w:val="center"/>
              <w:ind w:right="1843"/>
              <w:spacing w:after="0"/>
              <w:rPr>
                <w:sz w:val="20"/>
                <w:szCs w:val="20"/>
                <w:color w:val="auto"/>
              </w:rPr>
            </w:pPr>
            <w:r>
              <w:rPr>
                <w:rFonts w:ascii="Arial" w:cs="Arial" w:eastAsia="Arial" w:hAnsi="Arial"/>
                <w:sz w:val="18"/>
                <w:szCs w:val="18"/>
                <w:b w:val="1"/>
                <w:bCs w:val="1"/>
                <w:color w:val="auto"/>
                <w:w w:val="92"/>
              </w:rPr>
              <w:t>Canada</w:t>
            </w:r>
          </w:p>
        </w:tc>
        <w:tc>
          <w:tcPr>
            <w:tcW w:w="2900" w:type="dxa"/>
            <w:vAlign w:val="bottom"/>
          </w:tcPr>
          <w:p>
            <w:pPr>
              <w:jc w:val="right"/>
              <w:spacing w:after="0"/>
              <w:rPr>
                <w:sz w:val="20"/>
                <w:szCs w:val="20"/>
                <w:color w:val="auto"/>
              </w:rPr>
            </w:pPr>
            <w:r>
              <w:rPr>
                <w:rFonts w:ascii="Arial" w:cs="Arial" w:eastAsia="Arial" w:hAnsi="Arial"/>
                <w:sz w:val="18"/>
                <w:szCs w:val="18"/>
                <w:b w:val="1"/>
                <w:bCs w:val="1"/>
                <w:color w:val="auto"/>
              </w:rPr>
              <w:t>98-0661854</w:t>
            </w:r>
          </w:p>
        </w:tc>
      </w:tr>
      <w:tr>
        <w:trPr>
          <w:trHeight w:val="135"/>
        </w:trPr>
        <w:tc>
          <w:tcPr>
            <w:tcW w:w="4680" w:type="dxa"/>
            <w:vAlign w:val="bottom"/>
          </w:tcPr>
          <w:p>
            <w:pPr>
              <w:jc w:val="center"/>
              <w:ind w:right="1823"/>
              <w:spacing w:after="0" w:line="135" w:lineRule="exact"/>
              <w:rPr>
                <w:sz w:val="20"/>
                <w:szCs w:val="20"/>
                <w:color w:val="auto"/>
              </w:rPr>
            </w:pPr>
            <w:r>
              <w:rPr>
                <w:rFonts w:ascii="Arial" w:cs="Arial" w:eastAsia="Arial" w:hAnsi="Arial"/>
                <w:sz w:val="13"/>
                <w:szCs w:val="13"/>
                <w:b w:val="1"/>
                <w:bCs w:val="1"/>
                <w:color w:val="auto"/>
                <w:w w:val="88"/>
              </w:rPr>
              <w:t>(State or other jurisdiction of</w:t>
            </w:r>
          </w:p>
        </w:tc>
        <w:tc>
          <w:tcPr>
            <w:tcW w:w="2900" w:type="dxa"/>
            <w:vAlign w:val="bottom"/>
          </w:tcPr>
          <w:p>
            <w:pPr>
              <w:jc w:val="center"/>
              <w:ind w:left="1846"/>
              <w:spacing w:after="0" w:line="135" w:lineRule="exact"/>
              <w:rPr>
                <w:sz w:val="20"/>
                <w:szCs w:val="20"/>
                <w:color w:val="auto"/>
              </w:rPr>
            </w:pPr>
            <w:r>
              <w:rPr>
                <w:rFonts w:ascii="Arial" w:cs="Arial" w:eastAsia="Arial" w:hAnsi="Arial"/>
                <w:sz w:val="13"/>
                <w:szCs w:val="13"/>
                <w:b w:val="1"/>
                <w:bCs w:val="1"/>
                <w:color w:val="auto"/>
                <w:w w:val="90"/>
              </w:rPr>
              <w:t>(I.R.S. Employer</w:t>
            </w:r>
          </w:p>
        </w:tc>
      </w:tr>
      <w:tr>
        <w:trPr>
          <w:trHeight w:val="135"/>
        </w:trPr>
        <w:tc>
          <w:tcPr>
            <w:tcW w:w="4680" w:type="dxa"/>
            <w:vAlign w:val="bottom"/>
          </w:tcPr>
          <w:p>
            <w:pPr>
              <w:jc w:val="center"/>
              <w:ind w:right="1843"/>
              <w:spacing w:after="0" w:line="135" w:lineRule="exact"/>
              <w:rPr>
                <w:sz w:val="20"/>
                <w:szCs w:val="20"/>
                <w:color w:val="auto"/>
              </w:rPr>
            </w:pPr>
            <w:r>
              <w:rPr>
                <w:rFonts w:ascii="Arial" w:cs="Arial" w:eastAsia="Arial" w:hAnsi="Arial"/>
                <w:sz w:val="13"/>
                <w:szCs w:val="13"/>
                <w:b w:val="1"/>
                <w:bCs w:val="1"/>
                <w:color w:val="auto"/>
                <w:w w:val="88"/>
              </w:rPr>
              <w:t>incorporation or organization)</w:t>
            </w:r>
          </w:p>
        </w:tc>
        <w:tc>
          <w:tcPr>
            <w:tcW w:w="2900" w:type="dxa"/>
            <w:vAlign w:val="bottom"/>
          </w:tcPr>
          <w:p>
            <w:pPr>
              <w:jc w:val="center"/>
              <w:ind w:left="1846"/>
              <w:spacing w:after="0" w:line="135" w:lineRule="exact"/>
              <w:rPr>
                <w:sz w:val="20"/>
                <w:szCs w:val="20"/>
                <w:color w:val="auto"/>
              </w:rPr>
            </w:pPr>
            <w:r>
              <w:rPr>
                <w:rFonts w:ascii="Arial" w:cs="Arial" w:eastAsia="Arial" w:hAnsi="Arial"/>
                <w:sz w:val="13"/>
                <w:szCs w:val="13"/>
                <w:b w:val="1"/>
                <w:bCs w:val="1"/>
                <w:color w:val="auto"/>
                <w:w w:val="89"/>
              </w:rPr>
              <w:t>Identification No.)</w:t>
            </w:r>
          </w:p>
        </w:tc>
      </w:tr>
      <w:tr>
        <w:trPr>
          <w:trHeight w:val="216"/>
        </w:trPr>
        <w:tc>
          <w:tcPr>
            <w:tcW w:w="4680" w:type="dxa"/>
            <w:vAlign w:val="bottom"/>
          </w:tcPr>
          <w:p>
            <w:pPr>
              <w:jc w:val="center"/>
              <w:ind w:right="1843"/>
              <w:spacing w:after="0"/>
              <w:rPr>
                <w:sz w:val="20"/>
                <w:szCs w:val="20"/>
                <w:color w:val="auto"/>
              </w:rPr>
            </w:pPr>
            <w:r>
              <w:rPr>
                <w:rFonts w:ascii="Arial" w:cs="Arial" w:eastAsia="Arial" w:hAnsi="Arial"/>
                <w:sz w:val="18"/>
                <w:szCs w:val="18"/>
                <w:b w:val="1"/>
                <w:bCs w:val="1"/>
                <w:color w:val="auto"/>
                <w:w w:val="92"/>
              </w:rPr>
              <w:t>200-3650 Gilmore Way</w:t>
            </w:r>
          </w:p>
        </w:tc>
        <w:tc>
          <w:tcPr>
            <w:tcW w:w="2900" w:type="dxa"/>
            <w:vAlign w:val="bottom"/>
          </w:tcPr>
          <w:p>
            <w:pPr>
              <w:spacing w:after="0"/>
              <w:rPr>
                <w:sz w:val="18"/>
                <w:szCs w:val="18"/>
                <w:color w:val="auto"/>
              </w:rPr>
            </w:pPr>
          </w:p>
        </w:tc>
      </w:tr>
      <w:tr>
        <w:trPr>
          <w:trHeight w:val="216"/>
        </w:trPr>
        <w:tc>
          <w:tcPr>
            <w:tcW w:w="4680" w:type="dxa"/>
            <w:vAlign w:val="bottom"/>
          </w:tcPr>
          <w:p>
            <w:pPr>
              <w:jc w:val="center"/>
              <w:ind w:right="1823"/>
              <w:spacing w:after="0"/>
              <w:rPr>
                <w:sz w:val="20"/>
                <w:szCs w:val="20"/>
                <w:color w:val="auto"/>
              </w:rPr>
            </w:pPr>
            <w:r>
              <w:rPr>
                <w:rFonts w:ascii="Arial" w:cs="Arial" w:eastAsia="Arial" w:hAnsi="Arial"/>
                <w:sz w:val="18"/>
                <w:szCs w:val="18"/>
                <w:b w:val="1"/>
                <w:bCs w:val="1"/>
                <w:color w:val="auto"/>
                <w:w w:val="92"/>
              </w:rPr>
              <w:t>Burnaby, British Columbia, Canada</w:t>
            </w:r>
          </w:p>
        </w:tc>
        <w:tc>
          <w:tcPr>
            <w:tcW w:w="2900" w:type="dxa"/>
            <w:vAlign w:val="bottom"/>
          </w:tcPr>
          <w:p>
            <w:pPr>
              <w:jc w:val="center"/>
              <w:ind w:left="1846"/>
              <w:spacing w:after="0"/>
              <w:rPr>
                <w:sz w:val="20"/>
                <w:szCs w:val="20"/>
                <w:color w:val="auto"/>
              </w:rPr>
            </w:pPr>
            <w:r>
              <w:rPr>
                <w:rFonts w:ascii="Arial" w:cs="Arial" w:eastAsia="Arial" w:hAnsi="Arial"/>
                <w:sz w:val="18"/>
                <w:szCs w:val="18"/>
                <w:b w:val="1"/>
                <w:bCs w:val="1"/>
                <w:color w:val="auto"/>
                <w:w w:val="99"/>
              </w:rPr>
              <w:t>V5G 4W8</w:t>
            </w:r>
          </w:p>
        </w:tc>
      </w:tr>
      <w:tr>
        <w:trPr>
          <w:trHeight w:val="164"/>
        </w:trPr>
        <w:tc>
          <w:tcPr>
            <w:tcW w:w="4680" w:type="dxa"/>
            <w:vAlign w:val="bottom"/>
          </w:tcPr>
          <w:p>
            <w:pPr>
              <w:jc w:val="center"/>
              <w:ind w:right="1843"/>
              <w:spacing w:after="0"/>
              <w:rPr>
                <w:sz w:val="20"/>
                <w:szCs w:val="20"/>
                <w:color w:val="auto"/>
              </w:rPr>
            </w:pPr>
            <w:r>
              <w:rPr>
                <w:rFonts w:ascii="Arial" w:cs="Arial" w:eastAsia="Arial" w:hAnsi="Arial"/>
                <w:sz w:val="13"/>
                <w:szCs w:val="13"/>
                <w:b w:val="1"/>
                <w:bCs w:val="1"/>
                <w:color w:val="auto"/>
                <w:w w:val="85"/>
              </w:rPr>
              <w:t>(Address of principal executive offices)</w:t>
            </w:r>
          </w:p>
        </w:tc>
        <w:tc>
          <w:tcPr>
            <w:tcW w:w="2900" w:type="dxa"/>
            <w:vAlign w:val="bottom"/>
          </w:tcPr>
          <w:p>
            <w:pPr>
              <w:jc w:val="center"/>
              <w:ind w:left="1846"/>
              <w:spacing w:after="0"/>
              <w:rPr>
                <w:sz w:val="20"/>
                <w:szCs w:val="20"/>
                <w:color w:val="auto"/>
              </w:rPr>
            </w:pPr>
            <w:r>
              <w:rPr>
                <w:rFonts w:ascii="Arial" w:cs="Arial" w:eastAsia="Arial" w:hAnsi="Arial"/>
                <w:sz w:val="13"/>
                <w:szCs w:val="13"/>
                <w:b w:val="1"/>
                <w:bCs w:val="1"/>
                <w:color w:val="auto"/>
                <w:w w:val="90"/>
              </w:rPr>
              <w:t>(Zip Code)</w:t>
            </w:r>
          </w:p>
        </w:tc>
      </w:tr>
    </w:tbl>
    <w:p>
      <w:pPr>
        <w:spacing w:after="0" w:line="79"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Registrant’s telephone number, including area code: (604) 484-3300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137795</wp:posOffset>
            </wp:positionV>
            <wp:extent cx="144907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308" w:lineRule="exact"/>
        <w:rPr>
          <w:sz w:val="24"/>
          <w:szCs w:val="24"/>
          <w:color w:val="auto"/>
        </w:rPr>
      </w:pPr>
    </w:p>
    <w:p>
      <w:pPr>
        <w:ind w:right="240" w:firstLine="518"/>
        <w:spacing w:after="0" w:line="210"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88" w:lineRule="exact"/>
        <w:rPr>
          <w:sz w:val="24"/>
          <w:szCs w:val="24"/>
          <w:color w:val="auto"/>
        </w:rPr>
      </w:pPr>
    </w:p>
    <w:p>
      <w:pPr>
        <w:ind w:right="260" w:firstLine="518"/>
        <w:spacing w:after="0" w:line="210" w:lineRule="exact"/>
        <w:rPr>
          <w:sz w:val="20"/>
          <w:szCs w:val="20"/>
          <w:color w:val="auto"/>
        </w:rPr>
      </w:pPr>
      <w:r>
        <w:rPr>
          <w:rFonts w:ascii="Arial" w:cs="Arial" w:eastAsia="Arial" w:hAnsi="Arial"/>
          <w:sz w:val="16"/>
          <w:szCs w:val="16"/>
          <w:color w:val="auto"/>
        </w:rPr>
        <w:t xml:space="preserve">Indicate by check mark whether the registrant has submitted electronically and posted on its corporate Web site, if any, every Interactive Data File required to be submitted and posted pursuant to Rule 405 of Regulation S-T (§ 232.405 of this chapter) during the preceding 12 months (or for such shorter period that the registrant was required to submit and post such files).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88" w:lineRule="exact"/>
        <w:rPr>
          <w:sz w:val="24"/>
          <w:szCs w:val="24"/>
          <w:color w:val="auto"/>
        </w:rPr>
      </w:pPr>
    </w:p>
    <w:p>
      <w:pPr>
        <w:ind w:right="240" w:firstLine="518"/>
        <w:spacing w:after="0" w:line="287" w:lineRule="auto"/>
        <w:rPr>
          <w:sz w:val="20"/>
          <w:szCs w:val="20"/>
          <w:color w:val="auto"/>
        </w:rPr>
      </w:pPr>
      <w:r>
        <w:rPr>
          <w:rFonts w:ascii="Arial" w:cs="Arial" w:eastAsia="Arial" w:hAnsi="Arial"/>
          <w:sz w:val="16"/>
          <w:szCs w:val="16"/>
          <w:color w:val="auto"/>
        </w:rPr>
        <w:t>Indicate by check mark whether the registrant is a large accelerated filer, an accelerated filer, or a non-accelerated filer, smaller reporting company, or an emerging growth company. See the definitions of “large accelerated filer,” “accelerated filer,” “smaller reporting company,” and “emerging growth company” in Rule 12b-2 of the Exchange Act.</w:t>
      </w:r>
    </w:p>
    <w:p>
      <w:pPr>
        <w:spacing w:after="0" w:line="80" w:lineRule="exact"/>
        <w:rPr>
          <w:sz w:val="24"/>
          <w:szCs w:val="24"/>
          <w:color w:val="auto"/>
        </w:rPr>
      </w:pPr>
    </w:p>
    <w:tbl>
      <w:tblPr>
        <w:tblLayout w:type="fixed"/>
        <w:tblInd w:w="0" w:type="dxa"/>
        <w:tblCellMar>
          <w:top w:w="0" w:type="dxa"/>
          <w:left w:w="0" w:type="dxa"/>
          <w:bottom w:w="0" w:type="dxa"/>
          <w:right w:w="0" w:type="dxa"/>
        </w:tblCellMar>
      </w:tblPr>
      <w:tr>
        <w:trPr>
          <w:trHeight w:val="254"/>
        </w:trPr>
        <w:tc>
          <w:tcPr>
            <w:tcW w:w="202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5120" w:type="dxa"/>
            <w:vAlign w:val="bottom"/>
          </w:tcPr>
          <w:p>
            <w:pPr>
              <w:ind w:left="240"/>
              <w:spacing w:after="0" w:line="161" w:lineRule="exact"/>
              <w:rPr>
                <w:sz w:val="20"/>
                <w:szCs w:val="20"/>
                <w:color w:val="auto"/>
              </w:rPr>
            </w:pPr>
            <w:r>
              <w:rPr>
                <w:rFonts w:ascii="MS PGothic" w:cs="MS PGothic" w:eastAsia="MS PGothic" w:hAnsi="MS PGothic"/>
                <w:sz w:val="16"/>
                <w:szCs w:val="16"/>
                <w:color w:val="auto"/>
              </w:rPr>
              <w:t>☐</w:t>
            </w:r>
          </w:p>
        </w:tc>
        <w:tc>
          <w:tcPr>
            <w:tcW w:w="3720" w:type="dxa"/>
            <w:vAlign w:val="bottom"/>
          </w:tcPr>
          <w:p>
            <w:pPr>
              <w:ind w:left="1620"/>
              <w:spacing w:after="0"/>
              <w:rPr>
                <w:sz w:val="20"/>
                <w:szCs w:val="20"/>
                <w:color w:val="auto"/>
              </w:rPr>
            </w:pPr>
            <w:r>
              <w:rPr>
                <w:rFonts w:ascii="Arial" w:cs="Arial" w:eastAsia="Arial" w:hAnsi="Arial"/>
                <w:sz w:val="16"/>
                <w:szCs w:val="16"/>
                <w:color w:val="auto"/>
              </w:rPr>
              <w:t>Accelerated filer</w:t>
            </w:r>
          </w:p>
        </w:tc>
        <w:tc>
          <w:tcPr>
            <w:tcW w:w="460" w:type="dxa"/>
            <w:vAlign w:val="bottom"/>
          </w:tcPr>
          <w:p>
            <w:pPr>
              <w:ind w:left="32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59"/>
        </w:trPr>
        <w:tc>
          <w:tcPr>
            <w:tcW w:w="2020" w:type="dxa"/>
            <w:vAlign w:val="bottom"/>
          </w:tcPr>
          <w:p>
            <w:pPr>
              <w:spacing w:after="0"/>
              <w:rPr>
                <w:sz w:val="20"/>
                <w:szCs w:val="20"/>
                <w:color w:val="auto"/>
              </w:rPr>
            </w:pPr>
            <w:r>
              <w:rPr>
                <w:rFonts w:ascii="Arial" w:cs="Arial" w:eastAsia="Arial" w:hAnsi="Arial"/>
                <w:sz w:val="16"/>
                <w:szCs w:val="16"/>
                <w:color w:val="auto"/>
              </w:rPr>
              <w:t>Non-accelerated filer</w:t>
            </w:r>
          </w:p>
        </w:tc>
        <w:tc>
          <w:tcPr>
            <w:tcW w:w="5120" w:type="dxa"/>
            <w:vAlign w:val="bottom"/>
          </w:tcPr>
          <w:p>
            <w:pPr>
              <w:ind w:left="240"/>
              <w:spacing w:after="0" w:line="184"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color w:val="auto"/>
              </w:rPr>
              <w:t xml:space="preserve"> (Do not check if a smaller reporting company)</w:t>
            </w:r>
          </w:p>
        </w:tc>
        <w:tc>
          <w:tcPr>
            <w:tcW w:w="3720" w:type="dxa"/>
            <w:vAlign w:val="bottom"/>
          </w:tcPr>
          <w:p>
            <w:pPr>
              <w:ind w:left="1620"/>
              <w:spacing w:after="0"/>
              <w:rPr>
                <w:sz w:val="20"/>
                <w:szCs w:val="20"/>
                <w:color w:val="auto"/>
              </w:rPr>
            </w:pPr>
            <w:r>
              <w:rPr>
                <w:rFonts w:ascii="Arial" w:cs="Arial" w:eastAsia="Arial" w:hAnsi="Arial"/>
                <w:sz w:val="16"/>
                <w:szCs w:val="16"/>
                <w:color w:val="auto"/>
              </w:rPr>
              <w:t>Smaller reporting company</w:t>
            </w:r>
          </w:p>
        </w:tc>
        <w:tc>
          <w:tcPr>
            <w:tcW w:w="460" w:type="dxa"/>
            <w:vAlign w:val="bottom"/>
          </w:tcPr>
          <w:p>
            <w:pPr>
              <w:ind w:left="32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54"/>
        </w:trPr>
        <w:tc>
          <w:tcPr>
            <w:tcW w:w="2020" w:type="dxa"/>
            <w:vAlign w:val="bottom"/>
          </w:tcPr>
          <w:p>
            <w:pPr>
              <w:spacing w:after="0"/>
              <w:rPr>
                <w:sz w:val="20"/>
                <w:szCs w:val="20"/>
                <w:color w:val="auto"/>
              </w:rPr>
            </w:pPr>
            <w:r>
              <w:rPr>
                <w:rFonts w:ascii="Arial" w:cs="Arial" w:eastAsia="Arial" w:hAnsi="Arial"/>
                <w:sz w:val="16"/>
                <w:szCs w:val="16"/>
                <w:color w:val="auto"/>
              </w:rPr>
              <w:t>Emerging growth company</w:t>
            </w:r>
          </w:p>
        </w:tc>
        <w:tc>
          <w:tcPr>
            <w:tcW w:w="5120" w:type="dxa"/>
            <w:vAlign w:val="bottom"/>
          </w:tcPr>
          <w:p>
            <w:pPr>
              <w:ind w:left="240"/>
              <w:spacing w:after="0" w:line="161" w:lineRule="exact"/>
              <w:rPr>
                <w:sz w:val="20"/>
                <w:szCs w:val="20"/>
                <w:color w:val="auto"/>
              </w:rPr>
            </w:pPr>
            <w:r>
              <w:rPr>
                <w:rFonts w:ascii="MS PGothic" w:cs="MS PGothic" w:eastAsia="MS PGothic" w:hAnsi="MS PGothic"/>
                <w:sz w:val="16"/>
                <w:szCs w:val="16"/>
                <w:color w:val="auto"/>
              </w:rPr>
              <w:t>☒</w:t>
            </w:r>
          </w:p>
        </w:tc>
        <w:tc>
          <w:tcPr>
            <w:tcW w:w="3720" w:type="dxa"/>
            <w:vAlign w:val="bottom"/>
          </w:tcPr>
          <w:p>
            <w:pPr>
              <w:spacing w:after="0"/>
              <w:rPr>
                <w:sz w:val="22"/>
                <w:szCs w:val="22"/>
                <w:color w:val="auto"/>
              </w:rPr>
            </w:pPr>
          </w:p>
        </w:tc>
        <w:tc>
          <w:tcPr>
            <w:tcW w:w="460" w:type="dxa"/>
            <w:vAlign w:val="bottom"/>
          </w:tcPr>
          <w:p>
            <w:pPr>
              <w:spacing w:after="0"/>
              <w:rPr>
                <w:sz w:val="22"/>
                <w:szCs w:val="22"/>
                <w:color w:val="auto"/>
              </w:rPr>
            </w:pPr>
          </w:p>
        </w:tc>
      </w:tr>
    </w:tbl>
    <w:p>
      <w:pPr>
        <w:spacing w:after="0" w:line="100" w:lineRule="exact"/>
        <w:rPr>
          <w:sz w:val="24"/>
          <w:szCs w:val="24"/>
          <w:color w:val="auto"/>
        </w:rPr>
      </w:pPr>
    </w:p>
    <w:p>
      <w:pPr>
        <w:ind w:right="140" w:firstLine="516"/>
        <w:spacing w:after="0" w:line="214"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57" w:lineRule="exact"/>
        <w:rPr>
          <w:sz w:val="24"/>
          <w:szCs w:val="24"/>
          <w:color w:val="auto"/>
        </w:rPr>
      </w:pPr>
    </w:p>
    <w:p>
      <w:pPr>
        <w:ind w:right="2220" w:firstLine="518"/>
        <w:spacing w:after="0" w:line="273"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r>
        <w:rPr>
          <w:rFonts w:ascii="Arial" w:cs="Arial" w:eastAsia="Arial" w:hAnsi="Arial"/>
          <w:sz w:val="16"/>
          <w:szCs w:val="16"/>
          <w:color w:val="auto"/>
        </w:rPr>
        <w:t xml:space="preserve"> As of July 31, 2017, the registrant had 17,998,420 common shares, without par value,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99060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116205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617855</wp:posOffset>
            </wp:positionV>
            <wp:extent cx="728916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20"/>
          </w:cols>
          <w:pgMar w:left="240" w:top="409" w:right="339" w:bottom="1440" w:gutter="0" w:footer="0" w:header="0"/>
        </w:sectPr>
      </w:pPr>
    </w:p>
    <w:bookmarkStart w:id="1" w:name="page2"/>
    <w:bookmarkEnd w:id="1"/>
    <w:p>
      <w:pPr>
        <w:jc w:val="center"/>
        <w:ind w:right="-39"/>
        <w:spacing w:after="0"/>
        <w:rPr>
          <w:sz w:val="20"/>
          <w:szCs w:val="20"/>
          <w:color w:val="auto"/>
        </w:rPr>
      </w:pPr>
      <w:r>
        <w:rPr>
          <w:rFonts w:ascii="Arial" w:cs="Arial" w:eastAsia="Arial" w:hAnsi="Arial"/>
          <w:sz w:val="18"/>
          <w:szCs w:val="18"/>
          <w:b w:val="1"/>
          <w:bCs w:val="1"/>
          <w:color w:val="auto"/>
        </w:rPr>
        <w:t>XENON PHARMACEUTICALS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QUARTERLY REPORT ON FORM 10-Q</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FOR THE QUARTER ENDED JUNE 30, 2017</w:t>
      </w:r>
    </w:p>
    <w:p>
      <w:pPr>
        <w:spacing w:after="0" w:line="20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TABLE OF CONTENTS</w:t>
      </w: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gridSpan w:val="2"/>
          </w:tcPr>
          <w:p>
            <w:pPr>
              <w:jc w:val="right"/>
              <w:ind w:right="40"/>
              <w:spacing w:after="0"/>
              <w:rPr>
                <w:sz w:val="20"/>
                <w:szCs w:val="20"/>
                <w:color w:val="auto"/>
              </w:rPr>
            </w:pPr>
            <w:r>
              <w:rPr>
                <w:rFonts w:ascii="Arial" w:cs="Arial" w:eastAsia="Arial" w:hAnsi="Arial"/>
                <w:sz w:val="14"/>
                <w:szCs w:val="14"/>
                <w:b w:val="1"/>
                <w:bCs w:val="1"/>
                <w:color w:val="auto"/>
                <w:w w:val="83"/>
              </w:rPr>
              <w:t>Page</w:t>
            </w:r>
          </w:p>
        </w:tc>
      </w:tr>
      <w:tr>
        <w:trPr>
          <w:trHeight w:val="20"/>
        </w:trPr>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91"/>
        </w:trPr>
        <w:tc>
          <w:tcPr>
            <w:tcW w:w="2900" w:type="dxa"/>
            <w:vAlign w:val="bottom"/>
            <w:tcBorders>
              <w:bottom w:val="single" w:sz="8" w:color="0000EE"/>
            </w:tcBorders>
            <w:gridSpan w:val="13"/>
          </w:tcPr>
          <w:p>
            <w:pPr>
              <w:spacing w:after="0"/>
              <w:rPr>
                <w:rFonts w:ascii="Arial" w:cs="Arial" w:eastAsia="Arial" w:hAnsi="Arial"/>
                <w:sz w:val="18"/>
                <w:szCs w:val="18"/>
                <w:color w:val="0000EE"/>
                <w:w w:val="98"/>
              </w:rPr>
            </w:pPr>
            <w:hyperlink w:anchor="page3">
              <w:r>
                <w:rPr>
                  <w:rFonts w:ascii="Arial" w:cs="Arial" w:eastAsia="Arial" w:hAnsi="Arial"/>
                  <w:sz w:val="18"/>
                  <w:szCs w:val="18"/>
                  <w:color w:val="0000EE"/>
                  <w:w w:val="98"/>
                </w:rPr>
                <w:t>PART I. FINANCIAL INFORMATION</w:t>
              </w:r>
            </w:hyperlink>
          </w:p>
        </w:tc>
        <w:tc>
          <w:tcPr>
            <w:tcW w:w="7500" w:type="dxa"/>
            <w:vAlign w:val="bottom"/>
            <w:gridSpan w:val="8"/>
          </w:tcPr>
          <w:p>
            <w:pPr>
              <w:spacing w:after="0"/>
              <w:rPr>
                <w:sz w:val="24"/>
                <w:szCs w:val="24"/>
                <w:color w:val="auto"/>
              </w:rPr>
            </w:pPr>
          </w:p>
        </w:tc>
        <w:tc>
          <w:tcPr>
            <w:tcW w:w="580" w:type="dxa"/>
            <w:vAlign w:val="bottom"/>
          </w:tcPr>
          <w:p>
            <w:pPr>
              <w:spacing w:after="0"/>
              <w:rPr>
                <w:sz w:val="24"/>
                <w:szCs w:val="24"/>
                <w:color w:val="auto"/>
              </w:rPr>
            </w:pP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1</w:t>
            </w:r>
          </w:p>
        </w:tc>
      </w:tr>
      <w:tr>
        <w:trPr>
          <w:trHeight w:val="318"/>
        </w:trPr>
        <w:tc>
          <w:tcPr>
            <w:tcW w:w="440" w:type="dxa"/>
            <w:vAlign w:val="bottom"/>
          </w:tcPr>
          <w:p>
            <w:pPr>
              <w:spacing w:after="0"/>
              <w:rPr>
                <w:sz w:val="24"/>
                <w:szCs w:val="24"/>
                <w:color w:val="auto"/>
              </w:rPr>
            </w:pPr>
          </w:p>
        </w:tc>
        <w:tc>
          <w:tcPr>
            <w:tcW w:w="9960" w:type="dxa"/>
            <w:vAlign w:val="bottom"/>
            <w:gridSpan w:val="20"/>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Item 1. Financial Statements</w:t>
              </w:r>
            </w:hyperlink>
          </w:p>
        </w:tc>
        <w:tc>
          <w:tcPr>
            <w:tcW w:w="920" w:type="dxa"/>
            <w:vAlign w:val="bottom"/>
            <w:gridSpan w:val="3"/>
          </w:tcPr>
          <w:p>
            <w:pPr>
              <w:jc w:val="right"/>
              <w:spacing w:after="0"/>
              <w:rPr>
                <w:sz w:val="20"/>
                <w:szCs w:val="20"/>
                <w:color w:val="auto"/>
              </w:rPr>
            </w:pPr>
            <w:r>
              <w:rPr>
                <w:rFonts w:ascii="Arial" w:cs="Arial" w:eastAsia="Arial" w:hAnsi="Arial"/>
                <w:sz w:val="18"/>
                <w:szCs w:val="18"/>
                <w:color w:val="auto"/>
              </w:rPr>
              <w:t>1</w:t>
            </w:r>
          </w:p>
        </w:tc>
      </w:tr>
      <w:tr>
        <w:trPr>
          <w:trHeight w:val="20"/>
        </w:trPr>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20" w:type="dxa"/>
            <w:vAlign w:val="bottom"/>
            <w:gridSpan w:val="3"/>
          </w:tcPr>
          <w:p>
            <w:pPr>
              <w:spacing w:after="0" w:line="20" w:lineRule="exact"/>
              <w:rPr>
                <w:sz w:val="1"/>
                <w:szCs w:val="1"/>
                <w:color w:val="auto"/>
              </w:rPr>
            </w:pPr>
          </w:p>
        </w:tc>
      </w:tr>
      <w:tr>
        <w:trPr>
          <w:trHeight w:val="318"/>
        </w:trPr>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300" w:type="dxa"/>
            <w:vAlign w:val="bottom"/>
            <w:tcBorders>
              <w:bottom w:val="single" w:sz="8" w:color="0000EE"/>
            </w:tcBorders>
            <w:gridSpan w:val="13"/>
          </w:tcPr>
          <w:p>
            <w:pPr>
              <w:spacing w:after="0"/>
              <w:rPr>
                <w:rFonts w:ascii="Arial" w:cs="Arial" w:eastAsia="Arial" w:hAnsi="Arial"/>
                <w:sz w:val="18"/>
                <w:szCs w:val="18"/>
                <w:color w:val="0000EE"/>
                <w:w w:val="88"/>
              </w:rPr>
            </w:pPr>
            <w:hyperlink w:anchor="page3">
              <w:r>
                <w:rPr>
                  <w:rFonts w:ascii="Arial" w:cs="Arial" w:eastAsia="Arial" w:hAnsi="Arial"/>
                  <w:sz w:val="18"/>
                  <w:szCs w:val="18"/>
                  <w:color w:val="0000EE"/>
                  <w:w w:val="88"/>
                </w:rPr>
                <w:t>Consolidated Balance Sheets as of June 30, 2017 and December 31, 2016</w:t>
              </w:r>
            </w:hyperlink>
          </w:p>
        </w:tc>
        <w:tc>
          <w:tcPr>
            <w:tcW w:w="4260" w:type="dxa"/>
            <w:vAlign w:val="bottom"/>
            <w:gridSpan w:val="5"/>
          </w:tcPr>
          <w:p>
            <w:pPr>
              <w:spacing w:after="0"/>
              <w:rPr>
                <w:sz w:val="24"/>
                <w:szCs w:val="24"/>
                <w:color w:val="auto"/>
              </w:rPr>
            </w:pPr>
          </w:p>
        </w:tc>
        <w:tc>
          <w:tcPr>
            <w:tcW w:w="920" w:type="dxa"/>
            <w:vAlign w:val="bottom"/>
            <w:gridSpan w:val="3"/>
          </w:tcPr>
          <w:p>
            <w:pPr>
              <w:jc w:val="right"/>
              <w:spacing w:after="0"/>
              <w:rPr>
                <w:sz w:val="20"/>
                <w:szCs w:val="20"/>
                <w:color w:val="auto"/>
              </w:rPr>
            </w:pPr>
            <w:r>
              <w:rPr>
                <w:rFonts w:ascii="Arial" w:cs="Arial" w:eastAsia="Arial" w:hAnsi="Arial"/>
                <w:sz w:val="18"/>
                <w:szCs w:val="18"/>
                <w:color w:val="auto"/>
              </w:rPr>
              <w:t>1</w:t>
            </w:r>
          </w:p>
        </w:tc>
      </w:tr>
      <w:tr>
        <w:trPr>
          <w:trHeight w:val="318"/>
        </w:trPr>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980" w:type="dxa"/>
            <w:vAlign w:val="bottom"/>
            <w:tcBorders>
              <w:bottom w:val="single" w:sz="8" w:color="0000EE"/>
            </w:tcBorders>
            <w:gridSpan w:val="17"/>
          </w:tcPr>
          <w:p>
            <w:pPr>
              <w:spacing w:after="0"/>
              <w:rPr>
                <w:rFonts w:ascii="Arial" w:cs="Arial" w:eastAsia="Arial" w:hAnsi="Arial"/>
                <w:sz w:val="18"/>
                <w:szCs w:val="18"/>
                <w:color w:val="0000EE"/>
                <w:w w:val="89"/>
              </w:rPr>
            </w:pPr>
            <w:hyperlink w:anchor="page4">
              <w:r>
                <w:rPr>
                  <w:rFonts w:ascii="Arial" w:cs="Arial" w:eastAsia="Arial" w:hAnsi="Arial"/>
                  <w:sz w:val="18"/>
                  <w:szCs w:val="18"/>
                  <w:color w:val="0000EE"/>
                  <w:w w:val="89"/>
                </w:rPr>
                <w:t>Consolidated Statements of Operations and Comprehensive Loss for the three and six months ended June 30, 2017 and 2016</w:t>
              </w:r>
            </w:hyperlink>
          </w:p>
        </w:tc>
        <w:tc>
          <w:tcPr>
            <w:tcW w:w="580" w:type="dxa"/>
            <w:vAlign w:val="bottom"/>
          </w:tcPr>
          <w:p>
            <w:pPr>
              <w:spacing w:after="0"/>
              <w:rPr>
                <w:sz w:val="24"/>
                <w:szCs w:val="24"/>
                <w:color w:val="auto"/>
              </w:rPr>
            </w:pPr>
          </w:p>
        </w:tc>
        <w:tc>
          <w:tcPr>
            <w:tcW w:w="920" w:type="dxa"/>
            <w:vAlign w:val="bottom"/>
            <w:gridSpan w:val="3"/>
          </w:tcPr>
          <w:p>
            <w:pPr>
              <w:jc w:val="right"/>
              <w:spacing w:after="0"/>
              <w:rPr>
                <w:sz w:val="20"/>
                <w:szCs w:val="20"/>
                <w:color w:val="auto"/>
              </w:rPr>
            </w:pPr>
            <w:r>
              <w:rPr>
                <w:rFonts w:ascii="Arial" w:cs="Arial" w:eastAsia="Arial" w:hAnsi="Arial"/>
                <w:sz w:val="18"/>
                <w:szCs w:val="18"/>
                <w:color w:val="auto"/>
              </w:rPr>
              <w:t>2</w:t>
            </w:r>
          </w:p>
        </w:tc>
      </w:tr>
      <w:tr>
        <w:trPr>
          <w:trHeight w:val="318"/>
        </w:trPr>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360" w:type="dxa"/>
            <w:vAlign w:val="bottom"/>
            <w:tcBorders>
              <w:bottom w:val="single" w:sz="8" w:color="0000EE"/>
            </w:tcBorders>
            <w:gridSpan w:val="14"/>
          </w:tcPr>
          <w:p>
            <w:pPr>
              <w:spacing w:after="0"/>
              <w:rPr>
                <w:rFonts w:ascii="Arial" w:cs="Arial" w:eastAsia="Arial" w:hAnsi="Arial"/>
                <w:sz w:val="18"/>
                <w:szCs w:val="18"/>
                <w:color w:val="0000EE"/>
                <w:w w:val="90"/>
              </w:rPr>
            </w:pPr>
            <w:hyperlink w:anchor="page5">
              <w:r>
                <w:rPr>
                  <w:rFonts w:ascii="Arial" w:cs="Arial" w:eastAsia="Arial" w:hAnsi="Arial"/>
                  <w:sz w:val="18"/>
                  <w:szCs w:val="18"/>
                  <w:color w:val="0000EE"/>
                  <w:w w:val="90"/>
                </w:rPr>
                <w:t>Consolidated Statement of Shareholders’ Equity for the six months ended June 30, 2017</w:t>
              </w:r>
            </w:hyperlink>
          </w:p>
        </w:tc>
        <w:tc>
          <w:tcPr>
            <w:tcW w:w="3200" w:type="dxa"/>
            <w:vAlign w:val="bottom"/>
            <w:gridSpan w:val="4"/>
          </w:tcPr>
          <w:p>
            <w:pPr>
              <w:spacing w:after="0"/>
              <w:rPr>
                <w:sz w:val="24"/>
                <w:szCs w:val="24"/>
                <w:color w:val="auto"/>
              </w:rPr>
            </w:pPr>
          </w:p>
        </w:tc>
        <w:tc>
          <w:tcPr>
            <w:tcW w:w="920" w:type="dxa"/>
            <w:vAlign w:val="bottom"/>
            <w:gridSpan w:val="3"/>
          </w:tcPr>
          <w:p>
            <w:pPr>
              <w:jc w:val="right"/>
              <w:spacing w:after="0"/>
              <w:rPr>
                <w:sz w:val="20"/>
                <w:szCs w:val="20"/>
                <w:color w:val="auto"/>
              </w:rPr>
            </w:pPr>
            <w:r>
              <w:rPr>
                <w:rFonts w:ascii="Arial" w:cs="Arial" w:eastAsia="Arial" w:hAnsi="Arial"/>
                <w:sz w:val="18"/>
                <w:szCs w:val="18"/>
                <w:color w:val="auto"/>
              </w:rPr>
              <w:t>3</w:t>
            </w:r>
          </w:p>
        </w:tc>
      </w:tr>
      <w:tr>
        <w:trPr>
          <w:trHeight w:val="318"/>
        </w:trPr>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460" w:type="dxa"/>
            <w:vAlign w:val="bottom"/>
            <w:tcBorders>
              <w:bottom w:val="single" w:sz="8" w:color="0000EE"/>
            </w:tcBorders>
            <w:gridSpan w:val="15"/>
          </w:tcPr>
          <w:p>
            <w:pPr>
              <w:spacing w:after="0"/>
              <w:rPr>
                <w:rFonts w:ascii="Arial" w:cs="Arial" w:eastAsia="Arial" w:hAnsi="Arial"/>
                <w:sz w:val="18"/>
                <w:szCs w:val="18"/>
                <w:color w:val="0000EE"/>
                <w:w w:val="89"/>
              </w:rPr>
            </w:pPr>
            <w:hyperlink w:anchor="page6">
              <w:r>
                <w:rPr>
                  <w:rFonts w:ascii="Arial" w:cs="Arial" w:eastAsia="Arial" w:hAnsi="Arial"/>
                  <w:sz w:val="18"/>
                  <w:szCs w:val="18"/>
                  <w:color w:val="0000EE"/>
                  <w:w w:val="89"/>
                </w:rPr>
                <w:t>Consolidated Statements of Cash Flows for the six months ended June 30, 2017 and 2016</w:t>
              </w:r>
            </w:hyperlink>
          </w:p>
        </w:tc>
        <w:tc>
          <w:tcPr>
            <w:tcW w:w="3100" w:type="dxa"/>
            <w:vAlign w:val="bottom"/>
            <w:gridSpan w:val="3"/>
          </w:tcPr>
          <w:p>
            <w:pPr>
              <w:spacing w:after="0"/>
              <w:rPr>
                <w:sz w:val="24"/>
                <w:szCs w:val="24"/>
                <w:color w:val="auto"/>
              </w:rPr>
            </w:pPr>
          </w:p>
        </w:tc>
        <w:tc>
          <w:tcPr>
            <w:tcW w:w="920" w:type="dxa"/>
            <w:vAlign w:val="bottom"/>
            <w:gridSpan w:val="3"/>
          </w:tcPr>
          <w:p>
            <w:pPr>
              <w:jc w:val="right"/>
              <w:spacing w:after="0"/>
              <w:rPr>
                <w:sz w:val="20"/>
                <w:szCs w:val="20"/>
                <w:color w:val="auto"/>
              </w:rPr>
            </w:pPr>
            <w:r>
              <w:rPr>
                <w:rFonts w:ascii="Arial" w:cs="Arial" w:eastAsia="Arial" w:hAnsi="Arial"/>
                <w:sz w:val="18"/>
                <w:szCs w:val="18"/>
                <w:color w:val="auto"/>
              </w:rPr>
              <w:t>4</w:t>
            </w:r>
          </w:p>
        </w:tc>
      </w:tr>
      <w:tr>
        <w:trPr>
          <w:trHeight w:val="318"/>
        </w:trPr>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560" w:type="dxa"/>
            <w:vAlign w:val="bottom"/>
            <w:gridSpan w:val="18"/>
          </w:tcPr>
          <w:p>
            <w:pPr>
              <w:spacing w:after="0"/>
              <w:rPr>
                <w:rFonts w:ascii="Arial" w:cs="Arial" w:eastAsia="Arial" w:hAnsi="Arial"/>
                <w:sz w:val="18"/>
                <w:szCs w:val="18"/>
                <w:color w:val="0000EE"/>
              </w:rPr>
            </w:pPr>
            <w:hyperlink w:anchor="page7">
              <w:r>
                <w:rPr>
                  <w:rFonts w:ascii="Arial" w:cs="Arial" w:eastAsia="Arial" w:hAnsi="Arial"/>
                  <w:sz w:val="18"/>
                  <w:szCs w:val="18"/>
                  <w:color w:val="0000EE"/>
                </w:rPr>
                <w:t>Notes to Consolidated Financial Statements</w:t>
              </w:r>
            </w:hyperlink>
          </w:p>
        </w:tc>
        <w:tc>
          <w:tcPr>
            <w:tcW w:w="920" w:type="dxa"/>
            <w:vAlign w:val="bottom"/>
            <w:gridSpan w:val="3"/>
          </w:tcPr>
          <w:p>
            <w:pPr>
              <w:jc w:val="right"/>
              <w:spacing w:after="0"/>
              <w:rPr>
                <w:sz w:val="20"/>
                <w:szCs w:val="20"/>
                <w:color w:val="auto"/>
              </w:rPr>
            </w:pPr>
            <w:r>
              <w:rPr>
                <w:rFonts w:ascii="Arial" w:cs="Arial" w:eastAsia="Arial" w:hAnsi="Arial"/>
                <w:sz w:val="18"/>
                <w:szCs w:val="18"/>
                <w:color w:val="auto"/>
              </w:rPr>
              <w:t>5</w:t>
            </w:r>
          </w:p>
        </w:tc>
      </w:tr>
      <w:tr>
        <w:trPr>
          <w:trHeight w:val="20"/>
        </w:trPr>
        <w:tc>
          <w:tcPr>
            <w:tcW w:w="44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200" w:type="dxa"/>
            <w:vAlign w:val="bottom"/>
            <w:gridSpan w:val="2"/>
            <w:shd w:val="clear" w:color="auto" w:fill="0000EE"/>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140" w:type="dxa"/>
            <w:vAlign w:val="bottom"/>
            <w:gridSpan w:val="4"/>
          </w:tcPr>
          <w:p>
            <w:pPr>
              <w:spacing w:after="0" w:line="20" w:lineRule="exact"/>
              <w:rPr>
                <w:sz w:val="1"/>
                <w:szCs w:val="1"/>
                <w:color w:val="auto"/>
              </w:rPr>
            </w:pPr>
          </w:p>
        </w:tc>
        <w:tc>
          <w:tcPr>
            <w:tcW w:w="2900" w:type="dxa"/>
            <w:vAlign w:val="bottom"/>
            <w:gridSpan w:val="2"/>
          </w:tcPr>
          <w:p>
            <w:pPr>
              <w:spacing w:after="0" w:line="20" w:lineRule="exact"/>
              <w:rPr>
                <w:sz w:val="1"/>
                <w:szCs w:val="1"/>
                <w:color w:val="auto"/>
              </w:rPr>
            </w:pPr>
          </w:p>
        </w:tc>
        <w:tc>
          <w:tcPr>
            <w:tcW w:w="920" w:type="dxa"/>
            <w:vAlign w:val="bottom"/>
            <w:gridSpan w:val="3"/>
          </w:tcPr>
          <w:p>
            <w:pPr>
              <w:spacing w:after="0" w:line="20" w:lineRule="exact"/>
              <w:rPr>
                <w:sz w:val="1"/>
                <w:szCs w:val="1"/>
                <w:color w:val="auto"/>
              </w:rPr>
            </w:pPr>
          </w:p>
        </w:tc>
      </w:tr>
      <w:tr>
        <w:trPr>
          <w:trHeight w:val="318"/>
        </w:trPr>
        <w:tc>
          <w:tcPr>
            <w:tcW w:w="440" w:type="dxa"/>
            <w:vAlign w:val="bottom"/>
          </w:tcPr>
          <w:p>
            <w:pPr>
              <w:spacing w:after="0"/>
              <w:rPr>
                <w:sz w:val="24"/>
                <w:szCs w:val="24"/>
                <w:color w:val="auto"/>
              </w:rPr>
            </w:pPr>
          </w:p>
        </w:tc>
        <w:tc>
          <w:tcPr>
            <w:tcW w:w="9960" w:type="dxa"/>
            <w:vAlign w:val="bottom"/>
            <w:gridSpan w:val="20"/>
          </w:tcPr>
          <w:p>
            <w:pPr>
              <w:spacing w:after="0"/>
              <w:rPr>
                <w:rFonts w:ascii="Arial" w:cs="Arial" w:eastAsia="Arial" w:hAnsi="Arial"/>
                <w:sz w:val="18"/>
                <w:szCs w:val="18"/>
                <w:color w:val="0000EE"/>
              </w:rPr>
            </w:pPr>
            <w:hyperlink w:anchor="page12">
              <w:r>
                <w:rPr>
                  <w:rFonts w:ascii="Arial" w:cs="Arial" w:eastAsia="Arial" w:hAnsi="Arial"/>
                  <w:sz w:val="18"/>
                  <w:szCs w:val="18"/>
                  <w:color w:val="0000EE"/>
                </w:rPr>
                <w:t>Item 2. Management’s Discussion and Analysis of Financial Condition and Results Of Operations</w:t>
              </w:r>
            </w:hyperlink>
          </w:p>
        </w:tc>
        <w:tc>
          <w:tcPr>
            <w:tcW w:w="920" w:type="dxa"/>
            <w:vAlign w:val="bottom"/>
            <w:gridSpan w:val="3"/>
          </w:tcPr>
          <w:p>
            <w:pPr>
              <w:jc w:val="right"/>
              <w:spacing w:after="0"/>
              <w:rPr>
                <w:sz w:val="20"/>
                <w:szCs w:val="20"/>
                <w:color w:val="auto"/>
              </w:rPr>
            </w:pPr>
            <w:r>
              <w:rPr>
                <w:rFonts w:ascii="Arial" w:cs="Arial" w:eastAsia="Arial" w:hAnsi="Arial"/>
                <w:sz w:val="18"/>
                <w:szCs w:val="18"/>
                <w:color w:val="auto"/>
              </w:rPr>
              <w:t>10</w:t>
            </w:r>
          </w:p>
        </w:tc>
      </w:tr>
      <w:tr>
        <w:trPr>
          <w:trHeight w:val="318"/>
        </w:trPr>
        <w:tc>
          <w:tcPr>
            <w:tcW w:w="440" w:type="dxa"/>
            <w:vAlign w:val="bottom"/>
          </w:tcPr>
          <w:p>
            <w:pPr>
              <w:spacing w:after="0"/>
              <w:rPr>
                <w:sz w:val="24"/>
                <w:szCs w:val="24"/>
                <w:color w:val="auto"/>
              </w:rPr>
            </w:pPr>
          </w:p>
        </w:tc>
        <w:tc>
          <w:tcPr>
            <w:tcW w:w="540" w:type="dxa"/>
            <w:vAlign w:val="bottom"/>
            <w:tcBorders>
              <w:top w:val="single" w:sz="8" w:color="0000EE"/>
            </w:tcBorders>
            <w:gridSpan w:val="3"/>
          </w:tcPr>
          <w:p>
            <w:pPr>
              <w:spacing w:after="0"/>
              <w:rPr>
                <w:rFonts w:ascii="Arial" w:cs="Arial" w:eastAsia="Arial" w:hAnsi="Arial"/>
                <w:sz w:val="18"/>
                <w:szCs w:val="18"/>
                <w:color w:val="0000EE"/>
                <w:w w:val="94"/>
              </w:rPr>
            </w:pPr>
            <w:hyperlink w:anchor="page21">
              <w:r>
                <w:rPr>
                  <w:rFonts w:ascii="Arial" w:cs="Arial" w:eastAsia="Arial" w:hAnsi="Arial"/>
                  <w:sz w:val="18"/>
                  <w:szCs w:val="18"/>
                  <w:color w:val="0000EE"/>
                  <w:w w:val="94"/>
                </w:rPr>
                <w:t>Item 3.</w:t>
              </w:r>
            </w:hyperlink>
          </w:p>
        </w:tc>
        <w:tc>
          <w:tcPr>
            <w:tcW w:w="6520" w:type="dxa"/>
            <w:vAlign w:val="bottom"/>
            <w:tcBorders>
              <w:top w:val="single" w:sz="8" w:color="0000EE"/>
            </w:tcBorders>
            <w:gridSpan w:val="15"/>
          </w:tcPr>
          <w:p>
            <w:pPr>
              <w:ind w:left="20"/>
              <w:spacing w:after="0"/>
              <w:rPr>
                <w:rFonts w:ascii="Arial" w:cs="Arial" w:eastAsia="Arial" w:hAnsi="Arial"/>
                <w:sz w:val="18"/>
                <w:szCs w:val="18"/>
                <w:color w:val="0000EE"/>
              </w:rPr>
            </w:pPr>
            <w:hyperlink w:anchor="page21">
              <w:r>
                <w:rPr>
                  <w:rFonts w:ascii="Arial" w:cs="Arial" w:eastAsia="Arial" w:hAnsi="Arial"/>
                  <w:sz w:val="18"/>
                  <w:szCs w:val="18"/>
                  <w:color w:val="0000EE"/>
                </w:rPr>
                <w:t>Quantitative and Qualitative Disclosures About Market Risk</w:t>
              </w:r>
            </w:hyperlink>
          </w:p>
        </w:tc>
        <w:tc>
          <w:tcPr>
            <w:tcW w:w="2900" w:type="dxa"/>
            <w:vAlign w:val="bottom"/>
            <w:gridSpan w:val="2"/>
          </w:tcPr>
          <w:p>
            <w:pPr>
              <w:spacing w:after="0"/>
              <w:rPr>
                <w:sz w:val="24"/>
                <w:szCs w:val="24"/>
                <w:color w:val="auto"/>
              </w:rPr>
            </w:pPr>
          </w:p>
        </w:tc>
        <w:tc>
          <w:tcPr>
            <w:tcW w:w="920" w:type="dxa"/>
            <w:vAlign w:val="bottom"/>
            <w:gridSpan w:val="3"/>
          </w:tcPr>
          <w:p>
            <w:pPr>
              <w:jc w:val="right"/>
              <w:spacing w:after="0"/>
              <w:rPr>
                <w:sz w:val="20"/>
                <w:szCs w:val="20"/>
                <w:color w:val="auto"/>
              </w:rPr>
            </w:pPr>
            <w:r>
              <w:rPr>
                <w:rFonts w:ascii="Arial" w:cs="Arial" w:eastAsia="Arial" w:hAnsi="Arial"/>
                <w:sz w:val="18"/>
                <w:szCs w:val="18"/>
                <w:color w:val="auto"/>
              </w:rPr>
              <w:t>19</w:t>
            </w:r>
          </w:p>
        </w:tc>
      </w:tr>
      <w:tr>
        <w:trPr>
          <w:trHeight w:val="318"/>
        </w:trPr>
        <w:tc>
          <w:tcPr>
            <w:tcW w:w="440" w:type="dxa"/>
            <w:vAlign w:val="bottom"/>
          </w:tcPr>
          <w:p>
            <w:pPr>
              <w:spacing w:after="0"/>
              <w:rPr>
                <w:sz w:val="24"/>
                <w:szCs w:val="24"/>
                <w:color w:val="auto"/>
              </w:rPr>
            </w:pPr>
          </w:p>
        </w:tc>
        <w:tc>
          <w:tcPr>
            <w:tcW w:w="540" w:type="dxa"/>
            <w:vAlign w:val="bottom"/>
            <w:tcBorders>
              <w:top w:val="single" w:sz="8" w:color="0000EE"/>
            </w:tcBorders>
            <w:gridSpan w:val="3"/>
          </w:tcPr>
          <w:p>
            <w:pPr>
              <w:spacing w:after="0"/>
              <w:rPr>
                <w:rFonts w:ascii="Arial" w:cs="Arial" w:eastAsia="Arial" w:hAnsi="Arial"/>
                <w:sz w:val="18"/>
                <w:szCs w:val="18"/>
                <w:color w:val="0000EE"/>
                <w:w w:val="94"/>
              </w:rPr>
            </w:pPr>
            <w:hyperlink w:anchor="page22">
              <w:r>
                <w:rPr>
                  <w:rFonts w:ascii="Arial" w:cs="Arial" w:eastAsia="Arial" w:hAnsi="Arial"/>
                  <w:sz w:val="18"/>
                  <w:szCs w:val="18"/>
                  <w:color w:val="0000EE"/>
                  <w:w w:val="94"/>
                </w:rPr>
                <w:t>Item 4.</w:t>
              </w:r>
            </w:hyperlink>
          </w:p>
        </w:tc>
        <w:tc>
          <w:tcPr>
            <w:tcW w:w="4380" w:type="dxa"/>
            <w:vAlign w:val="bottom"/>
            <w:tcBorders>
              <w:top w:val="single" w:sz="8" w:color="0000EE"/>
            </w:tcBorders>
            <w:gridSpan w:val="11"/>
          </w:tcPr>
          <w:p>
            <w:pPr>
              <w:ind w:left="20"/>
              <w:spacing w:after="0"/>
              <w:rPr>
                <w:rFonts w:ascii="Arial" w:cs="Arial" w:eastAsia="Arial" w:hAnsi="Arial"/>
                <w:sz w:val="18"/>
                <w:szCs w:val="18"/>
                <w:color w:val="0000EE"/>
              </w:rPr>
            </w:pPr>
            <w:hyperlink w:anchor="page22">
              <w:r>
                <w:rPr>
                  <w:rFonts w:ascii="Arial" w:cs="Arial" w:eastAsia="Arial" w:hAnsi="Arial"/>
                  <w:sz w:val="18"/>
                  <w:szCs w:val="18"/>
                  <w:color w:val="0000EE"/>
                </w:rPr>
                <w:t>Controls and Procedures</w:t>
              </w:r>
            </w:hyperlink>
          </w:p>
        </w:tc>
        <w:tc>
          <w:tcPr>
            <w:tcW w:w="5040" w:type="dxa"/>
            <w:vAlign w:val="bottom"/>
            <w:gridSpan w:val="6"/>
          </w:tcPr>
          <w:p>
            <w:pPr>
              <w:spacing w:after="0"/>
              <w:rPr>
                <w:sz w:val="24"/>
                <w:szCs w:val="24"/>
                <w:color w:val="auto"/>
              </w:rPr>
            </w:pPr>
          </w:p>
        </w:tc>
        <w:tc>
          <w:tcPr>
            <w:tcW w:w="920" w:type="dxa"/>
            <w:vAlign w:val="bottom"/>
            <w:gridSpan w:val="3"/>
          </w:tcPr>
          <w:p>
            <w:pPr>
              <w:jc w:val="right"/>
              <w:spacing w:after="0"/>
              <w:rPr>
                <w:sz w:val="20"/>
                <w:szCs w:val="20"/>
                <w:color w:val="auto"/>
              </w:rPr>
            </w:pPr>
            <w:r>
              <w:rPr>
                <w:rFonts w:ascii="Arial" w:cs="Arial" w:eastAsia="Arial" w:hAnsi="Arial"/>
                <w:sz w:val="18"/>
                <w:szCs w:val="18"/>
                <w:color w:val="auto"/>
              </w:rPr>
              <w:t>20</w:t>
            </w:r>
          </w:p>
        </w:tc>
      </w:tr>
      <w:tr>
        <w:trPr>
          <w:trHeight w:val="20"/>
        </w:trPr>
        <w:tc>
          <w:tcPr>
            <w:tcW w:w="460" w:type="dxa"/>
            <w:vAlign w:val="bottom"/>
            <w:gridSpan w:val="2"/>
          </w:tcPr>
          <w:p>
            <w:pPr>
              <w:spacing w:after="0" w:line="20" w:lineRule="exact"/>
              <w:rPr>
                <w:sz w:val="1"/>
                <w:szCs w:val="1"/>
                <w:color w:val="auto"/>
              </w:rPr>
            </w:pPr>
          </w:p>
        </w:tc>
        <w:tc>
          <w:tcPr>
            <w:tcW w:w="640" w:type="dxa"/>
            <w:vAlign w:val="bottom"/>
            <w:gridSpan w:val="3"/>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7620" w:type="dxa"/>
            <w:vAlign w:val="bottom"/>
            <w:gridSpan w:val="9"/>
          </w:tcPr>
          <w:p>
            <w:pPr>
              <w:spacing w:after="0" w:line="20" w:lineRule="exact"/>
              <w:rPr>
                <w:sz w:val="1"/>
                <w:szCs w:val="1"/>
                <w:color w:val="auto"/>
              </w:rPr>
            </w:pPr>
          </w:p>
        </w:tc>
        <w:tc>
          <w:tcPr>
            <w:tcW w:w="920" w:type="dxa"/>
            <w:vAlign w:val="bottom"/>
            <w:gridSpan w:val="3"/>
          </w:tcPr>
          <w:p>
            <w:pPr>
              <w:spacing w:after="0" w:line="20" w:lineRule="exact"/>
              <w:rPr>
                <w:sz w:val="1"/>
                <w:szCs w:val="1"/>
                <w:color w:val="auto"/>
              </w:rPr>
            </w:pPr>
          </w:p>
        </w:tc>
      </w:tr>
      <w:tr>
        <w:trPr>
          <w:trHeight w:val="318"/>
        </w:trPr>
        <w:tc>
          <w:tcPr>
            <w:tcW w:w="10400" w:type="dxa"/>
            <w:vAlign w:val="bottom"/>
            <w:gridSpan w:val="21"/>
          </w:tcPr>
          <w:p>
            <w:pPr>
              <w:spacing w:after="0"/>
              <w:rPr>
                <w:rFonts w:ascii="Arial" w:cs="Arial" w:eastAsia="Arial" w:hAnsi="Arial"/>
                <w:sz w:val="18"/>
                <w:szCs w:val="18"/>
                <w:color w:val="0000EE"/>
              </w:rPr>
            </w:pPr>
            <w:hyperlink w:anchor="page22">
              <w:r>
                <w:rPr>
                  <w:rFonts w:ascii="Arial" w:cs="Arial" w:eastAsia="Arial" w:hAnsi="Arial"/>
                  <w:sz w:val="18"/>
                  <w:szCs w:val="18"/>
                  <w:color w:val="0000EE"/>
                </w:rPr>
                <w:t>PART II. OTHER INFORMATION</w:t>
              </w:r>
            </w:hyperlink>
          </w:p>
        </w:tc>
        <w:tc>
          <w:tcPr>
            <w:tcW w:w="920" w:type="dxa"/>
            <w:vAlign w:val="bottom"/>
            <w:gridSpan w:val="3"/>
          </w:tcPr>
          <w:p>
            <w:pPr>
              <w:jc w:val="right"/>
              <w:spacing w:after="0"/>
              <w:rPr>
                <w:sz w:val="20"/>
                <w:szCs w:val="20"/>
                <w:color w:val="auto"/>
              </w:rPr>
            </w:pPr>
            <w:r>
              <w:rPr>
                <w:rFonts w:ascii="Arial" w:cs="Arial" w:eastAsia="Arial" w:hAnsi="Arial"/>
                <w:sz w:val="18"/>
                <w:szCs w:val="18"/>
                <w:color w:val="auto"/>
              </w:rPr>
              <w:t>20</w:t>
            </w:r>
          </w:p>
        </w:tc>
      </w:tr>
      <w:tr>
        <w:trPr>
          <w:trHeight w:val="318"/>
        </w:trPr>
        <w:tc>
          <w:tcPr>
            <w:tcW w:w="440" w:type="dxa"/>
            <w:vAlign w:val="bottom"/>
            <w:tcBorders>
              <w:top w:val="single" w:sz="8" w:color="0000EE"/>
            </w:tcBorders>
          </w:tcPr>
          <w:p>
            <w:pPr>
              <w:spacing w:after="0"/>
              <w:rPr>
                <w:sz w:val="24"/>
                <w:szCs w:val="24"/>
                <w:color w:val="auto"/>
              </w:rPr>
            </w:pPr>
          </w:p>
        </w:tc>
        <w:tc>
          <w:tcPr>
            <w:tcW w:w="540" w:type="dxa"/>
            <w:vAlign w:val="bottom"/>
            <w:tcBorders>
              <w:top w:val="single" w:sz="8" w:color="0000EE"/>
              <w:bottom w:val="single" w:sz="8" w:color="0000EE"/>
            </w:tcBorders>
            <w:gridSpan w:val="3"/>
          </w:tcPr>
          <w:p>
            <w:pPr>
              <w:spacing w:after="0"/>
              <w:rPr>
                <w:rFonts w:ascii="Arial" w:cs="Arial" w:eastAsia="Arial" w:hAnsi="Arial"/>
                <w:sz w:val="18"/>
                <w:szCs w:val="18"/>
                <w:color w:val="0000EE"/>
                <w:w w:val="94"/>
              </w:rPr>
            </w:pPr>
            <w:hyperlink w:anchor="page22">
              <w:r>
                <w:rPr>
                  <w:rFonts w:ascii="Arial" w:cs="Arial" w:eastAsia="Arial" w:hAnsi="Arial"/>
                  <w:sz w:val="18"/>
                  <w:szCs w:val="18"/>
                  <w:color w:val="0000EE"/>
                  <w:w w:val="94"/>
                </w:rPr>
                <w:t>Item 1.</w:t>
              </w:r>
            </w:hyperlink>
          </w:p>
        </w:tc>
        <w:tc>
          <w:tcPr>
            <w:tcW w:w="1360" w:type="dxa"/>
            <w:vAlign w:val="bottom"/>
            <w:tcBorders>
              <w:top w:val="single" w:sz="8" w:color="0000EE"/>
              <w:bottom w:val="single" w:sz="8" w:color="0000EE"/>
            </w:tcBorders>
            <w:gridSpan w:val="5"/>
          </w:tcPr>
          <w:p>
            <w:pPr>
              <w:ind w:left="20"/>
              <w:spacing w:after="0"/>
              <w:rPr>
                <w:rFonts w:ascii="Arial" w:cs="Arial" w:eastAsia="Arial" w:hAnsi="Arial"/>
                <w:sz w:val="18"/>
                <w:szCs w:val="18"/>
                <w:color w:val="0000EE"/>
                <w:w w:val="88"/>
              </w:rPr>
            </w:pPr>
            <w:hyperlink w:anchor="page22">
              <w:r>
                <w:rPr>
                  <w:rFonts w:ascii="Arial" w:cs="Arial" w:eastAsia="Arial" w:hAnsi="Arial"/>
                  <w:sz w:val="18"/>
                  <w:szCs w:val="18"/>
                  <w:color w:val="0000EE"/>
                  <w:w w:val="88"/>
                </w:rPr>
                <w:t>Legal Proceedings</w:t>
              </w:r>
            </w:hyperlink>
          </w:p>
        </w:tc>
        <w:tc>
          <w:tcPr>
            <w:tcW w:w="240" w:type="dxa"/>
            <w:vAlign w:val="bottom"/>
            <w:tcBorders>
              <w:top w:val="single" w:sz="8" w:color="0000EE"/>
            </w:tcBorders>
            <w:gridSpan w:val="2"/>
          </w:tcPr>
          <w:p>
            <w:pPr>
              <w:spacing w:after="0"/>
              <w:rPr>
                <w:sz w:val="24"/>
                <w:szCs w:val="24"/>
                <w:color w:val="auto"/>
              </w:rPr>
            </w:pPr>
          </w:p>
        </w:tc>
        <w:tc>
          <w:tcPr>
            <w:tcW w:w="7820" w:type="dxa"/>
            <w:vAlign w:val="bottom"/>
            <w:gridSpan w:val="10"/>
          </w:tcPr>
          <w:p>
            <w:pPr>
              <w:spacing w:after="0"/>
              <w:rPr>
                <w:sz w:val="24"/>
                <w:szCs w:val="24"/>
                <w:color w:val="auto"/>
              </w:rPr>
            </w:pPr>
          </w:p>
        </w:tc>
        <w:tc>
          <w:tcPr>
            <w:tcW w:w="920" w:type="dxa"/>
            <w:vAlign w:val="bottom"/>
            <w:gridSpan w:val="3"/>
          </w:tcPr>
          <w:p>
            <w:pPr>
              <w:jc w:val="right"/>
              <w:spacing w:after="0"/>
              <w:rPr>
                <w:sz w:val="20"/>
                <w:szCs w:val="20"/>
                <w:color w:val="auto"/>
              </w:rPr>
            </w:pPr>
            <w:r>
              <w:rPr>
                <w:rFonts w:ascii="Arial" w:cs="Arial" w:eastAsia="Arial" w:hAnsi="Arial"/>
                <w:sz w:val="18"/>
                <w:szCs w:val="18"/>
                <w:color w:val="auto"/>
              </w:rPr>
              <w:t>20</w:t>
            </w:r>
          </w:p>
        </w:tc>
      </w:tr>
      <w:tr>
        <w:trPr>
          <w:trHeight w:val="318"/>
        </w:trPr>
        <w:tc>
          <w:tcPr>
            <w:tcW w:w="440" w:type="dxa"/>
            <w:vAlign w:val="bottom"/>
          </w:tcPr>
          <w:p>
            <w:pPr>
              <w:spacing w:after="0"/>
              <w:rPr>
                <w:sz w:val="24"/>
                <w:szCs w:val="24"/>
                <w:color w:val="auto"/>
              </w:rPr>
            </w:pPr>
          </w:p>
        </w:tc>
        <w:tc>
          <w:tcPr>
            <w:tcW w:w="1600" w:type="dxa"/>
            <w:vAlign w:val="bottom"/>
            <w:tcBorders>
              <w:bottom w:val="single" w:sz="8" w:color="0000EE"/>
            </w:tcBorders>
            <w:gridSpan w:val="7"/>
          </w:tcPr>
          <w:p>
            <w:pPr>
              <w:spacing w:after="0"/>
              <w:rPr>
                <w:rFonts w:ascii="Arial" w:cs="Arial" w:eastAsia="Arial" w:hAnsi="Arial"/>
                <w:sz w:val="18"/>
                <w:szCs w:val="18"/>
                <w:color w:val="0000EE"/>
                <w:w w:val="91"/>
              </w:rPr>
            </w:pPr>
            <w:hyperlink w:anchor="page22">
              <w:r>
                <w:rPr>
                  <w:rFonts w:ascii="Arial" w:cs="Arial" w:eastAsia="Arial" w:hAnsi="Arial"/>
                  <w:sz w:val="18"/>
                  <w:szCs w:val="18"/>
                  <w:color w:val="0000EE"/>
                  <w:w w:val="91"/>
                </w:rPr>
                <w:t>Item 1A. Risk Factors</w:t>
              </w:r>
            </w:hyperlink>
          </w:p>
        </w:tc>
        <w:tc>
          <w:tcPr>
            <w:tcW w:w="8360" w:type="dxa"/>
            <w:vAlign w:val="bottom"/>
            <w:gridSpan w:val="13"/>
          </w:tcPr>
          <w:p>
            <w:pPr>
              <w:spacing w:after="0"/>
              <w:rPr>
                <w:sz w:val="24"/>
                <w:szCs w:val="24"/>
                <w:color w:val="auto"/>
              </w:rPr>
            </w:pPr>
          </w:p>
        </w:tc>
        <w:tc>
          <w:tcPr>
            <w:tcW w:w="920" w:type="dxa"/>
            <w:vAlign w:val="bottom"/>
            <w:gridSpan w:val="3"/>
          </w:tcPr>
          <w:p>
            <w:pPr>
              <w:jc w:val="right"/>
              <w:spacing w:after="0"/>
              <w:rPr>
                <w:sz w:val="20"/>
                <w:szCs w:val="20"/>
                <w:color w:val="auto"/>
              </w:rPr>
            </w:pPr>
            <w:r>
              <w:rPr>
                <w:rFonts w:ascii="Arial" w:cs="Arial" w:eastAsia="Arial" w:hAnsi="Arial"/>
                <w:sz w:val="18"/>
                <w:szCs w:val="18"/>
                <w:color w:val="auto"/>
              </w:rPr>
              <w:t>20</w:t>
            </w:r>
          </w:p>
        </w:tc>
      </w:tr>
      <w:tr>
        <w:trPr>
          <w:trHeight w:val="318"/>
        </w:trPr>
        <w:tc>
          <w:tcPr>
            <w:tcW w:w="440" w:type="dxa"/>
            <w:vAlign w:val="bottom"/>
          </w:tcPr>
          <w:p>
            <w:pPr>
              <w:spacing w:after="0"/>
              <w:rPr>
                <w:sz w:val="24"/>
                <w:szCs w:val="24"/>
                <w:color w:val="auto"/>
              </w:rPr>
            </w:pPr>
          </w:p>
        </w:tc>
        <w:tc>
          <w:tcPr>
            <w:tcW w:w="540" w:type="dxa"/>
            <w:vAlign w:val="bottom"/>
            <w:gridSpan w:val="3"/>
          </w:tcPr>
          <w:p>
            <w:pPr>
              <w:spacing w:after="0"/>
              <w:rPr>
                <w:rFonts w:ascii="Arial" w:cs="Arial" w:eastAsia="Arial" w:hAnsi="Arial"/>
                <w:sz w:val="18"/>
                <w:szCs w:val="18"/>
                <w:color w:val="0000EE"/>
                <w:w w:val="94"/>
              </w:rPr>
            </w:pPr>
            <w:hyperlink w:anchor="page58">
              <w:r>
                <w:rPr>
                  <w:rFonts w:ascii="Arial" w:cs="Arial" w:eastAsia="Arial" w:hAnsi="Arial"/>
                  <w:sz w:val="18"/>
                  <w:szCs w:val="18"/>
                  <w:color w:val="0000EE"/>
                  <w:w w:val="94"/>
                </w:rPr>
                <w:t>Item 6.</w:t>
              </w:r>
            </w:hyperlink>
          </w:p>
        </w:tc>
        <w:tc>
          <w:tcPr>
            <w:tcW w:w="9420" w:type="dxa"/>
            <w:vAlign w:val="bottom"/>
            <w:gridSpan w:val="17"/>
          </w:tcPr>
          <w:p>
            <w:pPr>
              <w:ind w:left="20"/>
              <w:spacing w:after="0"/>
              <w:rPr>
                <w:rFonts w:ascii="Arial" w:cs="Arial" w:eastAsia="Arial" w:hAnsi="Arial"/>
                <w:sz w:val="18"/>
                <w:szCs w:val="18"/>
                <w:color w:val="0000EE"/>
              </w:rPr>
            </w:pPr>
            <w:hyperlink w:anchor="page58">
              <w:r>
                <w:rPr>
                  <w:rFonts w:ascii="Arial" w:cs="Arial" w:eastAsia="Arial" w:hAnsi="Arial"/>
                  <w:sz w:val="18"/>
                  <w:szCs w:val="18"/>
                  <w:color w:val="0000EE"/>
                </w:rPr>
                <w:t>Exhibits</w:t>
              </w:r>
            </w:hyperlink>
          </w:p>
        </w:tc>
        <w:tc>
          <w:tcPr>
            <w:tcW w:w="920" w:type="dxa"/>
            <w:vAlign w:val="bottom"/>
            <w:gridSpan w:val="3"/>
          </w:tcPr>
          <w:p>
            <w:pPr>
              <w:jc w:val="right"/>
              <w:spacing w:after="0"/>
              <w:rPr>
                <w:sz w:val="20"/>
                <w:szCs w:val="20"/>
                <w:color w:val="auto"/>
              </w:rPr>
            </w:pPr>
            <w:r>
              <w:rPr>
                <w:rFonts w:ascii="Arial" w:cs="Arial" w:eastAsia="Arial" w:hAnsi="Arial"/>
                <w:sz w:val="18"/>
                <w:szCs w:val="18"/>
                <w:color w:val="auto"/>
              </w:rPr>
              <w:t>56</w:t>
            </w:r>
          </w:p>
        </w:tc>
      </w:tr>
      <w:tr>
        <w:trPr>
          <w:trHeight w:val="20"/>
        </w:trPr>
        <w:tc>
          <w:tcPr>
            <w:tcW w:w="440" w:type="dxa"/>
            <w:vAlign w:val="bottom"/>
          </w:tcPr>
          <w:p>
            <w:pPr>
              <w:spacing w:after="0" w:line="20" w:lineRule="exact"/>
              <w:rPr>
                <w:sz w:val="1"/>
                <w:szCs w:val="1"/>
                <w:color w:val="auto"/>
              </w:rPr>
            </w:pPr>
          </w:p>
        </w:tc>
        <w:tc>
          <w:tcPr>
            <w:tcW w:w="660" w:type="dxa"/>
            <w:vAlign w:val="bottom"/>
            <w:gridSpan w:val="4"/>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800" w:type="dxa"/>
            <w:vAlign w:val="bottom"/>
            <w:gridSpan w:val="14"/>
          </w:tcPr>
          <w:p>
            <w:pPr>
              <w:spacing w:after="0" w:line="20" w:lineRule="exact"/>
              <w:rPr>
                <w:sz w:val="1"/>
                <w:szCs w:val="1"/>
                <w:color w:val="auto"/>
              </w:rPr>
            </w:pPr>
          </w:p>
        </w:tc>
        <w:tc>
          <w:tcPr>
            <w:tcW w:w="920" w:type="dxa"/>
            <w:vAlign w:val="bottom"/>
            <w:gridSpan w:val="3"/>
          </w:tcPr>
          <w:p>
            <w:pPr>
              <w:spacing w:after="0" w:line="20" w:lineRule="exact"/>
              <w:rPr>
                <w:sz w:val="1"/>
                <w:szCs w:val="1"/>
                <w:color w:val="auto"/>
              </w:rPr>
            </w:pPr>
          </w:p>
        </w:tc>
      </w:tr>
      <w:tr>
        <w:trPr>
          <w:trHeight w:val="318"/>
        </w:trPr>
        <w:tc>
          <w:tcPr>
            <w:tcW w:w="10400" w:type="dxa"/>
            <w:vAlign w:val="bottom"/>
            <w:gridSpan w:val="21"/>
          </w:tcPr>
          <w:p>
            <w:pPr>
              <w:spacing w:after="0"/>
              <w:rPr>
                <w:rFonts w:ascii="Arial" w:cs="Arial" w:eastAsia="Arial" w:hAnsi="Arial"/>
                <w:sz w:val="18"/>
                <w:szCs w:val="18"/>
                <w:color w:val="0000EE"/>
              </w:rPr>
            </w:pPr>
            <w:hyperlink w:anchor="page59">
              <w:r>
                <w:rPr>
                  <w:rFonts w:ascii="Arial" w:cs="Arial" w:eastAsia="Arial" w:hAnsi="Arial"/>
                  <w:sz w:val="18"/>
                  <w:szCs w:val="18"/>
                  <w:color w:val="0000EE"/>
                </w:rPr>
                <w:t>SIGNATURES</w:t>
              </w:r>
            </w:hyperlink>
          </w:p>
        </w:tc>
        <w:tc>
          <w:tcPr>
            <w:tcW w:w="920" w:type="dxa"/>
            <w:vAlign w:val="bottom"/>
            <w:gridSpan w:val="3"/>
          </w:tcPr>
          <w:p>
            <w:pPr>
              <w:jc w:val="right"/>
              <w:spacing w:after="0"/>
              <w:rPr>
                <w:sz w:val="20"/>
                <w:szCs w:val="20"/>
                <w:color w:val="auto"/>
              </w:rPr>
            </w:pPr>
            <w:r>
              <w:rPr>
                <w:rFonts w:ascii="Arial" w:cs="Arial" w:eastAsia="Arial" w:hAnsi="Arial"/>
                <w:sz w:val="18"/>
                <w:szCs w:val="18"/>
                <w:color w:val="auto"/>
              </w:rPr>
              <w:t>57</w:t>
            </w:r>
          </w:p>
        </w:tc>
      </w:tr>
      <w:tr>
        <w:trPr>
          <w:trHeight w:val="20"/>
        </w:trPr>
        <w:tc>
          <w:tcPr>
            <w:tcW w:w="1100" w:type="dxa"/>
            <w:vAlign w:val="bottom"/>
            <w:gridSpan w:val="5"/>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60" w:type="dxa"/>
            <w:vAlign w:val="bottom"/>
            <w:gridSpan w:val="15"/>
          </w:tcPr>
          <w:p>
            <w:pPr>
              <w:spacing w:after="0" w:line="20" w:lineRule="exact"/>
              <w:rPr>
                <w:sz w:val="1"/>
                <w:szCs w:val="1"/>
                <w:color w:val="auto"/>
              </w:rPr>
            </w:pPr>
          </w:p>
        </w:tc>
        <w:tc>
          <w:tcPr>
            <w:tcW w:w="920" w:type="dxa"/>
            <w:vAlign w:val="bottom"/>
            <w:gridSpan w:val="3"/>
          </w:tcPr>
          <w:p>
            <w:pPr>
              <w:spacing w:after="0" w:line="20" w:lineRule="exact"/>
              <w:rPr>
                <w:sz w:val="1"/>
                <w:szCs w:val="1"/>
                <w:color w:val="auto"/>
              </w:rPr>
            </w:pPr>
          </w:p>
        </w:tc>
      </w:tr>
      <w:tr>
        <w:trPr>
          <w:trHeight w:val="318"/>
        </w:trPr>
        <w:tc>
          <w:tcPr>
            <w:tcW w:w="1340" w:type="dxa"/>
            <w:vAlign w:val="bottom"/>
            <w:tcBorders>
              <w:bottom w:val="single" w:sz="8" w:color="0000EE"/>
            </w:tcBorders>
            <w:gridSpan w:val="6"/>
          </w:tcPr>
          <w:p>
            <w:pPr>
              <w:spacing w:after="0"/>
              <w:rPr>
                <w:rFonts w:ascii="Arial" w:cs="Arial" w:eastAsia="Arial" w:hAnsi="Arial"/>
                <w:sz w:val="18"/>
                <w:szCs w:val="18"/>
                <w:color w:val="0000EE"/>
              </w:rPr>
            </w:pPr>
            <w:hyperlink w:anchor="page60">
              <w:r>
                <w:rPr>
                  <w:rFonts w:ascii="Arial" w:cs="Arial" w:eastAsia="Arial" w:hAnsi="Arial"/>
                  <w:sz w:val="18"/>
                  <w:szCs w:val="18"/>
                  <w:color w:val="0000EE"/>
                </w:rPr>
                <w:t>EXHIBIT INDEX</w:t>
              </w:r>
            </w:hyperlink>
          </w:p>
        </w:tc>
        <w:tc>
          <w:tcPr>
            <w:tcW w:w="9060" w:type="dxa"/>
            <w:vAlign w:val="bottom"/>
            <w:gridSpan w:val="15"/>
          </w:tcPr>
          <w:p>
            <w:pPr>
              <w:spacing w:after="0"/>
              <w:rPr>
                <w:sz w:val="24"/>
                <w:szCs w:val="24"/>
                <w:color w:val="auto"/>
              </w:rPr>
            </w:pPr>
          </w:p>
        </w:tc>
        <w:tc>
          <w:tcPr>
            <w:tcW w:w="920" w:type="dxa"/>
            <w:vAlign w:val="bottom"/>
            <w:gridSpan w:val="3"/>
          </w:tcPr>
          <w:p>
            <w:pPr>
              <w:jc w:val="right"/>
              <w:spacing w:after="0"/>
              <w:rPr>
                <w:sz w:val="20"/>
                <w:szCs w:val="20"/>
                <w:color w:val="auto"/>
              </w:rPr>
            </w:pPr>
            <w:r>
              <w:rPr>
                <w:rFonts w:ascii="Arial" w:cs="Arial" w:eastAsia="Arial" w:hAnsi="Arial"/>
                <w:sz w:val="18"/>
                <w:szCs w:val="18"/>
                <w:color w:val="auto"/>
              </w:rPr>
              <w:t>58</w:t>
            </w:r>
          </w:p>
        </w:tc>
      </w:tr>
    </w:tbl>
    <w:p>
      <w:pPr>
        <w:spacing w:after="0" w:line="200" w:lineRule="exact"/>
        <w:rPr>
          <w:sz w:val="20"/>
          <w:szCs w:val="20"/>
          <w:color w:val="auto"/>
        </w:rPr>
      </w:pPr>
    </w:p>
    <w:p>
      <w:pPr>
        <w:spacing w:after="0" w:line="245"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In this Quarterly Report on Form 10-Q, “we,” “our,” “us,” “Xenon,” and “the Company” refer to Xenon Pharmaceuticals Inc. and its subsidiary. “Xenon,” the Xenon logo and “Extreme Genetics” are the property of Xenon Pharmaceuticals Inc. and are registered in the United States and used or registered in various other jurisdictions. This report contains references to our trademarks and to trademarks belonging to other entities. Solely for convenience, trademarks and trade names referred to in this report may appear without the ® or ™ symbols, but such references are not intended to indicate, in any way, that their respective owners will not assert, to the fullest extent under applicable law, their rights thereto. We do not intend our use or display of other companies’ trade names or trademarks to imply a relationship with, or endorsement or sponsorship of us by, any other companies.</w:t>
      </w:r>
    </w:p>
    <w:p>
      <w:pPr>
        <w:spacing w:after="0" w:line="200" w:lineRule="exact"/>
        <w:rPr>
          <w:sz w:val="20"/>
          <w:szCs w:val="20"/>
          <w:color w:val="auto"/>
        </w:rPr>
      </w:pPr>
    </w:p>
    <w:p>
      <w:pPr>
        <w:spacing w:after="0" w:line="22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135" w:right="27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PART I. FINANCIAL INFORMATION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Item 1. Financial Statements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XENON PHARMACEUTICALS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Consolidated Balance Sheets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(Expressed in thousands of U.S. dollars except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7804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8040" cy="8890"/>
                    </a:xfrm>
                    <a:prstGeom prst="rect">
                      <a:avLst/>
                    </a:prstGeom>
                    <a:noFill/>
                  </pic:spPr>
                </pic:pic>
              </a:graphicData>
            </a:graphic>
          </wp:anchor>
        </w:drawing>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664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38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rPr>
              <w:t>June 30,</w:t>
            </w:r>
          </w:p>
        </w:tc>
        <w:tc>
          <w:tcPr>
            <w:tcW w:w="400" w:type="dxa"/>
            <w:vAlign w:val="bottom"/>
          </w:tcPr>
          <w:p>
            <w:pPr>
              <w:spacing w:after="0"/>
              <w:rPr>
                <w:sz w:val="14"/>
                <w:szCs w:val="14"/>
                <w:color w:val="auto"/>
              </w:rPr>
            </w:pPr>
          </w:p>
        </w:tc>
        <w:tc>
          <w:tcPr>
            <w:tcW w:w="146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64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FF0FC"/>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right"/>
              <w:ind w:right="572"/>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6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152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640" w:type="dxa"/>
            <w:vAlign w:val="bottom"/>
          </w:tcPr>
          <w:p>
            <w:pPr>
              <w:spacing w:after="0"/>
              <w:rPr>
                <w:sz w:val="20"/>
                <w:szCs w:val="20"/>
                <w:color w:val="auto"/>
              </w:rPr>
            </w:pPr>
            <w:r>
              <w:rPr>
                <w:rFonts w:ascii="Arial" w:cs="Arial" w:eastAsia="Arial" w:hAnsi="Arial"/>
                <w:sz w:val="18"/>
                <w:szCs w:val="18"/>
                <w:color w:val="auto"/>
              </w:rPr>
              <w:t>Current assets:</w:t>
            </w:r>
          </w:p>
        </w:tc>
        <w:tc>
          <w:tcPr>
            <w:tcW w:w="15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640" w:type="dxa"/>
            <w:vAlign w:val="bottom"/>
            <w:shd w:val="clear" w:color="auto" w:fill="CFF0FC"/>
          </w:tcPr>
          <w:p>
            <w:pPr>
              <w:ind w:left="480"/>
              <w:spacing w:after="0"/>
              <w:rPr>
                <w:sz w:val="20"/>
                <w:szCs w:val="20"/>
                <w:color w:val="auto"/>
              </w:rPr>
            </w:pPr>
            <w:r>
              <w:rPr>
                <w:rFonts w:ascii="Arial" w:cs="Arial" w:eastAsia="Arial" w:hAnsi="Arial"/>
                <w:sz w:val="18"/>
                <w:szCs w:val="18"/>
                <w:color w:val="auto"/>
              </w:rPr>
              <w:t>Cash and cash equivalents</w:t>
            </w:r>
          </w:p>
        </w:tc>
        <w:tc>
          <w:tcPr>
            <w:tcW w:w="152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23,090</w:t>
            </w:r>
          </w:p>
        </w:tc>
        <w:tc>
          <w:tcPr>
            <w:tcW w:w="120" w:type="dxa"/>
            <w:vAlign w:val="bottom"/>
            <w:shd w:val="clear" w:color="auto" w:fill="CFF0FC"/>
          </w:tcPr>
          <w:p>
            <w:pPr>
              <w:spacing w:after="0"/>
              <w:rPr>
                <w:sz w:val="19"/>
                <w:szCs w:val="19"/>
                <w:color w:val="auto"/>
              </w:rPr>
            </w:pPr>
          </w:p>
        </w:tc>
        <w:tc>
          <w:tcPr>
            <w:tcW w:w="40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17,095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640" w:type="dxa"/>
            <w:vAlign w:val="bottom"/>
          </w:tcPr>
          <w:p>
            <w:pPr>
              <w:ind w:left="480"/>
              <w:spacing w:after="0"/>
              <w:rPr>
                <w:sz w:val="20"/>
                <w:szCs w:val="20"/>
                <w:color w:val="auto"/>
              </w:rPr>
            </w:pPr>
            <w:r>
              <w:rPr>
                <w:rFonts w:ascii="Arial" w:cs="Arial" w:eastAsia="Arial" w:hAnsi="Arial"/>
                <w:sz w:val="18"/>
                <w:szCs w:val="18"/>
                <w:color w:val="auto"/>
              </w:rPr>
              <w:t>Marketable securities</w:t>
            </w:r>
          </w:p>
        </w:tc>
        <w:tc>
          <w:tcPr>
            <w:tcW w:w="15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28,606</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47,051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640" w:type="dxa"/>
            <w:vAlign w:val="bottom"/>
            <w:shd w:val="clear" w:color="auto" w:fill="CFF0FC"/>
          </w:tcPr>
          <w:p>
            <w:pPr>
              <w:ind w:left="480"/>
              <w:spacing w:after="0"/>
              <w:rPr>
                <w:sz w:val="20"/>
                <w:szCs w:val="20"/>
                <w:color w:val="auto"/>
              </w:rPr>
            </w:pPr>
            <w:r>
              <w:rPr>
                <w:rFonts w:ascii="Arial" w:cs="Arial" w:eastAsia="Arial" w:hAnsi="Arial"/>
                <w:sz w:val="18"/>
                <w:szCs w:val="18"/>
                <w:color w:val="auto"/>
              </w:rPr>
              <w:t>Accounts receivable</w:t>
            </w:r>
          </w:p>
        </w:tc>
        <w:tc>
          <w:tcPr>
            <w:tcW w:w="152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198</w:t>
            </w:r>
          </w:p>
        </w:tc>
        <w:tc>
          <w:tcPr>
            <w:tcW w:w="12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640" w:type="dxa"/>
            <w:vAlign w:val="bottom"/>
            <w:tcBorders>
              <w:bottom w:val="single" w:sz="8" w:color="auto"/>
            </w:tcBorders>
          </w:tcPr>
          <w:p>
            <w:pPr>
              <w:ind w:left="480"/>
              <w:spacing w:after="0"/>
              <w:rPr>
                <w:sz w:val="20"/>
                <w:szCs w:val="20"/>
                <w:color w:val="auto"/>
              </w:rPr>
            </w:pPr>
            <w:r>
              <w:rPr>
                <w:rFonts w:ascii="Arial" w:cs="Arial" w:eastAsia="Arial" w:hAnsi="Arial"/>
                <w:sz w:val="18"/>
                <w:szCs w:val="18"/>
                <w:color w:val="auto"/>
              </w:rPr>
              <w:t>Prepaid expenses and other current assets</w:t>
            </w:r>
          </w:p>
        </w:tc>
        <w:tc>
          <w:tcPr>
            <w:tcW w:w="15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739</w:t>
            </w:r>
          </w:p>
        </w:tc>
        <w:tc>
          <w:tcPr>
            <w:tcW w:w="120" w:type="dxa"/>
            <w:vAlign w:val="bottom"/>
            <w:tcBorders>
              <w:bottom w:val="single" w:sz="8" w:color="CFF0FC"/>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1,329</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640" w:type="dxa"/>
            <w:vAlign w:val="bottom"/>
            <w:shd w:val="clear" w:color="auto" w:fill="CFF0FC"/>
          </w:tcPr>
          <w:p>
            <w:pPr>
              <w:spacing w:after="0"/>
              <w:rPr>
                <w:sz w:val="19"/>
                <w:szCs w:val="19"/>
                <w:color w:val="auto"/>
              </w:rPr>
            </w:pPr>
          </w:p>
        </w:tc>
        <w:tc>
          <w:tcPr>
            <w:tcW w:w="152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52,633</w:t>
            </w:r>
          </w:p>
        </w:tc>
        <w:tc>
          <w:tcPr>
            <w:tcW w:w="12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65,675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640" w:type="dxa"/>
            <w:vAlign w:val="bottom"/>
          </w:tcPr>
          <w:p>
            <w:pPr>
              <w:spacing w:after="0"/>
              <w:rPr>
                <w:sz w:val="20"/>
                <w:szCs w:val="20"/>
                <w:color w:val="auto"/>
              </w:rPr>
            </w:pPr>
            <w:r>
              <w:rPr>
                <w:rFonts w:ascii="Arial" w:cs="Arial" w:eastAsia="Arial" w:hAnsi="Arial"/>
                <w:sz w:val="18"/>
                <w:szCs w:val="18"/>
                <w:color w:val="auto"/>
              </w:rPr>
              <w:t>Prepaid expenses, long term</w:t>
            </w:r>
          </w:p>
        </w:tc>
        <w:tc>
          <w:tcPr>
            <w:tcW w:w="15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285</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408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64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Property, plant and equipment, net</w:t>
            </w:r>
          </w:p>
        </w:tc>
        <w:tc>
          <w:tcPr>
            <w:tcW w:w="1520" w:type="dxa"/>
            <w:vAlign w:val="bottom"/>
            <w:tcBorders>
              <w:bottom w:val="single" w:sz="8" w:color="auto"/>
            </w:tcBorders>
            <w:shd w:val="clear" w:color="auto" w:fill="CFF0FC"/>
          </w:tcPr>
          <w:p>
            <w:pPr>
              <w:spacing w:after="0"/>
              <w:rPr>
                <w:sz w:val="19"/>
                <w:szCs w:val="19"/>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1,308</w:t>
            </w:r>
          </w:p>
        </w:tc>
        <w:tc>
          <w:tcPr>
            <w:tcW w:w="120" w:type="dxa"/>
            <w:vAlign w:val="bottom"/>
            <w:shd w:val="clear" w:color="auto" w:fill="CFF0FC"/>
          </w:tcPr>
          <w:p>
            <w:pPr>
              <w:spacing w:after="0"/>
              <w:rPr>
                <w:sz w:val="19"/>
                <w:szCs w:val="19"/>
                <w:color w:val="auto"/>
              </w:rPr>
            </w:pPr>
          </w:p>
        </w:tc>
        <w:tc>
          <w:tcPr>
            <w:tcW w:w="40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1,404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66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Total assets</w:t>
            </w:r>
          </w:p>
        </w:tc>
        <w:tc>
          <w:tcPr>
            <w:tcW w:w="15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54,226</w:t>
            </w:r>
          </w:p>
        </w:tc>
        <w:tc>
          <w:tcPr>
            <w:tcW w:w="120" w:type="dxa"/>
            <w:vAlign w:val="bottom"/>
            <w:tcBorders>
              <w:bottom w:val="single" w:sz="8" w:color="CFF0FC"/>
            </w:tcBorders>
          </w:tcPr>
          <w:p>
            <w:pPr>
              <w:spacing w:after="0"/>
              <w:rPr>
                <w:sz w:val="22"/>
                <w:szCs w:val="22"/>
                <w:color w:val="auto"/>
              </w:rPr>
            </w:pPr>
          </w:p>
        </w:tc>
        <w:tc>
          <w:tcPr>
            <w:tcW w:w="4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67,487</w:t>
            </w:r>
          </w:p>
        </w:tc>
        <w:tc>
          <w:tcPr>
            <w:tcW w:w="10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640" w:type="dxa"/>
            <w:vAlign w:val="bottom"/>
            <w:shd w:val="clear" w:color="auto" w:fill="CFF0FC"/>
          </w:tcPr>
          <w:p>
            <w:pPr>
              <w:spacing w:after="0"/>
              <w:rPr>
                <w:sz w:val="18"/>
                <w:szCs w:val="18"/>
                <w:color w:val="auto"/>
              </w:rPr>
            </w:pPr>
          </w:p>
        </w:tc>
        <w:tc>
          <w:tcPr>
            <w:tcW w:w="152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6640" w:type="dxa"/>
            <w:vAlign w:val="bottom"/>
          </w:tcPr>
          <w:p>
            <w:pPr>
              <w:spacing w:after="0"/>
              <w:rPr>
                <w:sz w:val="20"/>
                <w:szCs w:val="20"/>
                <w:color w:val="auto"/>
              </w:rPr>
            </w:pPr>
            <w:r>
              <w:rPr>
                <w:rFonts w:ascii="Arial" w:cs="Arial" w:eastAsia="Arial" w:hAnsi="Arial"/>
                <w:sz w:val="18"/>
                <w:szCs w:val="18"/>
                <w:b w:val="1"/>
                <w:bCs w:val="1"/>
                <w:color w:val="auto"/>
              </w:rPr>
              <w:t>Liabilities and shareholders’ equity</w:t>
            </w:r>
          </w:p>
        </w:tc>
        <w:tc>
          <w:tcPr>
            <w:tcW w:w="15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640" w:type="dxa"/>
            <w:vAlign w:val="bottom"/>
            <w:shd w:val="clear" w:color="auto" w:fill="CFF0FC"/>
          </w:tcPr>
          <w:p>
            <w:pPr>
              <w:spacing w:after="0"/>
              <w:rPr>
                <w:sz w:val="20"/>
                <w:szCs w:val="20"/>
                <w:color w:val="auto"/>
              </w:rPr>
            </w:pPr>
            <w:r>
              <w:rPr>
                <w:rFonts w:ascii="Arial" w:cs="Arial" w:eastAsia="Arial" w:hAnsi="Arial"/>
                <w:sz w:val="18"/>
                <w:szCs w:val="18"/>
                <w:color w:val="auto"/>
              </w:rPr>
              <w:t>Current liabilities:</w:t>
            </w:r>
          </w:p>
        </w:tc>
        <w:tc>
          <w:tcPr>
            <w:tcW w:w="152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640" w:type="dxa"/>
            <w:vAlign w:val="bottom"/>
            <w:tcBorders>
              <w:bottom w:val="single" w:sz="8" w:color="auto"/>
            </w:tcBorders>
          </w:tcPr>
          <w:p>
            <w:pPr>
              <w:ind w:left="480"/>
              <w:spacing w:after="0"/>
              <w:rPr>
                <w:sz w:val="20"/>
                <w:szCs w:val="20"/>
                <w:color w:val="auto"/>
              </w:rPr>
            </w:pPr>
            <w:r>
              <w:rPr>
                <w:rFonts w:ascii="Arial" w:cs="Arial" w:eastAsia="Arial" w:hAnsi="Arial"/>
                <w:sz w:val="18"/>
                <w:szCs w:val="18"/>
                <w:color w:val="auto"/>
              </w:rPr>
              <w:t>Accounts payable and accrued expenses (note 6)</w:t>
            </w:r>
          </w:p>
        </w:tc>
        <w:tc>
          <w:tcPr>
            <w:tcW w:w="15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3,774</w:t>
            </w:r>
          </w:p>
        </w:tc>
        <w:tc>
          <w:tcPr>
            <w:tcW w:w="120" w:type="dxa"/>
            <w:vAlign w:val="bottom"/>
            <w:tcBorders>
              <w:bottom w:val="single" w:sz="8" w:color="CFF0FC"/>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3,586</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640" w:type="dxa"/>
            <w:vAlign w:val="bottom"/>
            <w:tcBorders>
              <w:bottom w:val="single" w:sz="8" w:color="auto"/>
            </w:tcBorders>
            <w:shd w:val="clear" w:color="auto" w:fill="CFF0FC"/>
          </w:tcPr>
          <w:p>
            <w:pPr>
              <w:spacing w:after="0"/>
              <w:rPr>
                <w:sz w:val="19"/>
                <w:szCs w:val="19"/>
                <w:color w:val="auto"/>
              </w:rPr>
            </w:pPr>
          </w:p>
        </w:tc>
        <w:tc>
          <w:tcPr>
            <w:tcW w:w="152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3,774</w:t>
            </w:r>
          </w:p>
        </w:tc>
        <w:tc>
          <w:tcPr>
            <w:tcW w:w="120" w:type="dxa"/>
            <w:vAlign w:val="bottom"/>
            <w:shd w:val="clear" w:color="auto" w:fill="CFF0FC"/>
          </w:tcPr>
          <w:p>
            <w:pPr>
              <w:spacing w:after="0"/>
              <w:rPr>
                <w:sz w:val="19"/>
                <w:szCs w:val="19"/>
                <w:color w:val="auto"/>
              </w:rPr>
            </w:pPr>
          </w:p>
        </w:tc>
        <w:tc>
          <w:tcPr>
            <w:tcW w:w="40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3,586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664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66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Shareholders’ equity:</w:t>
            </w:r>
          </w:p>
        </w:tc>
        <w:tc>
          <w:tcPr>
            <w:tcW w:w="152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640" w:type="dxa"/>
            <w:vAlign w:val="bottom"/>
          </w:tcPr>
          <w:p>
            <w:pPr>
              <w:spacing w:after="0"/>
              <w:rPr>
                <w:sz w:val="20"/>
                <w:szCs w:val="20"/>
                <w:color w:val="auto"/>
              </w:rPr>
            </w:pPr>
            <w:r>
              <w:rPr>
                <w:rFonts w:ascii="Arial" w:cs="Arial" w:eastAsia="Arial" w:hAnsi="Arial"/>
                <w:sz w:val="18"/>
                <w:szCs w:val="18"/>
                <w:color w:val="auto"/>
              </w:rPr>
              <w:t>Common shares, without par value; unlimited shares authorized; issued and</w:t>
            </w:r>
          </w:p>
        </w:tc>
        <w:tc>
          <w:tcPr>
            <w:tcW w:w="15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640" w:type="dxa"/>
            <w:vAlign w:val="bottom"/>
          </w:tcPr>
          <w:p>
            <w:pPr>
              <w:ind w:left="120"/>
              <w:spacing w:after="0"/>
              <w:rPr>
                <w:sz w:val="20"/>
                <w:szCs w:val="20"/>
                <w:color w:val="auto"/>
              </w:rPr>
            </w:pPr>
            <w:r>
              <w:rPr>
                <w:rFonts w:ascii="Arial" w:cs="Arial" w:eastAsia="Arial" w:hAnsi="Arial"/>
                <w:sz w:val="18"/>
                <w:szCs w:val="18"/>
                <w:color w:val="auto"/>
              </w:rPr>
              <w:t>outstanding: 17,998,420 (December 31, 2016 - 17,930,590) (note 7a)</w:t>
            </w:r>
          </w:p>
        </w:tc>
        <w:tc>
          <w:tcPr>
            <w:tcW w:w="15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173,841</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173,246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640" w:type="dxa"/>
            <w:vAlign w:val="bottom"/>
            <w:shd w:val="clear" w:color="auto" w:fill="CFF0FC"/>
          </w:tcPr>
          <w:p>
            <w:pPr>
              <w:spacing w:after="0"/>
              <w:rPr>
                <w:sz w:val="20"/>
                <w:szCs w:val="20"/>
                <w:color w:val="auto"/>
              </w:rPr>
            </w:pPr>
            <w:r>
              <w:rPr>
                <w:rFonts w:ascii="Arial" w:cs="Arial" w:eastAsia="Arial" w:hAnsi="Arial"/>
                <w:sz w:val="18"/>
                <w:szCs w:val="18"/>
                <w:color w:val="auto"/>
              </w:rPr>
              <w:t>Additional paid-in capital</w:t>
            </w:r>
          </w:p>
        </w:tc>
        <w:tc>
          <w:tcPr>
            <w:tcW w:w="152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35,182</w:t>
            </w:r>
          </w:p>
        </w:tc>
        <w:tc>
          <w:tcPr>
            <w:tcW w:w="12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34,326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640" w:type="dxa"/>
            <w:vAlign w:val="bottom"/>
          </w:tcPr>
          <w:p>
            <w:pPr>
              <w:spacing w:after="0"/>
              <w:rPr>
                <w:sz w:val="20"/>
                <w:szCs w:val="20"/>
                <w:color w:val="auto"/>
              </w:rPr>
            </w:pPr>
            <w:r>
              <w:rPr>
                <w:rFonts w:ascii="Arial" w:cs="Arial" w:eastAsia="Arial" w:hAnsi="Arial"/>
                <w:sz w:val="18"/>
                <w:szCs w:val="18"/>
                <w:color w:val="auto"/>
              </w:rPr>
              <w:t>Accumulated deficit</w:t>
            </w:r>
          </w:p>
        </w:tc>
        <w:tc>
          <w:tcPr>
            <w:tcW w:w="1520" w:type="dxa"/>
            <w:vAlign w:val="bottom"/>
          </w:tcPr>
          <w:p>
            <w:pPr>
              <w:spacing w:after="0"/>
              <w:rPr>
                <w:sz w:val="19"/>
                <w:szCs w:val="19"/>
                <w:color w:val="auto"/>
              </w:rPr>
            </w:pPr>
          </w:p>
        </w:tc>
        <w:tc>
          <w:tcPr>
            <w:tcW w:w="1380" w:type="dxa"/>
            <w:vAlign w:val="bottom"/>
            <w:gridSpan w:val="2"/>
          </w:tcPr>
          <w:p>
            <w:pPr>
              <w:jc w:val="right"/>
              <w:ind w:right="60"/>
              <w:spacing w:after="0"/>
              <w:rPr>
                <w:sz w:val="20"/>
                <w:szCs w:val="20"/>
                <w:color w:val="auto"/>
              </w:rPr>
            </w:pPr>
            <w:r>
              <w:rPr>
                <w:rFonts w:ascii="Arial" w:cs="Arial" w:eastAsia="Arial" w:hAnsi="Arial"/>
                <w:sz w:val="18"/>
                <w:szCs w:val="18"/>
                <w:color w:val="auto"/>
              </w:rPr>
              <w:t>(157,581)</w:t>
            </w:r>
          </w:p>
        </w:tc>
        <w:tc>
          <w:tcPr>
            <w:tcW w:w="400" w:type="dxa"/>
            <w:vAlign w:val="bottom"/>
          </w:tcPr>
          <w:p>
            <w:pPr>
              <w:spacing w:after="0"/>
              <w:rPr>
                <w:sz w:val="19"/>
                <w:szCs w:val="19"/>
                <w:color w:val="auto"/>
              </w:rPr>
            </w:pPr>
          </w:p>
        </w:tc>
        <w:tc>
          <w:tcPr>
            <w:tcW w:w="1460" w:type="dxa"/>
            <w:vAlign w:val="bottom"/>
            <w:gridSpan w:val="2"/>
          </w:tcPr>
          <w:p>
            <w:pPr>
              <w:jc w:val="right"/>
              <w:ind w:right="40"/>
              <w:spacing w:after="0"/>
              <w:rPr>
                <w:sz w:val="20"/>
                <w:szCs w:val="20"/>
                <w:color w:val="auto"/>
              </w:rPr>
            </w:pPr>
            <w:r>
              <w:rPr>
                <w:rFonts w:ascii="Arial" w:cs="Arial" w:eastAsia="Arial" w:hAnsi="Arial"/>
                <w:sz w:val="18"/>
                <w:szCs w:val="18"/>
                <w:color w:val="auto"/>
              </w:rPr>
              <w:t>(142,681)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640" w:type="dxa"/>
            <w:vAlign w:val="bottom"/>
            <w:shd w:val="clear" w:color="auto" w:fill="CFF0FC"/>
          </w:tcPr>
          <w:p>
            <w:pPr>
              <w:spacing w:after="0"/>
              <w:rPr>
                <w:sz w:val="20"/>
                <w:szCs w:val="20"/>
                <w:color w:val="auto"/>
              </w:rPr>
            </w:pPr>
            <w:r>
              <w:rPr>
                <w:rFonts w:ascii="Arial" w:cs="Arial" w:eastAsia="Arial" w:hAnsi="Arial"/>
                <w:sz w:val="18"/>
                <w:szCs w:val="18"/>
                <w:color w:val="auto"/>
              </w:rPr>
              <w:t>Accumulated other comprehensive loss</w:t>
            </w:r>
          </w:p>
        </w:tc>
        <w:tc>
          <w:tcPr>
            <w:tcW w:w="152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(990)</w:t>
            </w:r>
          </w:p>
        </w:tc>
        <w:tc>
          <w:tcPr>
            <w:tcW w:w="40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(990)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640" w:type="dxa"/>
            <w:vAlign w:val="bottom"/>
            <w:tcBorders>
              <w:top w:val="single" w:sz="8" w:color="auto"/>
              <w:bottom w:val="single" w:sz="8" w:color="auto"/>
            </w:tcBorders>
          </w:tcPr>
          <w:p>
            <w:pPr>
              <w:spacing w:after="0"/>
              <w:rPr>
                <w:sz w:val="19"/>
                <w:szCs w:val="19"/>
                <w:color w:val="auto"/>
              </w:rPr>
            </w:pPr>
          </w:p>
        </w:tc>
        <w:tc>
          <w:tcPr>
            <w:tcW w:w="15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50,452</w:t>
            </w:r>
          </w:p>
        </w:tc>
        <w:tc>
          <w:tcPr>
            <w:tcW w:w="120" w:type="dxa"/>
            <w:vAlign w:val="bottom"/>
            <w:tcBorders>
              <w:bottom w:val="single" w:sz="8" w:color="CFF0FC"/>
            </w:tcBorders>
          </w:tcPr>
          <w:p>
            <w:pPr>
              <w:spacing w:after="0"/>
              <w:rPr>
                <w:sz w:val="19"/>
                <w:szCs w:val="19"/>
                <w:color w:val="auto"/>
              </w:rPr>
            </w:pPr>
          </w:p>
        </w:tc>
        <w:tc>
          <w:tcPr>
            <w:tcW w:w="40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63,901</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64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b w:val="1"/>
                <w:bCs w:val="1"/>
                <w:color w:val="auto"/>
              </w:rPr>
              <w:t>Total liabilities and shareholders’ equity</w:t>
            </w:r>
          </w:p>
        </w:tc>
        <w:tc>
          <w:tcPr>
            <w:tcW w:w="152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54,226</w:t>
            </w:r>
          </w:p>
        </w:tc>
        <w:tc>
          <w:tcPr>
            <w:tcW w:w="120" w:type="dxa"/>
            <w:vAlign w:val="bottom"/>
            <w:tcBorders>
              <w:bottom w:val="single" w:sz="8" w:color="CFF0FC"/>
            </w:tcBorders>
            <w:shd w:val="clear" w:color="auto" w:fill="CFF0FC"/>
          </w:tcPr>
          <w:p>
            <w:pPr>
              <w:spacing w:after="0"/>
              <w:rPr>
                <w:sz w:val="19"/>
                <w:szCs w:val="19"/>
                <w:color w:val="auto"/>
              </w:rPr>
            </w:pPr>
          </w:p>
        </w:tc>
        <w:tc>
          <w:tcPr>
            <w:tcW w:w="40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67,487</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Collaboration agreements (note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1460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Commitments and contingencies (note 9)</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Subsequent event (note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460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accompanying notes are an integral part of these financial statements.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35" w:right="23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t>XENON PHARMACEUTICALS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Consolidated Statements of Operations and Comprehensive Loss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(Expressed in thousands of U.S. dollars except share and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716915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9150" cy="8890"/>
                    </a:xfrm>
                    <a:prstGeom prst="rect">
                      <a:avLst/>
                    </a:prstGeom>
                    <a:noFill/>
                  </pic:spPr>
                </pic:pic>
              </a:graphicData>
            </a:graphic>
          </wp:anchor>
        </w:drawing>
      </w:r>
    </w:p>
    <w:p>
      <w:pPr>
        <w:sectPr>
          <w:pgSz w:w="11900" w:h="16838" w:orient="portrait"/>
          <w:cols w:equalWidth="0" w:num="1">
            <w:col w:w="11420"/>
          </w:cols>
          <w:pgMar w:left="240" w:top="135" w:right="239" w:bottom="1440" w:gutter="0" w:footer="0" w:header="0"/>
        </w:sectPr>
      </w:pPr>
    </w:p>
    <w:p>
      <w:pPr>
        <w:spacing w:after="0" w:line="104" w:lineRule="exact"/>
        <w:rPr>
          <w:sz w:val="20"/>
          <w:szCs w:val="20"/>
          <w:color w:val="auto"/>
        </w:rPr>
      </w:pPr>
    </w:p>
    <w:p>
      <w:pPr>
        <w:jc w:val="center"/>
        <w:ind w:left="6040"/>
        <w:spacing w:after="0"/>
        <w:rPr>
          <w:sz w:val="20"/>
          <w:szCs w:val="20"/>
          <w:color w:val="auto"/>
        </w:rPr>
      </w:pPr>
      <w:r>
        <w:rPr>
          <w:rFonts w:ascii="Arial" w:cs="Arial" w:eastAsia="Arial" w:hAnsi="Arial"/>
          <w:sz w:val="12"/>
          <w:szCs w:val="12"/>
          <w:b w:val="1"/>
          <w:bCs w:val="1"/>
          <w:color w:val="auto"/>
        </w:rPr>
        <w:t>Three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3795395</wp:posOffset>
            </wp:positionH>
            <wp:positionV relativeFrom="paragraph">
              <wp:posOffset>20955</wp:posOffset>
            </wp:positionV>
            <wp:extent cx="163766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637665" cy="8890"/>
                    </a:xfrm>
                    <a:prstGeom prst="rect">
                      <a:avLst/>
                    </a:prstGeom>
                    <a:noFill/>
                  </pic:spPr>
                </pic:pic>
              </a:graphicData>
            </a:graphic>
          </wp:anchor>
        </w:drawing>
      </w:r>
    </w:p>
    <w:p>
      <w:pPr>
        <w:spacing w:after="0" w:line="28" w:lineRule="exact"/>
        <w:rPr>
          <w:sz w:val="20"/>
          <w:szCs w:val="20"/>
          <w:color w:val="auto"/>
        </w:rPr>
      </w:pPr>
    </w:p>
    <w:p>
      <w:pPr>
        <w:ind w:left="6420"/>
        <w:spacing w:after="0"/>
        <w:tabs>
          <w:tab w:leader="none" w:pos="7800" w:val="left"/>
        </w:tabs>
        <w:rPr>
          <w:sz w:val="20"/>
          <w:szCs w:val="20"/>
          <w:color w:val="auto"/>
        </w:rPr>
      </w:pPr>
      <w:r>
        <w:rPr>
          <w:rFonts w:ascii="Arial" w:cs="Arial" w:eastAsia="Arial" w:hAnsi="Arial"/>
          <w:sz w:val="14"/>
          <w:szCs w:val="14"/>
          <w:b w:val="1"/>
          <w:bCs w:val="1"/>
          <w:color w:val="auto"/>
        </w:rPr>
        <w:t>2017</w:t>
      </w:r>
      <w:r>
        <w:rPr>
          <w:sz w:val="20"/>
          <w:szCs w:val="20"/>
          <w:color w:val="auto"/>
        </w:rPr>
        <w:tab/>
      </w:r>
      <w:r>
        <w:rPr>
          <w:rFonts w:ascii="Arial" w:cs="Arial" w:eastAsia="Arial" w:hAnsi="Arial"/>
          <w:sz w:val="14"/>
          <w:szCs w:val="14"/>
          <w:b w:val="1"/>
          <w:bCs w:val="1"/>
          <w:color w:val="auto"/>
        </w:rPr>
        <w:t>2016</w:t>
      </w:r>
    </w:p>
    <w:p>
      <w:pPr>
        <w:spacing w:after="0" w:line="20" w:lineRule="exact"/>
        <w:rPr>
          <w:sz w:val="20"/>
          <w:szCs w:val="20"/>
          <w:color w:val="auto"/>
        </w:rPr>
      </w:pPr>
      <w:r>
        <w:rPr>
          <w:sz w:val="20"/>
          <w:szCs w:val="20"/>
          <w:color w:val="auto"/>
        </w:rPr>
        <w:br w:type="column"/>
      </w:r>
    </w:p>
    <w:p>
      <w:pPr>
        <w:spacing w:after="0" w:line="84"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Six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-262255</wp:posOffset>
            </wp:positionH>
            <wp:positionV relativeFrom="paragraph">
              <wp:posOffset>20955</wp:posOffset>
            </wp:positionV>
            <wp:extent cx="15951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595120" cy="8890"/>
                    </a:xfrm>
                    <a:prstGeom prst="rect">
                      <a:avLst/>
                    </a:prstGeom>
                    <a:noFill/>
                  </pic:spPr>
                </pic:pic>
              </a:graphicData>
            </a:graphic>
          </wp:anchor>
        </w:drawing>
      </w:r>
    </w:p>
    <w:p>
      <w:pPr>
        <w:spacing w:after="0" w:line="28" w:lineRule="exact"/>
        <w:rPr>
          <w:sz w:val="20"/>
          <w:szCs w:val="20"/>
          <w:color w:val="auto"/>
        </w:rPr>
      </w:pPr>
    </w:p>
    <w:p>
      <w:pPr>
        <w:spacing w:after="0"/>
        <w:tabs>
          <w:tab w:leader="none" w:pos="1360" w:val="left"/>
        </w:tabs>
        <w:rPr>
          <w:sz w:val="20"/>
          <w:szCs w:val="20"/>
          <w:color w:val="auto"/>
        </w:rPr>
      </w:pPr>
      <w:r>
        <w:rPr>
          <w:rFonts w:ascii="Arial" w:cs="Arial" w:eastAsia="Arial" w:hAnsi="Arial"/>
          <w:sz w:val="13"/>
          <w:szCs w:val="13"/>
          <w:b w:val="1"/>
          <w:bCs w:val="1"/>
          <w:color w:val="auto"/>
        </w:rPr>
        <w:t>2017</w:t>
      </w:r>
      <w:r>
        <w:rPr>
          <w:sz w:val="20"/>
          <w:szCs w:val="20"/>
          <w:color w:val="auto"/>
        </w:rPr>
        <w:tab/>
      </w:r>
      <w:r>
        <w:rPr>
          <w:rFonts w:ascii="Arial" w:cs="Arial" w:eastAsia="Arial" w:hAnsi="Arial"/>
          <w:sz w:val="13"/>
          <w:szCs w:val="13"/>
          <w:b w:val="1"/>
          <w:bCs w:val="1"/>
          <w:color w:val="auto"/>
        </w:rPr>
        <w:t>2016</w:t>
      </w:r>
    </w:p>
    <w:p>
      <w:pPr>
        <w:spacing w:after="0" w:line="12" w:lineRule="exact"/>
        <w:rPr>
          <w:sz w:val="20"/>
          <w:szCs w:val="20"/>
          <w:color w:val="auto"/>
        </w:rPr>
      </w:pPr>
    </w:p>
    <w:p>
      <w:pPr>
        <w:sectPr>
          <w:pgSz w:w="11900" w:h="16838" w:orient="portrait"/>
          <w:cols w:equalWidth="0" w:num="2">
            <w:col w:w="8480" w:space="720"/>
            <w:col w:w="2220"/>
          </w:cols>
          <w:pgMar w:left="240" w:top="135" w:right="239" w:bottom="1440" w:gutter="0" w:footer="0" w:header="0"/>
          <w:type w:val="continuous"/>
        </w:sectPr>
      </w:pPr>
    </w:p>
    <w:tbl>
      <w:tblPr>
        <w:tblLayout w:type="fixed"/>
        <w:tblInd w:w="0" w:type="dxa"/>
        <w:tblCellMar>
          <w:top w:w="0" w:type="dxa"/>
          <w:left w:w="0" w:type="dxa"/>
          <w:bottom w:w="0" w:type="dxa"/>
          <w:right w:w="0" w:type="dxa"/>
        </w:tblCellMar>
      </w:tblPr>
      <w:tr>
        <w:trPr>
          <w:trHeight w:val="223"/>
        </w:trPr>
        <w:tc>
          <w:tcPr>
            <w:tcW w:w="20" w:type="dxa"/>
            <w:vAlign w:val="bottom"/>
          </w:tcPr>
          <w:p>
            <w:pPr>
              <w:spacing w:after="0"/>
              <w:rPr>
                <w:sz w:val="19"/>
                <w:szCs w:val="19"/>
                <w:color w:val="auto"/>
              </w:rPr>
            </w:pPr>
          </w:p>
        </w:tc>
        <w:tc>
          <w:tcPr>
            <w:tcW w:w="498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Revenue:</w:t>
            </w:r>
          </w:p>
        </w:tc>
        <w:tc>
          <w:tcPr>
            <w:tcW w:w="1200" w:type="dxa"/>
            <w:vAlign w:val="bottom"/>
            <w:tcBorders>
              <w:top w:val="single" w:sz="8" w:color="auto"/>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340" w:type="dxa"/>
            <w:vAlign w:val="bottom"/>
            <w:tcBorders>
              <w:top w:val="single" w:sz="8" w:color="auto"/>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340" w:type="dxa"/>
            <w:vAlign w:val="bottom"/>
            <w:tcBorders>
              <w:top w:val="single" w:sz="8" w:color="auto"/>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980" w:type="dxa"/>
            <w:vAlign w:val="bottom"/>
          </w:tcPr>
          <w:p>
            <w:pPr>
              <w:ind w:left="480"/>
              <w:spacing w:after="0"/>
              <w:rPr>
                <w:sz w:val="20"/>
                <w:szCs w:val="20"/>
                <w:color w:val="auto"/>
              </w:rPr>
            </w:pPr>
            <w:r>
              <w:rPr>
                <w:rFonts w:ascii="Arial" w:cs="Arial" w:eastAsia="Arial" w:hAnsi="Arial"/>
                <w:sz w:val="18"/>
                <w:szCs w:val="18"/>
                <w:color w:val="auto"/>
              </w:rPr>
              <w:t>Collaboration revenue (note 8)</w:t>
            </w:r>
          </w:p>
        </w:tc>
        <w:tc>
          <w:tcPr>
            <w:tcW w:w="12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19"/>
                <w:szCs w:val="19"/>
                <w:color w:val="auto"/>
              </w:rPr>
            </w:pPr>
          </w:p>
        </w:tc>
        <w:tc>
          <w:tcPr>
            <w:tcW w:w="3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412</w:t>
            </w:r>
          </w:p>
        </w:tc>
        <w:tc>
          <w:tcPr>
            <w:tcW w:w="100" w:type="dxa"/>
            <w:vAlign w:val="bottom"/>
          </w:tcPr>
          <w:p>
            <w:pPr>
              <w:spacing w:after="0"/>
              <w:rPr>
                <w:sz w:val="19"/>
                <w:szCs w:val="19"/>
                <w:color w:val="auto"/>
              </w:rPr>
            </w:pPr>
          </w:p>
        </w:tc>
        <w:tc>
          <w:tcPr>
            <w:tcW w:w="3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19"/>
                <w:szCs w:val="19"/>
                <w:color w:val="auto"/>
              </w:rPr>
            </w:pPr>
          </w:p>
        </w:tc>
        <w:tc>
          <w:tcPr>
            <w:tcW w:w="3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981</w:t>
            </w:r>
          </w:p>
        </w:tc>
        <w:tc>
          <w:tcPr>
            <w:tcW w:w="12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980" w:type="dxa"/>
            <w:vAlign w:val="bottom"/>
            <w:shd w:val="clear" w:color="auto" w:fill="CFF0FC"/>
          </w:tcPr>
          <w:p>
            <w:pPr>
              <w:ind w:left="480"/>
              <w:spacing w:after="0"/>
              <w:rPr>
                <w:sz w:val="20"/>
                <w:szCs w:val="20"/>
                <w:color w:val="auto"/>
              </w:rPr>
            </w:pPr>
            <w:r>
              <w:rPr>
                <w:rFonts w:ascii="Arial" w:cs="Arial" w:eastAsia="Arial" w:hAnsi="Arial"/>
                <w:sz w:val="18"/>
                <w:szCs w:val="18"/>
                <w:color w:val="auto"/>
              </w:rPr>
              <w:t>Royalties</w:t>
            </w:r>
          </w:p>
        </w:tc>
        <w:tc>
          <w:tcPr>
            <w:tcW w:w="120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34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w:t>
            </w:r>
          </w:p>
        </w:tc>
        <w:tc>
          <w:tcPr>
            <w:tcW w:w="120" w:type="dxa"/>
            <w:vAlign w:val="bottom"/>
            <w:shd w:val="clear" w:color="auto" w:fill="CFF0FC"/>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498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413</w:t>
            </w:r>
          </w:p>
        </w:tc>
        <w:tc>
          <w:tcPr>
            <w:tcW w:w="10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1,014</w:t>
            </w:r>
          </w:p>
        </w:tc>
        <w:tc>
          <w:tcPr>
            <w:tcW w:w="12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980" w:type="dxa"/>
            <w:vAlign w:val="bottom"/>
            <w:shd w:val="clear" w:color="auto" w:fill="CFF0FC"/>
          </w:tcPr>
          <w:p>
            <w:pPr>
              <w:spacing w:after="0"/>
              <w:rPr>
                <w:sz w:val="20"/>
                <w:szCs w:val="20"/>
                <w:color w:val="auto"/>
              </w:rPr>
            </w:pPr>
            <w:r>
              <w:rPr>
                <w:rFonts w:ascii="Arial" w:cs="Arial" w:eastAsia="Arial" w:hAnsi="Arial"/>
                <w:sz w:val="18"/>
                <w:szCs w:val="18"/>
                <w:color w:val="auto"/>
              </w:rPr>
              <w:t>Operating expenses:</w:t>
            </w:r>
          </w:p>
        </w:tc>
        <w:tc>
          <w:tcPr>
            <w:tcW w:w="120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980" w:type="dxa"/>
            <w:vAlign w:val="bottom"/>
          </w:tcPr>
          <w:p>
            <w:pPr>
              <w:ind w:left="480"/>
              <w:spacing w:after="0"/>
              <w:rPr>
                <w:sz w:val="20"/>
                <w:szCs w:val="20"/>
                <w:color w:val="auto"/>
              </w:rPr>
            </w:pPr>
            <w:r>
              <w:rPr>
                <w:rFonts w:ascii="Arial" w:cs="Arial" w:eastAsia="Arial" w:hAnsi="Arial"/>
                <w:sz w:val="18"/>
                <w:szCs w:val="18"/>
                <w:color w:val="auto"/>
              </w:rPr>
              <w:t>Research and development</w:t>
            </w:r>
          </w:p>
        </w:tc>
        <w:tc>
          <w:tcPr>
            <w:tcW w:w="1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6,109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5,103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12,012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9,467</w:t>
            </w:r>
          </w:p>
        </w:tc>
        <w:tc>
          <w:tcPr>
            <w:tcW w:w="12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980" w:type="dxa"/>
            <w:vAlign w:val="bottom"/>
            <w:tcBorders>
              <w:bottom w:val="single" w:sz="8" w:color="auto"/>
            </w:tcBorders>
            <w:shd w:val="clear" w:color="auto" w:fill="CFF0FC"/>
          </w:tcPr>
          <w:p>
            <w:pPr>
              <w:ind w:left="480"/>
              <w:spacing w:after="0"/>
              <w:rPr>
                <w:sz w:val="20"/>
                <w:szCs w:val="20"/>
                <w:color w:val="auto"/>
              </w:rPr>
            </w:pPr>
            <w:r>
              <w:rPr>
                <w:rFonts w:ascii="Arial" w:cs="Arial" w:eastAsia="Arial" w:hAnsi="Arial"/>
                <w:sz w:val="18"/>
                <w:szCs w:val="18"/>
                <w:color w:val="auto"/>
              </w:rPr>
              <w:t>General and administrative</w:t>
            </w:r>
          </w:p>
        </w:tc>
        <w:tc>
          <w:tcPr>
            <w:tcW w:w="120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1,799</w:t>
            </w:r>
          </w:p>
        </w:tc>
        <w:tc>
          <w:tcPr>
            <w:tcW w:w="10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1,676</w:t>
            </w:r>
          </w:p>
        </w:tc>
        <w:tc>
          <w:tcPr>
            <w:tcW w:w="10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3,899</w:t>
            </w:r>
          </w:p>
        </w:tc>
        <w:tc>
          <w:tcPr>
            <w:tcW w:w="10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3,571</w:t>
            </w:r>
          </w:p>
        </w:tc>
        <w:tc>
          <w:tcPr>
            <w:tcW w:w="120" w:type="dxa"/>
            <w:vAlign w:val="bottom"/>
            <w:shd w:val="clear" w:color="auto" w:fill="CFF0FC"/>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49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7,908</w:t>
            </w:r>
          </w:p>
        </w:tc>
        <w:tc>
          <w:tcPr>
            <w:tcW w:w="10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6,779</w:t>
            </w:r>
          </w:p>
        </w:tc>
        <w:tc>
          <w:tcPr>
            <w:tcW w:w="10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15,911</w:t>
            </w:r>
          </w:p>
        </w:tc>
        <w:tc>
          <w:tcPr>
            <w:tcW w:w="10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13,038</w:t>
            </w:r>
          </w:p>
        </w:tc>
        <w:tc>
          <w:tcPr>
            <w:tcW w:w="120" w:type="dxa"/>
            <w:vAlign w:val="bottom"/>
            <w:tcBorders>
              <w:bottom w:val="single" w:sz="8" w:color="CFF0FC"/>
            </w:tcBorders>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4980" w:type="dxa"/>
            <w:vAlign w:val="bottom"/>
            <w:shd w:val="clear" w:color="auto" w:fill="CFF0FC"/>
          </w:tcPr>
          <w:p>
            <w:pPr>
              <w:spacing w:after="0"/>
              <w:rPr>
                <w:sz w:val="20"/>
                <w:szCs w:val="20"/>
                <w:color w:val="auto"/>
              </w:rPr>
            </w:pPr>
            <w:r>
              <w:rPr>
                <w:rFonts w:ascii="Arial" w:cs="Arial" w:eastAsia="Arial" w:hAnsi="Arial"/>
                <w:sz w:val="18"/>
                <w:szCs w:val="18"/>
                <w:color w:val="auto"/>
              </w:rPr>
              <w:t>Loss from operations</w:t>
            </w:r>
          </w:p>
        </w:tc>
        <w:tc>
          <w:tcPr>
            <w:tcW w:w="120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(7,893)</w:t>
            </w:r>
          </w:p>
        </w:tc>
        <w:tc>
          <w:tcPr>
            <w:tcW w:w="1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(6,366)</w:t>
            </w:r>
          </w:p>
        </w:tc>
        <w:tc>
          <w:tcPr>
            <w:tcW w:w="1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(15,880)</w:t>
            </w:r>
          </w:p>
        </w:tc>
        <w:tc>
          <w:tcPr>
            <w:tcW w:w="1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(12,024)</w:t>
            </w:r>
          </w:p>
        </w:tc>
        <w:tc>
          <w:tcPr>
            <w:tcW w:w="12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980" w:type="dxa"/>
            <w:vAlign w:val="bottom"/>
          </w:tcPr>
          <w:p>
            <w:pPr>
              <w:spacing w:after="0"/>
              <w:rPr>
                <w:sz w:val="20"/>
                <w:szCs w:val="20"/>
                <w:color w:val="auto"/>
              </w:rPr>
            </w:pPr>
            <w:r>
              <w:rPr>
                <w:rFonts w:ascii="Arial" w:cs="Arial" w:eastAsia="Arial" w:hAnsi="Arial"/>
                <w:sz w:val="18"/>
                <w:szCs w:val="18"/>
                <w:color w:val="auto"/>
              </w:rPr>
              <w:t>Other income:</w:t>
            </w:r>
          </w:p>
        </w:tc>
        <w:tc>
          <w:tcPr>
            <w:tcW w:w="1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980" w:type="dxa"/>
            <w:vAlign w:val="bottom"/>
            <w:shd w:val="clear" w:color="auto" w:fill="CFF0FC"/>
          </w:tcPr>
          <w:p>
            <w:pPr>
              <w:ind w:left="480"/>
              <w:spacing w:after="0"/>
              <w:rPr>
                <w:sz w:val="20"/>
                <w:szCs w:val="20"/>
                <w:color w:val="auto"/>
              </w:rPr>
            </w:pPr>
            <w:r>
              <w:rPr>
                <w:rFonts w:ascii="Arial" w:cs="Arial" w:eastAsia="Arial" w:hAnsi="Arial"/>
                <w:sz w:val="18"/>
                <w:szCs w:val="18"/>
                <w:color w:val="auto"/>
              </w:rPr>
              <w:t>Interest income</w:t>
            </w:r>
          </w:p>
        </w:tc>
        <w:tc>
          <w:tcPr>
            <w:tcW w:w="120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109</w:t>
            </w:r>
          </w:p>
        </w:tc>
        <w:tc>
          <w:tcPr>
            <w:tcW w:w="1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123</w:t>
            </w:r>
          </w:p>
        </w:tc>
        <w:tc>
          <w:tcPr>
            <w:tcW w:w="1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258</w:t>
            </w:r>
          </w:p>
        </w:tc>
        <w:tc>
          <w:tcPr>
            <w:tcW w:w="1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222</w:t>
            </w:r>
          </w:p>
        </w:tc>
        <w:tc>
          <w:tcPr>
            <w:tcW w:w="12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980" w:type="dxa"/>
            <w:vAlign w:val="bottom"/>
            <w:tcBorders>
              <w:bottom w:val="single" w:sz="8" w:color="auto"/>
            </w:tcBorders>
          </w:tcPr>
          <w:p>
            <w:pPr>
              <w:ind w:left="480"/>
              <w:spacing w:after="0"/>
              <w:rPr>
                <w:sz w:val="20"/>
                <w:szCs w:val="20"/>
                <w:color w:val="auto"/>
              </w:rPr>
            </w:pPr>
            <w:r>
              <w:rPr>
                <w:rFonts w:ascii="Arial" w:cs="Arial" w:eastAsia="Arial" w:hAnsi="Arial"/>
                <w:sz w:val="18"/>
                <w:szCs w:val="18"/>
                <w:color w:val="auto"/>
              </w:rPr>
              <w:t>Foreign exchange gain</w:t>
            </w:r>
          </w:p>
        </w:tc>
        <w:tc>
          <w:tcPr>
            <w:tcW w:w="12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404</w:t>
            </w:r>
          </w:p>
        </w:tc>
        <w:tc>
          <w:tcPr>
            <w:tcW w:w="10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227</w:t>
            </w:r>
          </w:p>
        </w:tc>
        <w:tc>
          <w:tcPr>
            <w:tcW w:w="10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725</w:t>
            </w:r>
          </w:p>
        </w:tc>
        <w:tc>
          <w:tcPr>
            <w:tcW w:w="10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2,523</w:t>
            </w:r>
          </w:p>
        </w:tc>
        <w:tc>
          <w:tcPr>
            <w:tcW w:w="120" w:type="dxa"/>
            <w:vAlign w:val="bottom"/>
            <w:tcBorders>
              <w:bottom w:val="single" w:sz="8" w:color="CFF0FC"/>
            </w:tcBorders>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498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Net loss and comprehensive loss</w:t>
            </w:r>
          </w:p>
        </w:tc>
        <w:tc>
          <w:tcPr>
            <w:tcW w:w="120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(7,380)</w:t>
            </w:r>
          </w:p>
        </w:tc>
        <w:tc>
          <w:tcPr>
            <w:tcW w:w="100" w:type="dxa"/>
            <w:vAlign w:val="bottom"/>
            <w:tcBorders>
              <w:bottom w:val="single" w:sz="8" w:color="CFF0FC"/>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(6,016)</w:t>
            </w:r>
          </w:p>
        </w:tc>
        <w:tc>
          <w:tcPr>
            <w:tcW w:w="10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(14,897)</w:t>
            </w:r>
          </w:p>
        </w:tc>
        <w:tc>
          <w:tcPr>
            <w:tcW w:w="100" w:type="dxa"/>
            <w:vAlign w:val="bottom"/>
            <w:tcBorders>
              <w:bottom w:val="single" w:sz="8" w:color="CFF0FC"/>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(9,279)</w:t>
            </w:r>
          </w:p>
        </w:tc>
        <w:tc>
          <w:tcPr>
            <w:tcW w:w="120" w:type="dxa"/>
            <w:vAlign w:val="bottom"/>
            <w:tcBorders>
              <w:bottom w:val="single" w:sz="8" w:color="CFF0FC"/>
            </w:tcBorders>
            <w:shd w:val="clear" w:color="auto" w:fill="CFF0FC"/>
          </w:tcPr>
          <w:p>
            <w:pPr>
              <w:spacing w:after="0"/>
              <w:rPr>
                <w:sz w:val="19"/>
                <w:szCs w:val="19"/>
                <w:color w:val="auto"/>
              </w:rPr>
            </w:pPr>
          </w:p>
        </w:tc>
      </w:tr>
      <w:tr>
        <w:trPr>
          <w:trHeight w:val="20"/>
        </w:trPr>
        <w:tc>
          <w:tcPr>
            <w:tcW w:w="5000" w:type="dxa"/>
            <w:vAlign w:val="bottom"/>
            <w:gridSpan w:val="2"/>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9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Net loss per common share (note 4):</w:t>
            </w:r>
          </w:p>
        </w:tc>
        <w:tc>
          <w:tcPr>
            <w:tcW w:w="12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r>
      <w:tr>
        <w:trPr>
          <w:trHeight w:val="230"/>
        </w:trPr>
        <w:tc>
          <w:tcPr>
            <w:tcW w:w="20" w:type="dxa"/>
            <w:vAlign w:val="bottom"/>
          </w:tcPr>
          <w:p>
            <w:pPr>
              <w:spacing w:after="0"/>
              <w:rPr>
                <w:sz w:val="19"/>
                <w:szCs w:val="19"/>
                <w:color w:val="auto"/>
              </w:rPr>
            </w:pPr>
          </w:p>
        </w:tc>
        <w:tc>
          <w:tcPr>
            <w:tcW w:w="4980" w:type="dxa"/>
            <w:vAlign w:val="bottom"/>
            <w:shd w:val="clear" w:color="auto" w:fill="CFF0FC"/>
          </w:tcPr>
          <w:p>
            <w:pPr>
              <w:ind w:left="480"/>
              <w:spacing w:after="0"/>
              <w:rPr>
                <w:sz w:val="20"/>
                <w:szCs w:val="20"/>
                <w:color w:val="auto"/>
              </w:rPr>
            </w:pPr>
            <w:r>
              <w:rPr>
                <w:rFonts w:ascii="Arial" w:cs="Arial" w:eastAsia="Arial" w:hAnsi="Arial"/>
                <w:sz w:val="18"/>
                <w:szCs w:val="18"/>
                <w:color w:val="auto"/>
              </w:rPr>
              <w:t>Basic</w:t>
            </w:r>
          </w:p>
        </w:tc>
        <w:tc>
          <w:tcPr>
            <w:tcW w:w="120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(0.41)</w:t>
            </w:r>
          </w:p>
        </w:tc>
        <w:tc>
          <w:tcPr>
            <w:tcW w:w="3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(0.42)</w:t>
            </w:r>
          </w:p>
        </w:tc>
        <w:tc>
          <w:tcPr>
            <w:tcW w:w="32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(0.83)</w:t>
            </w:r>
          </w:p>
        </w:tc>
        <w:tc>
          <w:tcPr>
            <w:tcW w:w="3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(0.64)</w:t>
            </w:r>
          </w:p>
        </w:tc>
      </w:tr>
      <w:tr>
        <w:trPr>
          <w:trHeight w:val="270"/>
        </w:trPr>
        <w:tc>
          <w:tcPr>
            <w:tcW w:w="20" w:type="dxa"/>
            <w:vAlign w:val="bottom"/>
          </w:tcPr>
          <w:p>
            <w:pPr>
              <w:spacing w:after="0"/>
              <w:rPr>
                <w:sz w:val="23"/>
                <w:szCs w:val="23"/>
                <w:color w:val="auto"/>
              </w:rPr>
            </w:pPr>
          </w:p>
        </w:tc>
        <w:tc>
          <w:tcPr>
            <w:tcW w:w="4980" w:type="dxa"/>
            <w:vAlign w:val="bottom"/>
          </w:tcPr>
          <w:p>
            <w:pPr>
              <w:ind w:left="480"/>
              <w:spacing w:after="0"/>
              <w:rPr>
                <w:sz w:val="20"/>
                <w:szCs w:val="20"/>
                <w:color w:val="auto"/>
              </w:rPr>
            </w:pPr>
            <w:r>
              <w:rPr>
                <w:rFonts w:ascii="Arial" w:cs="Arial" w:eastAsia="Arial" w:hAnsi="Arial"/>
                <w:sz w:val="18"/>
                <w:szCs w:val="18"/>
                <w:color w:val="auto"/>
              </w:rPr>
              <w:t>Diluted</w:t>
            </w:r>
          </w:p>
        </w:tc>
        <w:tc>
          <w:tcPr>
            <w:tcW w:w="12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(0.41)</w:t>
            </w:r>
          </w:p>
        </w:tc>
        <w:tc>
          <w:tcPr>
            <w:tcW w:w="3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(0.42)</w:t>
            </w:r>
          </w:p>
        </w:tc>
        <w:tc>
          <w:tcPr>
            <w:tcW w:w="3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(0.84)</w:t>
            </w:r>
          </w:p>
        </w:tc>
        <w:tc>
          <w:tcPr>
            <w:tcW w:w="3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(0.65)</w:t>
            </w:r>
          </w:p>
        </w:tc>
      </w:tr>
      <w:tr>
        <w:trPr>
          <w:trHeight w:val="210"/>
        </w:trPr>
        <w:tc>
          <w:tcPr>
            <w:tcW w:w="20" w:type="dxa"/>
            <w:vAlign w:val="bottom"/>
          </w:tcPr>
          <w:p>
            <w:pPr>
              <w:spacing w:after="0"/>
              <w:rPr>
                <w:sz w:val="18"/>
                <w:szCs w:val="18"/>
                <w:color w:val="auto"/>
              </w:rPr>
            </w:pPr>
          </w:p>
        </w:tc>
        <w:tc>
          <w:tcPr>
            <w:tcW w:w="498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Weighted-average common shares outstanding (note 4):</w:t>
            </w:r>
          </w:p>
        </w:tc>
        <w:tc>
          <w:tcPr>
            <w:tcW w:w="1200" w:type="dxa"/>
            <w:vAlign w:val="bottom"/>
            <w:tcBorders>
              <w:top w:val="single" w:sz="8" w:color="auto"/>
            </w:tcBorders>
            <w:shd w:val="clear" w:color="auto" w:fill="CFF0FC"/>
          </w:tcPr>
          <w:p>
            <w:pPr>
              <w:spacing w:after="0"/>
              <w:rPr>
                <w:sz w:val="18"/>
                <w:szCs w:val="18"/>
                <w:color w:val="auto"/>
              </w:rPr>
            </w:pPr>
          </w:p>
        </w:tc>
        <w:tc>
          <w:tcPr>
            <w:tcW w:w="96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340" w:type="dxa"/>
            <w:vAlign w:val="bottom"/>
            <w:tcBorders>
              <w:top w:val="single" w:sz="8" w:color="auto"/>
            </w:tcBorders>
            <w:shd w:val="clear" w:color="auto" w:fill="CFF0FC"/>
          </w:tcPr>
          <w:p>
            <w:pPr>
              <w:spacing w:after="0"/>
              <w:rPr>
                <w:sz w:val="18"/>
                <w:szCs w:val="18"/>
                <w:color w:val="auto"/>
              </w:rPr>
            </w:pPr>
          </w:p>
        </w:tc>
        <w:tc>
          <w:tcPr>
            <w:tcW w:w="96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320" w:type="dxa"/>
            <w:vAlign w:val="bottom"/>
            <w:tcBorders>
              <w:top w:val="single" w:sz="8" w:color="auto"/>
            </w:tcBorders>
            <w:shd w:val="clear" w:color="auto" w:fill="CFF0FC"/>
          </w:tcPr>
          <w:p>
            <w:pPr>
              <w:spacing w:after="0"/>
              <w:rPr>
                <w:sz w:val="18"/>
                <w:szCs w:val="18"/>
                <w:color w:val="auto"/>
              </w:rPr>
            </w:pPr>
          </w:p>
        </w:tc>
        <w:tc>
          <w:tcPr>
            <w:tcW w:w="94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340" w:type="dxa"/>
            <w:vAlign w:val="bottom"/>
            <w:tcBorders>
              <w:top w:val="single" w:sz="8" w:color="auto"/>
            </w:tcBorders>
            <w:shd w:val="clear" w:color="auto" w:fill="CFF0FC"/>
          </w:tcPr>
          <w:p>
            <w:pPr>
              <w:spacing w:after="0"/>
              <w:rPr>
                <w:sz w:val="18"/>
                <w:szCs w:val="18"/>
                <w:color w:val="auto"/>
              </w:rPr>
            </w:pPr>
          </w:p>
        </w:tc>
        <w:tc>
          <w:tcPr>
            <w:tcW w:w="94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r>
      <w:tr>
        <w:trPr>
          <w:trHeight w:val="230"/>
        </w:trPr>
        <w:tc>
          <w:tcPr>
            <w:tcW w:w="20" w:type="dxa"/>
            <w:vAlign w:val="bottom"/>
          </w:tcPr>
          <w:p>
            <w:pPr>
              <w:spacing w:after="0"/>
              <w:rPr>
                <w:sz w:val="19"/>
                <w:szCs w:val="19"/>
                <w:color w:val="auto"/>
              </w:rPr>
            </w:pPr>
          </w:p>
        </w:tc>
        <w:tc>
          <w:tcPr>
            <w:tcW w:w="4980" w:type="dxa"/>
            <w:vAlign w:val="bottom"/>
          </w:tcPr>
          <w:p>
            <w:pPr>
              <w:ind w:left="480"/>
              <w:spacing w:after="0"/>
              <w:rPr>
                <w:sz w:val="20"/>
                <w:szCs w:val="20"/>
                <w:color w:val="auto"/>
              </w:rPr>
            </w:pPr>
            <w:r>
              <w:rPr>
                <w:rFonts w:ascii="Arial" w:cs="Arial" w:eastAsia="Arial" w:hAnsi="Arial"/>
                <w:sz w:val="18"/>
                <w:szCs w:val="18"/>
                <w:color w:val="auto"/>
              </w:rPr>
              <w:t>Basic</w:t>
            </w:r>
          </w:p>
        </w:tc>
        <w:tc>
          <w:tcPr>
            <w:tcW w:w="1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17,997,194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14,408,108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w w:val="99"/>
              </w:rPr>
              <w:t>17,971,702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w w:val="99"/>
              </w:rPr>
              <w:t>14,401,054</w:t>
            </w:r>
          </w:p>
        </w:tc>
        <w:tc>
          <w:tcPr>
            <w:tcW w:w="12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980" w:type="dxa"/>
            <w:vAlign w:val="bottom"/>
            <w:tcBorders>
              <w:bottom w:val="single" w:sz="8" w:color="auto"/>
            </w:tcBorders>
            <w:shd w:val="clear" w:color="auto" w:fill="CFF0FC"/>
          </w:tcPr>
          <w:p>
            <w:pPr>
              <w:ind w:left="480"/>
              <w:spacing w:after="0"/>
              <w:rPr>
                <w:sz w:val="20"/>
                <w:szCs w:val="20"/>
                <w:color w:val="auto"/>
              </w:rPr>
            </w:pPr>
            <w:r>
              <w:rPr>
                <w:rFonts w:ascii="Arial" w:cs="Arial" w:eastAsia="Arial" w:hAnsi="Arial"/>
                <w:sz w:val="18"/>
                <w:szCs w:val="18"/>
                <w:color w:val="auto"/>
              </w:rPr>
              <w:t>Diluted</w:t>
            </w:r>
          </w:p>
        </w:tc>
        <w:tc>
          <w:tcPr>
            <w:tcW w:w="120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18,015,748</w:t>
            </w:r>
          </w:p>
        </w:tc>
        <w:tc>
          <w:tcPr>
            <w:tcW w:w="100" w:type="dxa"/>
            <w:vAlign w:val="bottom"/>
            <w:tcBorders>
              <w:bottom w:val="single" w:sz="8" w:color="CFF0FC"/>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14,434,602</w:t>
            </w:r>
          </w:p>
        </w:tc>
        <w:tc>
          <w:tcPr>
            <w:tcW w:w="10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17,995,109</w:t>
            </w:r>
          </w:p>
        </w:tc>
        <w:tc>
          <w:tcPr>
            <w:tcW w:w="100" w:type="dxa"/>
            <w:vAlign w:val="bottom"/>
            <w:tcBorders>
              <w:bottom w:val="single" w:sz="8" w:color="CFF0FC"/>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14,428,160</w:t>
            </w:r>
          </w:p>
        </w:tc>
        <w:tc>
          <w:tcPr>
            <w:tcW w:w="120" w:type="dxa"/>
            <w:vAlign w:val="bottom"/>
            <w:tcBorders>
              <w:bottom w:val="single" w:sz="8" w:color="CFF0FC"/>
            </w:tcBorders>
            <w:shd w:val="clear" w:color="auto" w:fill="CFF0FC"/>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49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accompanying notes are an integral part of these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35" w:right="239" w:bottom="1440" w:gutter="0" w:footer="0" w:header="0"/>
          <w:type w:val="continuous"/>
        </w:sectPr>
      </w:pPr>
    </w:p>
    <w:bookmarkStart w:id="4" w:name="page5"/>
    <w:bookmarkEnd w:id="4"/>
    <w:p>
      <w:pPr>
        <w:spacing w:after="0"/>
        <w:rPr>
          <w:sz w:val="20"/>
          <w:szCs w:val="20"/>
          <w:color w:val="auto"/>
        </w:rPr>
      </w:pPr>
      <w:r>
        <w:rPr>
          <w:rFonts w:ascii="Arial" w:cs="Arial" w:eastAsia="Arial" w:hAnsi="Arial"/>
          <w:sz w:val="18"/>
          <w:szCs w:val="18"/>
          <w:b w:val="1"/>
          <w:bCs w:val="1"/>
          <w:color w:val="auto"/>
        </w:rPr>
        <w:t>XENON PHARMACEUTICALS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Consolidated Statement of Shareholders’ Equity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(Expressed in thousands of U.S. dollars except share amounts)</w:t>
      </w:r>
    </w:p>
    <w:tbl>
      <w:tblPr>
        <w:tblLayout w:type="fixed"/>
        <w:tblInd w:w="0" w:type="dxa"/>
        <w:tblCellMar>
          <w:top w:w="0" w:type="dxa"/>
          <w:left w:w="0" w:type="dxa"/>
          <w:bottom w:w="0" w:type="dxa"/>
          <w:right w:w="0" w:type="dxa"/>
        </w:tblCellMar>
      </w:tblPr>
      <w:tr>
        <w:trPr>
          <w:trHeight w:val="148"/>
        </w:trPr>
        <w:tc>
          <w:tcPr>
            <w:tcW w:w="20" w:type="dxa"/>
            <w:vAlign w:val="bottom"/>
          </w:tcPr>
          <w:p>
            <w:pPr>
              <w:spacing w:after="0"/>
              <w:rPr>
                <w:sz w:val="12"/>
                <w:szCs w:val="12"/>
                <w:color w:val="auto"/>
              </w:rPr>
            </w:pPr>
          </w:p>
        </w:tc>
        <w:tc>
          <w:tcPr>
            <w:tcW w:w="296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4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6"/>
              </w:rPr>
              <w:t>Additional</w:t>
            </w:r>
          </w:p>
        </w:tc>
        <w:tc>
          <w:tcPr>
            <w:tcW w:w="4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gridSpan w:val="3"/>
          </w:tcPr>
          <w:p>
            <w:pPr>
              <w:jc w:val="center"/>
              <w:ind w:right="20"/>
              <w:spacing w:after="0" w:line="149" w:lineRule="exact"/>
              <w:rPr>
                <w:sz w:val="20"/>
                <w:szCs w:val="20"/>
                <w:color w:val="auto"/>
              </w:rPr>
            </w:pPr>
            <w:r>
              <w:rPr>
                <w:rFonts w:ascii="Arial" w:cs="Arial" w:eastAsia="Arial" w:hAnsi="Arial"/>
                <w:sz w:val="14"/>
                <w:szCs w:val="14"/>
                <w:b w:val="1"/>
                <w:bCs w:val="1"/>
                <w:color w:val="auto"/>
                <w:w w:val="90"/>
              </w:rPr>
              <w:t>Accumulated</w:t>
            </w:r>
          </w:p>
        </w:tc>
        <w:tc>
          <w:tcPr>
            <w:tcW w:w="3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6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4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2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1"/>
              </w:rPr>
              <w:t>other</w:t>
            </w:r>
          </w:p>
        </w:tc>
        <w:tc>
          <w:tcPr>
            <w:tcW w:w="1480" w:type="dxa"/>
            <w:vAlign w:val="bottom"/>
            <w:gridSpan w:val="3"/>
            <w:vMerge w:val="restart"/>
          </w:tcPr>
          <w:p>
            <w:pPr>
              <w:jc w:val="right"/>
              <w:ind w:right="160"/>
              <w:spacing w:after="0"/>
              <w:rPr>
                <w:sz w:val="20"/>
                <w:szCs w:val="20"/>
                <w:color w:val="auto"/>
              </w:rPr>
            </w:pPr>
            <w:r>
              <w:rPr>
                <w:rFonts w:ascii="Arial" w:cs="Arial" w:eastAsia="Arial" w:hAnsi="Arial"/>
                <w:sz w:val="14"/>
                <w:szCs w:val="14"/>
                <w:b w:val="1"/>
                <w:bCs w:val="1"/>
                <w:color w:val="auto"/>
              </w:rPr>
              <w:t>Total shareholders'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60" w:type="dxa"/>
            <w:vAlign w:val="bottom"/>
          </w:tcPr>
          <w:p>
            <w:pPr>
              <w:spacing w:after="0"/>
              <w:rPr>
                <w:sz w:val="12"/>
                <w:szCs w:val="12"/>
                <w:color w:val="auto"/>
              </w:rPr>
            </w:pPr>
          </w:p>
        </w:tc>
        <w:tc>
          <w:tcPr>
            <w:tcW w:w="2680" w:type="dxa"/>
            <w:vAlign w:val="bottom"/>
            <w:gridSpan w:val="5"/>
            <w:vMerge w:val="restart"/>
          </w:tcPr>
          <w:p>
            <w:pPr>
              <w:ind w:left="980"/>
              <w:spacing w:after="0"/>
              <w:rPr>
                <w:sz w:val="20"/>
                <w:szCs w:val="20"/>
                <w:color w:val="auto"/>
              </w:rPr>
            </w:pPr>
            <w:r>
              <w:rPr>
                <w:rFonts w:ascii="Arial" w:cs="Arial" w:eastAsia="Arial" w:hAnsi="Arial"/>
                <w:sz w:val="14"/>
                <w:szCs w:val="14"/>
                <w:b w:val="1"/>
                <w:bCs w:val="1"/>
                <w:color w:val="auto"/>
              </w:rPr>
              <w:t>Common shares</w:t>
            </w:r>
          </w:p>
        </w:tc>
        <w:tc>
          <w:tcPr>
            <w:tcW w:w="320" w:type="dxa"/>
            <w:vAlign w:val="bottom"/>
          </w:tcPr>
          <w:p>
            <w:pPr>
              <w:spacing w:after="0"/>
              <w:rPr>
                <w:sz w:val="12"/>
                <w:szCs w:val="12"/>
                <w:color w:val="auto"/>
              </w:rPr>
            </w:pPr>
          </w:p>
        </w:tc>
        <w:tc>
          <w:tcPr>
            <w:tcW w:w="12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5"/>
              </w:rPr>
              <w:t>paid-in</w:t>
            </w:r>
          </w:p>
        </w:tc>
        <w:tc>
          <w:tcPr>
            <w:tcW w:w="1500" w:type="dxa"/>
            <w:vAlign w:val="bottom"/>
            <w:gridSpan w:val="3"/>
            <w:vMerge w:val="restart"/>
          </w:tcPr>
          <w:p>
            <w:pPr>
              <w:ind w:left="120"/>
              <w:spacing w:after="0"/>
              <w:rPr>
                <w:sz w:val="20"/>
                <w:szCs w:val="20"/>
                <w:color w:val="auto"/>
              </w:rPr>
            </w:pPr>
            <w:r>
              <w:rPr>
                <w:rFonts w:ascii="Arial" w:cs="Arial" w:eastAsia="Arial" w:hAnsi="Arial"/>
                <w:sz w:val="14"/>
                <w:szCs w:val="14"/>
                <w:b w:val="1"/>
                <w:bCs w:val="1"/>
                <w:color w:val="auto"/>
              </w:rPr>
              <w:t>Accumulated deficit</w:t>
            </w:r>
          </w:p>
        </w:tc>
        <w:tc>
          <w:tcPr>
            <w:tcW w:w="1220" w:type="dxa"/>
            <w:vAlign w:val="bottom"/>
            <w:gridSpan w:val="3"/>
          </w:tcPr>
          <w:p>
            <w:pPr>
              <w:jc w:val="center"/>
              <w:ind w:right="20"/>
              <w:spacing w:after="0" w:line="149" w:lineRule="exact"/>
              <w:rPr>
                <w:sz w:val="20"/>
                <w:szCs w:val="20"/>
                <w:color w:val="auto"/>
              </w:rPr>
            </w:pPr>
            <w:r>
              <w:rPr>
                <w:rFonts w:ascii="Arial" w:cs="Arial" w:eastAsia="Arial" w:hAnsi="Arial"/>
                <w:sz w:val="14"/>
                <w:szCs w:val="14"/>
                <w:b w:val="1"/>
                <w:bCs w:val="1"/>
                <w:color w:val="auto"/>
                <w:w w:val="89"/>
              </w:rPr>
              <w:t>comprehensive</w:t>
            </w:r>
          </w:p>
        </w:tc>
        <w:tc>
          <w:tcPr>
            <w:tcW w:w="148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960" w:type="dxa"/>
            <w:vAlign w:val="bottom"/>
          </w:tcPr>
          <w:p>
            <w:pPr>
              <w:spacing w:after="0"/>
              <w:rPr>
                <w:sz w:val="14"/>
                <w:szCs w:val="14"/>
                <w:color w:val="auto"/>
              </w:rPr>
            </w:pPr>
          </w:p>
        </w:tc>
        <w:tc>
          <w:tcPr>
            <w:tcW w:w="2680" w:type="dxa"/>
            <w:vAlign w:val="bottom"/>
            <w:gridSpan w:val="5"/>
            <w:vMerge w:val="continue"/>
          </w:tcPr>
          <w:p>
            <w:pPr>
              <w:spacing w:after="0"/>
              <w:rPr>
                <w:sz w:val="14"/>
                <w:szCs w:val="14"/>
                <w:color w:val="auto"/>
              </w:rPr>
            </w:pPr>
          </w:p>
        </w:tc>
        <w:tc>
          <w:tcPr>
            <w:tcW w:w="320" w:type="dxa"/>
            <w:vAlign w:val="bottom"/>
          </w:tcPr>
          <w:p>
            <w:pPr>
              <w:spacing w:after="0"/>
              <w:rPr>
                <w:sz w:val="14"/>
                <w:szCs w:val="14"/>
                <w:color w:val="auto"/>
              </w:rPr>
            </w:pPr>
          </w:p>
        </w:tc>
        <w:tc>
          <w:tcPr>
            <w:tcW w:w="12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4"/>
              </w:rPr>
              <w:t>capital</w:t>
            </w:r>
          </w:p>
        </w:tc>
        <w:tc>
          <w:tcPr>
            <w:tcW w:w="1500" w:type="dxa"/>
            <w:vAlign w:val="bottom"/>
            <w:gridSpan w:val="3"/>
            <w:vMerge w:val="continue"/>
          </w:tcPr>
          <w:p>
            <w:pPr>
              <w:spacing w:after="0"/>
              <w:rPr>
                <w:sz w:val="14"/>
                <w:szCs w:val="14"/>
                <w:color w:val="auto"/>
              </w:rPr>
            </w:pPr>
          </w:p>
        </w:tc>
        <w:tc>
          <w:tcPr>
            <w:tcW w:w="300" w:type="dxa"/>
            <w:vAlign w:val="bottom"/>
          </w:tcPr>
          <w:p>
            <w:pPr>
              <w:spacing w:after="0"/>
              <w:rPr>
                <w:sz w:val="14"/>
                <w:szCs w:val="14"/>
                <w:color w:val="auto"/>
              </w:rPr>
            </w:pPr>
          </w:p>
        </w:tc>
        <w:tc>
          <w:tcPr>
            <w:tcW w:w="9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5"/>
              </w:rPr>
              <w:t xml:space="preserve">loss </w:t>
            </w:r>
            <w:r>
              <w:rPr>
                <w:rFonts w:ascii="Arial" w:cs="Arial" w:eastAsia="Arial" w:hAnsi="Arial"/>
                <w:sz w:val="12"/>
                <w:szCs w:val="12"/>
                <w:b w:val="1"/>
                <w:bCs w:val="1"/>
                <w:color w:val="auto"/>
                <w:w w:val="85"/>
              </w:rPr>
              <w:t>(1)</w:t>
            </w:r>
          </w:p>
        </w:tc>
        <w:tc>
          <w:tcPr>
            <w:tcW w:w="360" w:type="dxa"/>
            <w:vAlign w:val="bottom"/>
          </w:tcPr>
          <w:p>
            <w:pPr>
              <w:spacing w:after="0"/>
              <w:rPr>
                <w:sz w:val="14"/>
                <w:szCs w:val="14"/>
                <w:color w:val="auto"/>
              </w:rPr>
            </w:pPr>
          </w:p>
        </w:tc>
        <w:tc>
          <w:tcPr>
            <w:tcW w:w="112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960" w:type="dxa"/>
            <w:vAlign w:val="bottom"/>
            <w:tcBorders>
              <w:top w:val="single" w:sz="8" w:color="auto"/>
            </w:tcBorders>
          </w:tcPr>
          <w:p>
            <w:pPr>
              <w:spacing w:after="0"/>
              <w:rPr>
                <w:sz w:val="13"/>
                <w:szCs w:val="13"/>
                <w:color w:val="auto"/>
              </w:rPr>
            </w:pPr>
          </w:p>
        </w:tc>
        <w:tc>
          <w:tcPr>
            <w:tcW w:w="1480" w:type="dxa"/>
            <w:vAlign w:val="bottom"/>
            <w:tcBorders>
              <w:top w:val="single" w:sz="8" w:color="auto"/>
            </w:tcBorders>
            <w:gridSpan w:val="2"/>
          </w:tcPr>
          <w:p>
            <w:pPr>
              <w:ind w:left="680"/>
              <w:spacing w:after="0" w:line="155" w:lineRule="exact"/>
              <w:rPr>
                <w:sz w:val="20"/>
                <w:szCs w:val="20"/>
                <w:color w:val="auto"/>
              </w:rPr>
            </w:pPr>
            <w:r>
              <w:rPr>
                <w:rFonts w:ascii="Arial" w:cs="Arial" w:eastAsia="Arial" w:hAnsi="Arial"/>
                <w:sz w:val="14"/>
                <w:szCs w:val="14"/>
                <w:i w:val="1"/>
                <w:iCs w:val="1"/>
                <w:color w:val="auto"/>
              </w:rPr>
              <w:t>Shares</w:t>
            </w:r>
          </w:p>
        </w:tc>
        <w:tc>
          <w:tcPr>
            <w:tcW w:w="28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jc w:val="right"/>
              <w:ind w:right="193"/>
              <w:spacing w:after="0" w:line="155" w:lineRule="exact"/>
              <w:rPr>
                <w:sz w:val="20"/>
                <w:szCs w:val="20"/>
                <w:color w:val="auto"/>
              </w:rPr>
            </w:pPr>
            <w:r>
              <w:rPr>
                <w:rFonts w:ascii="Arial" w:cs="Arial" w:eastAsia="Arial" w:hAnsi="Arial"/>
                <w:sz w:val="14"/>
                <w:szCs w:val="14"/>
                <w:i w:val="1"/>
                <w:iCs w:val="1"/>
                <w:color w:val="auto"/>
              </w:rPr>
              <w:t>Amount</w:t>
            </w:r>
          </w:p>
        </w:tc>
        <w:tc>
          <w:tcPr>
            <w:tcW w:w="100" w:type="dxa"/>
            <w:vAlign w:val="bottom"/>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11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36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9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Balance as of</w:t>
            </w:r>
          </w:p>
        </w:tc>
        <w:tc>
          <w:tcPr>
            <w:tcW w:w="138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280" w:type="dxa"/>
            <w:vAlign w:val="bottom"/>
            <w:tcBorders>
              <w:top w:val="single" w:sz="8" w:color="auto"/>
            </w:tcBorders>
            <w:shd w:val="clear" w:color="auto" w:fill="CFF0FC"/>
          </w:tcPr>
          <w:p>
            <w:pPr>
              <w:spacing w:after="0"/>
              <w:rPr>
                <w:sz w:val="18"/>
                <w:szCs w:val="18"/>
                <w:color w:val="auto"/>
              </w:rPr>
            </w:pPr>
          </w:p>
        </w:tc>
        <w:tc>
          <w:tcPr>
            <w:tcW w:w="82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320" w:type="dxa"/>
            <w:vAlign w:val="bottom"/>
            <w:tcBorders>
              <w:top w:val="single" w:sz="8" w:color="auto"/>
            </w:tcBorders>
            <w:shd w:val="clear" w:color="auto" w:fill="CFF0FC"/>
          </w:tcPr>
          <w:p>
            <w:pPr>
              <w:spacing w:after="0"/>
              <w:rPr>
                <w:sz w:val="18"/>
                <w:szCs w:val="18"/>
                <w:color w:val="auto"/>
              </w:rPr>
            </w:pPr>
          </w:p>
        </w:tc>
        <w:tc>
          <w:tcPr>
            <w:tcW w:w="114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460" w:type="dxa"/>
            <w:vAlign w:val="bottom"/>
            <w:tcBorders>
              <w:top w:val="single" w:sz="8" w:color="auto"/>
            </w:tcBorders>
            <w:shd w:val="clear" w:color="auto" w:fill="CFF0FC"/>
          </w:tcPr>
          <w:p>
            <w:pPr>
              <w:spacing w:after="0"/>
              <w:rPr>
                <w:sz w:val="18"/>
                <w:szCs w:val="18"/>
                <w:color w:val="auto"/>
              </w:rPr>
            </w:pPr>
          </w:p>
        </w:tc>
        <w:tc>
          <w:tcPr>
            <w:tcW w:w="94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300" w:type="dxa"/>
            <w:vAlign w:val="bottom"/>
            <w:tcBorders>
              <w:top w:val="single" w:sz="8" w:color="auto"/>
            </w:tcBorders>
            <w:shd w:val="clear" w:color="auto" w:fill="CFF0FC"/>
          </w:tcPr>
          <w:p>
            <w:pPr>
              <w:spacing w:after="0"/>
              <w:rPr>
                <w:sz w:val="18"/>
                <w:szCs w:val="18"/>
                <w:color w:val="auto"/>
              </w:rPr>
            </w:pPr>
          </w:p>
        </w:tc>
        <w:tc>
          <w:tcPr>
            <w:tcW w:w="80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360" w:type="dxa"/>
            <w:vAlign w:val="bottom"/>
            <w:tcBorders>
              <w:top w:val="single" w:sz="8" w:color="auto"/>
            </w:tcBorders>
            <w:shd w:val="clear" w:color="auto" w:fill="CFF0FC"/>
          </w:tcPr>
          <w:p>
            <w:pPr>
              <w:spacing w:after="0"/>
              <w:rPr>
                <w:sz w:val="18"/>
                <w:szCs w:val="18"/>
                <w:color w:val="auto"/>
              </w:rPr>
            </w:pPr>
          </w:p>
        </w:tc>
        <w:tc>
          <w:tcPr>
            <w:tcW w:w="102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960" w:type="dxa"/>
            <w:vAlign w:val="bottom"/>
            <w:shd w:val="clear" w:color="auto" w:fill="CFF0FC"/>
          </w:tcPr>
          <w:p>
            <w:pPr>
              <w:ind w:left="120"/>
              <w:spacing w:after="0"/>
              <w:rPr>
                <w:sz w:val="20"/>
                <w:szCs w:val="20"/>
                <w:color w:val="auto"/>
              </w:rPr>
            </w:pPr>
            <w:r>
              <w:rPr>
                <w:rFonts w:ascii="Arial" w:cs="Arial" w:eastAsia="Arial" w:hAnsi="Arial"/>
                <w:sz w:val="18"/>
                <w:szCs w:val="18"/>
                <w:color w:val="auto"/>
              </w:rPr>
              <w:t>December 31, 2015</w:t>
            </w: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14,385,336</w:t>
            </w:r>
          </w:p>
        </w:tc>
        <w:tc>
          <w:tcPr>
            <w:tcW w:w="100" w:type="dxa"/>
            <w:vAlign w:val="bottom"/>
            <w:shd w:val="clear" w:color="auto" w:fill="CFF0FC"/>
          </w:tcPr>
          <w:p>
            <w:pPr>
              <w:spacing w:after="0"/>
              <w:rPr>
                <w:sz w:val="20"/>
                <w:szCs w:val="20"/>
                <w:color w:val="auto"/>
              </w:rPr>
            </w:pPr>
          </w:p>
        </w:tc>
        <w:tc>
          <w:tcPr>
            <w:tcW w:w="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148,634</w:t>
            </w:r>
          </w:p>
        </w:tc>
        <w:tc>
          <w:tcPr>
            <w:tcW w:w="100" w:type="dxa"/>
            <w:vAlign w:val="bottom"/>
            <w:shd w:val="clear" w:color="auto" w:fill="CFF0FC"/>
          </w:tcPr>
          <w:p>
            <w:pPr>
              <w:spacing w:after="0"/>
              <w:rPr>
                <w:sz w:val="20"/>
                <w:szCs w:val="20"/>
                <w:color w:val="auto"/>
              </w:rPr>
            </w:pPr>
          </w:p>
        </w:tc>
        <w:tc>
          <w:tcPr>
            <w:tcW w:w="3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33,083</w:t>
            </w:r>
          </w:p>
        </w:tc>
        <w:tc>
          <w:tcPr>
            <w:tcW w:w="100" w:type="dxa"/>
            <w:vAlign w:val="bottom"/>
            <w:shd w:val="clear" w:color="auto" w:fill="CFF0FC"/>
          </w:tcPr>
          <w:p>
            <w:pPr>
              <w:spacing w:after="0"/>
              <w:rPr>
                <w:sz w:val="20"/>
                <w:szCs w:val="20"/>
                <w:color w:val="auto"/>
              </w:rPr>
            </w:pPr>
          </w:p>
        </w:tc>
        <w:tc>
          <w:tcPr>
            <w:tcW w:w="460" w:type="dxa"/>
            <w:vAlign w:val="bottom"/>
            <w:shd w:val="clear" w:color="auto" w:fill="CFF0FC"/>
          </w:tcPr>
          <w:p>
            <w:pPr>
              <w:ind w:left="10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(119,693)</w:t>
            </w:r>
          </w:p>
        </w:tc>
        <w:tc>
          <w:tcPr>
            <w:tcW w:w="300" w:type="dxa"/>
            <w:vAlign w:val="bottom"/>
            <w:shd w:val="clear" w:color="auto" w:fill="CFF0FC"/>
          </w:tcPr>
          <w:p>
            <w:pPr>
              <w:jc w:val="right"/>
              <w:ind w:right="17"/>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(990)</w:t>
            </w:r>
          </w:p>
        </w:tc>
        <w:tc>
          <w:tcPr>
            <w:tcW w:w="360" w:type="dxa"/>
            <w:vAlign w:val="bottom"/>
            <w:shd w:val="clear" w:color="auto" w:fill="CFF0FC"/>
          </w:tcPr>
          <w:p>
            <w:pPr>
              <w:jc w:val="right"/>
              <w:ind w:right="74"/>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61,034</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9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Net loss for the year</w:t>
            </w:r>
          </w:p>
        </w:tc>
        <w:tc>
          <w:tcPr>
            <w:tcW w:w="13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(22,997)</w:t>
            </w:r>
          </w:p>
        </w:tc>
        <w:tc>
          <w:tcPr>
            <w:tcW w:w="10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(22,997)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960" w:type="dxa"/>
            <w:vAlign w:val="bottom"/>
            <w:shd w:val="clear" w:color="auto" w:fill="CFF0FC"/>
          </w:tcPr>
          <w:p>
            <w:pPr>
              <w:spacing w:after="0"/>
              <w:rPr>
                <w:sz w:val="20"/>
                <w:szCs w:val="20"/>
                <w:color w:val="auto"/>
              </w:rPr>
            </w:pPr>
            <w:r>
              <w:rPr>
                <w:rFonts w:ascii="Arial" w:cs="Arial" w:eastAsia="Arial" w:hAnsi="Arial"/>
                <w:sz w:val="18"/>
                <w:szCs w:val="18"/>
                <w:color w:val="auto"/>
              </w:rPr>
              <w:t>Issuance of common shares,</w:t>
            </w:r>
          </w:p>
        </w:tc>
        <w:tc>
          <w:tcPr>
            <w:tcW w:w="13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960" w:type="dxa"/>
            <w:vAlign w:val="bottom"/>
            <w:shd w:val="clear" w:color="auto" w:fill="CFF0FC"/>
          </w:tcPr>
          <w:p>
            <w:pPr>
              <w:ind w:left="120"/>
              <w:spacing w:after="0"/>
              <w:rPr>
                <w:sz w:val="20"/>
                <w:szCs w:val="20"/>
                <w:color w:val="auto"/>
              </w:rPr>
            </w:pPr>
            <w:r>
              <w:rPr>
                <w:rFonts w:ascii="Arial" w:cs="Arial" w:eastAsia="Arial" w:hAnsi="Arial"/>
                <w:sz w:val="18"/>
                <w:szCs w:val="18"/>
                <w:color w:val="auto"/>
              </w:rPr>
              <w:t>net of issuance costs</w:t>
            </w: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3,450,000</w:t>
            </w:r>
          </w:p>
        </w:tc>
        <w:tc>
          <w:tcPr>
            <w:tcW w:w="10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23,832</w:t>
            </w:r>
          </w:p>
        </w:tc>
        <w:tc>
          <w:tcPr>
            <w:tcW w:w="10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1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46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8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23,832</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960" w:type="dxa"/>
            <w:vAlign w:val="bottom"/>
          </w:tcPr>
          <w:p>
            <w:pPr>
              <w:spacing w:after="0"/>
              <w:rPr>
                <w:sz w:val="20"/>
                <w:szCs w:val="20"/>
                <w:color w:val="auto"/>
              </w:rPr>
            </w:pPr>
            <w:r>
              <w:rPr>
                <w:rFonts w:ascii="Arial" w:cs="Arial" w:eastAsia="Arial" w:hAnsi="Arial"/>
                <w:sz w:val="18"/>
                <w:szCs w:val="18"/>
                <w:color w:val="auto"/>
              </w:rPr>
              <w:t>Stock-based compensation</w:t>
            </w: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960" w:type="dxa"/>
            <w:vAlign w:val="bottom"/>
          </w:tcPr>
          <w:p>
            <w:pPr>
              <w:ind w:left="120"/>
              <w:spacing w:after="0"/>
              <w:rPr>
                <w:sz w:val="20"/>
                <w:szCs w:val="20"/>
                <w:color w:val="auto"/>
              </w:rPr>
            </w:pPr>
            <w:r>
              <w:rPr>
                <w:rFonts w:ascii="Arial" w:cs="Arial" w:eastAsia="Arial" w:hAnsi="Arial"/>
                <w:sz w:val="18"/>
                <w:szCs w:val="18"/>
                <w:color w:val="auto"/>
              </w:rPr>
              <w:t>expense</w:t>
            </w:r>
          </w:p>
        </w:tc>
        <w:tc>
          <w:tcPr>
            <w:tcW w:w="1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2,186</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2,186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960" w:type="dxa"/>
            <w:vAlign w:val="bottom"/>
            <w:shd w:val="clear" w:color="auto" w:fill="CFF0FC"/>
          </w:tcPr>
          <w:p>
            <w:pPr>
              <w:spacing w:after="0"/>
              <w:rPr>
                <w:sz w:val="20"/>
                <w:szCs w:val="20"/>
                <w:color w:val="auto"/>
              </w:rPr>
            </w:pPr>
            <w:r>
              <w:rPr>
                <w:rFonts w:ascii="Arial" w:cs="Arial" w:eastAsia="Arial" w:hAnsi="Arial"/>
                <w:sz w:val="18"/>
                <w:szCs w:val="18"/>
                <w:color w:val="auto"/>
              </w:rPr>
              <w:t>Issued pursuant to exercise</w:t>
            </w:r>
          </w:p>
        </w:tc>
        <w:tc>
          <w:tcPr>
            <w:tcW w:w="13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960" w:type="dxa"/>
            <w:vAlign w:val="bottom"/>
            <w:shd w:val="clear" w:color="auto" w:fill="CFF0FC"/>
          </w:tcPr>
          <w:p>
            <w:pPr>
              <w:ind w:left="120"/>
              <w:spacing w:after="0"/>
              <w:rPr>
                <w:sz w:val="20"/>
                <w:szCs w:val="20"/>
                <w:color w:val="auto"/>
              </w:rPr>
            </w:pPr>
            <w:r>
              <w:rPr>
                <w:rFonts w:ascii="Arial" w:cs="Arial" w:eastAsia="Arial" w:hAnsi="Arial"/>
                <w:sz w:val="18"/>
                <w:szCs w:val="18"/>
                <w:color w:val="auto"/>
              </w:rPr>
              <w:t>of stock options</w:t>
            </w: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95,254</w:t>
            </w:r>
          </w:p>
        </w:tc>
        <w:tc>
          <w:tcPr>
            <w:tcW w:w="10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780</w:t>
            </w:r>
          </w:p>
        </w:tc>
        <w:tc>
          <w:tcPr>
            <w:tcW w:w="10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2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(657)</w:t>
            </w:r>
          </w:p>
        </w:tc>
        <w:tc>
          <w:tcPr>
            <w:tcW w:w="460" w:type="dxa"/>
            <w:vAlign w:val="bottom"/>
            <w:shd w:val="clear" w:color="auto" w:fill="CFF0FC"/>
          </w:tcPr>
          <w:p>
            <w:pPr>
              <w:spacing w:after="0"/>
              <w:rPr>
                <w:sz w:val="20"/>
                <w:szCs w:val="20"/>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w:t>
            </w:r>
          </w:p>
        </w:tc>
        <w:tc>
          <w:tcPr>
            <w:tcW w:w="10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8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132</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960" w:type="dxa"/>
            <w:vAlign w:val="bottom"/>
          </w:tcPr>
          <w:p>
            <w:pPr>
              <w:spacing w:after="0"/>
              <w:rPr>
                <w:sz w:val="20"/>
                <w:szCs w:val="20"/>
                <w:color w:val="auto"/>
              </w:rPr>
            </w:pPr>
            <w:r>
              <w:rPr>
                <w:rFonts w:ascii="Arial" w:cs="Arial" w:eastAsia="Arial" w:hAnsi="Arial"/>
                <w:sz w:val="18"/>
                <w:szCs w:val="18"/>
                <w:color w:val="auto"/>
              </w:rPr>
              <w:t>Fair value adjustment upon</w:t>
            </w: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960" w:type="dxa"/>
            <w:vAlign w:val="bottom"/>
          </w:tcPr>
          <w:p>
            <w:pPr>
              <w:ind w:left="120"/>
              <w:spacing w:after="0"/>
              <w:rPr>
                <w:sz w:val="20"/>
                <w:szCs w:val="20"/>
                <w:color w:val="auto"/>
              </w:rPr>
            </w:pPr>
            <w:r>
              <w:rPr>
                <w:rFonts w:ascii="Arial" w:cs="Arial" w:eastAsia="Arial" w:hAnsi="Arial"/>
                <w:sz w:val="18"/>
                <w:szCs w:val="18"/>
                <w:color w:val="auto"/>
              </w:rPr>
              <w:t>reclassification of stock options</w:t>
            </w:r>
          </w:p>
        </w:tc>
        <w:tc>
          <w:tcPr>
            <w:tcW w:w="1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(286)</w:t>
            </w:r>
          </w:p>
        </w:tc>
        <w:tc>
          <w:tcPr>
            <w:tcW w:w="4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(286)</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9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Balance as of</w:t>
            </w:r>
          </w:p>
        </w:tc>
        <w:tc>
          <w:tcPr>
            <w:tcW w:w="138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280" w:type="dxa"/>
            <w:vAlign w:val="bottom"/>
            <w:tcBorders>
              <w:top w:val="single" w:sz="8" w:color="auto"/>
            </w:tcBorders>
            <w:shd w:val="clear" w:color="auto" w:fill="CFF0FC"/>
          </w:tcPr>
          <w:p>
            <w:pPr>
              <w:spacing w:after="0"/>
              <w:rPr>
                <w:sz w:val="18"/>
                <w:szCs w:val="18"/>
                <w:color w:val="auto"/>
              </w:rPr>
            </w:pPr>
          </w:p>
        </w:tc>
        <w:tc>
          <w:tcPr>
            <w:tcW w:w="82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320" w:type="dxa"/>
            <w:vAlign w:val="bottom"/>
            <w:tcBorders>
              <w:top w:val="single" w:sz="8" w:color="auto"/>
            </w:tcBorders>
            <w:shd w:val="clear" w:color="auto" w:fill="CFF0FC"/>
          </w:tcPr>
          <w:p>
            <w:pPr>
              <w:spacing w:after="0"/>
              <w:rPr>
                <w:sz w:val="18"/>
                <w:szCs w:val="18"/>
                <w:color w:val="auto"/>
              </w:rPr>
            </w:pPr>
          </w:p>
        </w:tc>
        <w:tc>
          <w:tcPr>
            <w:tcW w:w="114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460" w:type="dxa"/>
            <w:vAlign w:val="bottom"/>
            <w:tcBorders>
              <w:top w:val="single" w:sz="8" w:color="auto"/>
            </w:tcBorders>
            <w:shd w:val="clear" w:color="auto" w:fill="CFF0FC"/>
          </w:tcPr>
          <w:p>
            <w:pPr>
              <w:spacing w:after="0"/>
              <w:rPr>
                <w:sz w:val="18"/>
                <w:szCs w:val="18"/>
                <w:color w:val="auto"/>
              </w:rPr>
            </w:pPr>
          </w:p>
        </w:tc>
        <w:tc>
          <w:tcPr>
            <w:tcW w:w="94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300" w:type="dxa"/>
            <w:vAlign w:val="bottom"/>
            <w:tcBorders>
              <w:top w:val="single" w:sz="8" w:color="auto"/>
            </w:tcBorders>
            <w:shd w:val="clear" w:color="auto" w:fill="CFF0FC"/>
          </w:tcPr>
          <w:p>
            <w:pPr>
              <w:spacing w:after="0"/>
              <w:rPr>
                <w:sz w:val="18"/>
                <w:szCs w:val="18"/>
                <w:color w:val="auto"/>
              </w:rPr>
            </w:pPr>
          </w:p>
        </w:tc>
        <w:tc>
          <w:tcPr>
            <w:tcW w:w="80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360" w:type="dxa"/>
            <w:vAlign w:val="bottom"/>
            <w:tcBorders>
              <w:top w:val="single" w:sz="8" w:color="auto"/>
            </w:tcBorders>
            <w:shd w:val="clear" w:color="auto" w:fill="CFF0FC"/>
          </w:tcPr>
          <w:p>
            <w:pPr>
              <w:spacing w:after="0"/>
              <w:rPr>
                <w:sz w:val="18"/>
                <w:szCs w:val="18"/>
                <w:color w:val="auto"/>
              </w:rPr>
            </w:pPr>
          </w:p>
        </w:tc>
        <w:tc>
          <w:tcPr>
            <w:tcW w:w="102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960" w:type="dxa"/>
            <w:vAlign w:val="bottom"/>
            <w:shd w:val="clear" w:color="auto" w:fill="CFF0FC"/>
          </w:tcPr>
          <w:p>
            <w:pPr>
              <w:ind w:left="120"/>
              <w:spacing w:after="0"/>
              <w:rPr>
                <w:sz w:val="20"/>
                <w:szCs w:val="20"/>
                <w:color w:val="auto"/>
              </w:rPr>
            </w:pPr>
            <w:r>
              <w:rPr>
                <w:rFonts w:ascii="Arial" w:cs="Arial" w:eastAsia="Arial" w:hAnsi="Arial"/>
                <w:sz w:val="18"/>
                <w:szCs w:val="18"/>
                <w:color w:val="auto"/>
              </w:rPr>
              <w:t>December 31, 2016</w:t>
            </w: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17,930,590</w:t>
            </w:r>
          </w:p>
        </w:tc>
        <w:tc>
          <w:tcPr>
            <w:tcW w:w="100" w:type="dxa"/>
            <w:vAlign w:val="bottom"/>
            <w:shd w:val="clear" w:color="auto" w:fill="CFF0FC"/>
          </w:tcPr>
          <w:p>
            <w:pPr>
              <w:spacing w:after="0"/>
              <w:rPr>
                <w:sz w:val="20"/>
                <w:szCs w:val="20"/>
                <w:color w:val="auto"/>
              </w:rPr>
            </w:pPr>
          </w:p>
        </w:tc>
        <w:tc>
          <w:tcPr>
            <w:tcW w:w="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173,246</w:t>
            </w:r>
          </w:p>
        </w:tc>
        <w:tc>
          <w:tcPr>
            <w:tcW w:w="100" w:type="dxa"/>
            <w:vAlign w:val="bottom"/>
            <w:shd w:val="clear" w:color="auto" w:fill="CFF0FC"/>
          </w:tcPr>
          <w:p>
            <w:pPr>
              <w:spacing w:after="0"/>
              <w:rPr>
                <w:sz w:val="20"/>
                <w:szCs w:val="20"/>
                <w:color w:val="auto"/>
              </w:rPr>
            </w:pPr>
          </w:p>
        </w:tc>
        <w:tc>
          <w:tcPr>
            <w:tcW w:w="3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34,326</w:t>
            </w:r>
          </w:p>
        </w:tc>
        <w:tc>
          <w:tcPr>
            <w:tcW w:w="100" w:type="dxa"/>
            <w:vAlign w:val="bottom"/>
            <w:shd w:val="clear" w:color="auto" w:fill="CFF0FC"/>
          </w:tcPr>
          <w:p>
            <w:pPr>
              <w:spacing w:after="0"/>
              <w:rPr>
                <w:sz w:val="20"/>
                <w:szCs w:val="20"/>
                <w:color w:val="auto"/>
              </w:rPr>
            </w:pPr>
          </w:p>
        </w:tc>
        <w:tc>
          <w:tcPr>
            <w:tcW w:w="460" w:type="dxa"/>
            <w:vAlign w:val="bottom"/>
            <w:shd w:val="clear" w:color="auto" w:fill="CFF0FC"/>
          </w:tcPr>
          <w:p>
            <w:pPr>
              <w:ind w:left="10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(142,681)</w:t>
            </w:r>
          </w:p>
        </w:tc>
        <w:tc>
          <w:tcPr>
            <w:tcW w:w="300" w:type="dxa"/>
            <w:vAlign w:val="bottom"/>
            <w:shd w:val="clear" w:color="auto" w:fill="CFF0FC"/>
          </w:tcPr>
          <w:p>
            <w:pPr>
              <w:jc w:val="right"/>
              <w:ind w:right="17"/>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(990)</w:t>
            </w:r>
          </w:p>
        </w:tc>
        <w:tc>
          <w:tcPr>
            <w:tcW w:w="360" w:type="dxa"/>
            <w:vAlign w:val="bottom"/>
            <w:shd w:val="clear" w:color="auto" w:fill="CFF0FC"/>
          </w:tcPr>
          <w:p>
            <w:pPr>
              <w:jc w:val="right"/>
              <w:ind w:right="74"/>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63,901</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9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Net loss for the period</w:t>
            </w:r>
          </w:p>
        </w:tc>
        <w:tc>
          <w:tcPr>
            <w:tcW w:w="13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(14,897)</w:t>
            </w:r>
          </w:p>
        </w:tc>
        <w:tc>
          <w:tcPr>
            <w:tcW w:w="10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(14,897)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960" w:type="dxa"/>
            <w:vAlign w:val="bottom"/>
            <w:shd w:val="clear" w:color="auto" w:fill="CFF0FC"/>
          </w:tcPr>
          <w:p>
            <w:pPr>
              <w:spacing w:after="0"/>
              <w:rPr>
                <w:sz w:val="20"/>
                <w:szCs w:val="20"/>
                <w:color w:val="auto"/>
              </w:rPr>
            </w:pPr>
            <w:r>
              <w:rPr>
                <w:rFonts w:ascii="Arial" w:cs="Arial" w:eastAsia="Arial" w:hAnsi="Arial"/>
                <w:sz w:val="18"/>
                <w:szCs w:val="18"/>
                <w:color w:val="auto"/>
              </w:rPr>
              <w:t>Stock-based compensation</w:t>
            </w:r>
          </w:p>
        </w:tc>
        <w:tc>
          <w:tcPr>
            <w:tcW w:w="13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960" w:type="dxa"/>
            <w:vAlign w:val="bottom"/>
            <w:shd w:val="clear" w:color="auto" w:fill="CFF0FC"/>
          </w:tcPr>
          <w:p>
            <w:pPr>
              <w:ind w:left="120"/>
              <w:spacing w:after="0"/>
              <w:rPr>
                <w:sz w:val="20"/>
                <w:szCs w:val="20"/>
                <w:color w:val="auto"/>
              </w:rPr>
            </w:pPr>
            <w:r>
              <w:rPr>
                <w:rFonts w:ascii="Arial" w:cs="Arial" w:eastAsia="Arial" w:hAnsi="Arial"/>
                <w:sz w:val="18"/>
                <w:szCs w:val="18"/>
                <w:color w:val="auto"/>
              </w:rPr>
              <w:t>expense</w:t>
            </w:r>
          </w:p>
        </w:tc>
        <w:tc>
          <w:tcPr>
            <w:tcW w:w="13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8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1,271</w:t>
            </w:r>
          </w:p>
        </w:tc>
        <w:tc>
          <w:tcPr>
            <w:tcW w:w="100" w:type="dxa"/>
            <w:vAlign w:val="bottom"/>
            <w:shd w:val="clear" w:color="auto" w:fill="CFF0FC"/>
          </w:tcPr>
          <w:p>
            <w:pPr>
              <w:spacing w:after="0"/>
              <w:rPr>
                <w:sz w:val="20"/>
                <w:szCs w:val="20"/>
                <w:color w:val="auto"/>
              </w:rPr>
            </w:pPr>
          </w:p>
        </w:tc>
        <w:tc>
          <w:tcPr>
            <w:tcW w:w="46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8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1,271</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960" w:type="dxa"/>
            <w:vAlign w:val="bottom"/>
          </w:tcPr>
          <w:p>
            <w:pPr>
              <w:spacing w:after="0"/>
              <w:rPr>
                <w:sz w:val="20"/>
                <w:szCs w:val="20"/>
                <w:color w:val="auto"/>
              </w:rPr>
            </w:pPr>
            <w:r>
              <w:rPr>
                <w:rFonts w:ascii="Arial" w:cs="Arial" w:eastAsia="Arial" w:hAnsi="Arial"/>
                <w:sz w:val="18"/>
                <w:szCs w:val="18"/>
                <w:color w:val="auto"/>
              </w:rPr>
              <w:t>Issued pursuant to exercise</w:t>
            </w: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960" w:type="dxa"/>
            <w:vAlign w:val="bottom"/>
          </w:tcPr>
          <w:p>
            <w:pPr>
              <w:ind w:left="120"/>
              <w:spacing w:after="0"/>
              <w:rPr>
                <w:sz w:val="20"/>
                <w:szCs w:val="20"/>
                <w:color w:val="auto"/>
              </w:rPr>
            </w:pPr>
            <w:r>
              <w:rPr>
                <w:rFonts w:ascii="Arial" w:cs="Arial" w:eastAsia="Arial" w:hAnsi="Arial"/>
                <w:sz w:val="18"/>
                <w:szCs w:val="18"/>
                <w:color w:val="auto"/>
              </w:rPr>
              <w:t>of stock options</w:t>
            </w:r>
          </w:p>
        </w:tc>
        <w:tc>
          <w:tcPr>
            <w:tcW w:w="1380" w:type="dxa"/>
            <w:vAlign w:val="bottom"/>
          </w:tcPr>
          <w:p>
            <w:pPr>
              <w:jc w:val="right"/>
              <w:spacing w:after="0"/>
              <w:rPr>
                <w:sz w:val="20"/>
                <w:szCs w:val="20"/>
                <w:color w:val="auto"/>
              </w:rPr>
            </w:pPr>
            <w:r>
              <w:rPr>
                <w:rFonts w:ascii="Arial" w:cs="Arial" w:eastAsia="Arial" w:hAnsi="Arial"/>
                <w:sz w:val="18"/>
                <w:szCs w:val="18"/>
                <w:color w:val="auto"/>
              </w:rPr>
              <w:t>67,830</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595</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(415)</w:t>
            </w:r>
          </w:p>
        </w:tc>
        <w:tc>
          <w:tcPr>
            <w:tcW w:w="460" w:type="dxa"/>
            <w:vAlign w:val="bottom"/>
          </w:tcPr>
          <w:p>
            <w:pPr>
              <w:spacing w:after="0"/>
              <w:rPr>
                <w:sz w:val="20"/>
                <w:szCs w:val="20"/>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(3)</w:t>
            </w:r>
          </w:p>
        </w:tc>
        <w:tc>
          <w:tcPr>
            <w:tcW w:w="3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177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9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Balance as of</w:t>
            </w:r>
          </w:p>
        </w:tc>
        <w:tc>
          <w:tcPr>
            <w:tcW w:w="138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280" w:type="dxa"/>
            <w:vAlign w:val="bottom"/>
            <w:tcBorders>
              <w:top w:val="single" w:sz="8" w:color="auto"/>
            </w:tcBorders>
            <w:shd w:val="clear" w:color="auto" w:fill="CFF0FC"/>
          </w:tcPr>
          <w:p>
            <w:pPr>
              <w:spacing w:after="0"/>
              <w:rPr>
                <w:sz w:val="18"/>
                <w:szCs w:val="18"/>
                <w:color w:val="auto"/>
              </w:rPr>
            </w:pPr>
          </w:p>
        </w:tc>
        <w:tc>
          <w:tcPr>
            <w:tcW w:w="82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320" w:type="dxa"/>
            <w:vAlign w:val="bottom"/>
            <w:tcBorders>
              <w:top w:val="single" w:sz="8" w:color="auto"/>
            </w:tcBorders>
            <w:shd w:val="clear" w:color="auto" w:fill="CFF0FC"/>
          </w:tcPr>
          <w:p>
            <w:pPr>
              <w:spacing w:after="0"/>
              <w:rPr>
                <w:sz w:val="18"/>
                <w:szCs w:val="18"/>
                <w:color w:val="auto"/>
              </w:rPr>
            </w:pPr>
          </w:p>
        </w:tc>
        <w:tc>
          <w:tcPr>
            <w:tcW w:w="114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460" w:type="dxa"/>
            <w:vAlign w:val="bottom"/>
            <w:tcBorders>
              <w:top w:val="single" w:sz="8" w:color="auto"/>
            </w:tcBorders>
            <w:shd w:val="clear" w:color="auto" w:fill="CFF0FC"/>
          </w:tcPr>
          <w:p>
            <w:pPr>
              <w:spacing w:after="0"/>
              <w:rPr>
                <w:sz w:val="18"/>
                <w:szCs w:val="18"/>
                <w:color w:val="auto"/>
              </w:rPr>
            </w:pPr>
          </w:p>
        </w:tc>
        <w:tc>
          <w:tcPr>
            <w:tcW w:w="94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300" w:type="dxa"/>
            <w:vAlign w:val="bottom"/>
            <w:tcBorders>
              <w:top w:val="single" w:sz="8" w:color="auto"/>
            </w:tcBorders>
            <w:shd w:val="clear" w:color="auto" w:fill="CFF0FC"/>
          </w:tcPr>
          <w:p>
            <w:pPr>
              <w:spacing w:after="0"/>
              <w:rPr>
                <w:sz w:val="18"/>
                <w:szCs w:val="18"/>
                <w:color w:val="auto"/>
              </w:rPr>
            </w:pPr>
          </w:p>
        </w:tc>
        <w:tc>
          <w:tcPr>
            <w:tcW w:w="80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360" w:type="dxa"/>
            <w:vAlign w:val="bottom"/>
            <w:tcBorders>
              <w:top w:val="single" w:sz="8" w:color="auto"/>
            </w:tcBorders>
            <w:shd w:val="clear" w:color="auto" w:fill="CFF0FC"/>
          </w:tcPr>
          <w:p>
            <w:pPr>
              <w:spacing w:after="0"/>
              <w:rPr>
                <w:sz w:val="18"/>
                <w:szCs w:val="18"/>
                <w:color w:val="auto"/>
              </w:rPr>
            </w:pPr>
          </w:p>
        </w:tc>
        <w:tc>
          <w:tcPr>
            <w:tcW w:w="102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960" w:type="dxa"/>
            <w:vAlign w:val="bottom"/>
            <w:shd w:val="clear" w:color="auto" w:fill="CFF0FC"/>
          </w:tcPr>
          <w:p>
            <w:pPr>
              <w:ind w:left="120"/>
              <w:spacing w:after="0"/>
              <w:rPr>
                <w:sz w:val="20"/>
                <w:szCs w:val="20"/>
                <w:color w:val="auto"/>
              </w:rPr>
            </w:pPr>
            <w:r>
              <w:rPr>
                <w:rFonts w:ascii="Arial" w:cs="Arial" w:eastAsia="Arial" w:hAnsi="Arial"/>
                <w:sz w:val="18"/>
                <w:szCs w:val="18"/>
                <w:color w:val="auto"/>
              </w:rPr>
              <w:t>June 30, 2017</w:t>
            </w: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17,998,420</w:t>
            </w:r>
          </w:p>
        </w:tc>
        <w:tc>
          <w:tcPr>
            <w:tcW w:w="100" w:type="dxa"/>
            <w:vAlign w:val="bottom"/>
            <w:shd w:val="clear" w:color="auto" w:fill="CFF0FC"/>
          </w:tcPr>
          <w:p>
            <w:pPr>
              <w:spacing w:after="0"/>
              <w:rPr>
                <w:sz w:val="20"/>
                <w:szCs w:val="20"/>
                <w:color w:val="auto"/>
              </w:rPr>
            </w:pPr>
          </w:p>
        </w:tc>
        <w:tc>
          <w:tcPr>
            <w:tcW w:w="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173,841</w:t>
            </w:r>
          </w:p>
        </w:tc>
        <w:tc>
          <w:tcPr>
            <w:tcW w:w="100" w:type="dxa"/>
            <w:vAlign w:val="bottom"/>
            <w:shd w:val="clear" w:color="auto" w:fill="CFF0FC"/>
          </w:tcPr>
          <w:p>
            <w:pPr>
              <w:spacing w:after="0"/>
              <w:rPr>
                <w:sz w:val="20"/>
                <w:szCs w:val="20"/>
                <w:color w:val="auto"/>
              </w:rPr>
            </w:pPr>
          </w:p>
        </w:tc>
        <w:tc>
          <w:tcPr>
            <w:tcW w:w="3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35,182</w:t>
            </w:r>
          </w:p>
        </w:tc>
        <w:tc>
          <w:tcPr>
            <w:tcW w:w="100" w:type="dxa"/>
            <w:vAlign w:val="bottom"/>
            <w:shd w:val="clear" w:color="auto" w:fill="CFF0FC"/>
          </w:tcPr>
          <w:p>
            <w:pPr>
              <w:spacing w:after="0"/>
              <w:rPr>
                <w:sz w:val="20"/>
                <w:szCs w:val="20"/>
                <w:color w:val="auto"/>
              </w:rPr>
            </w:pPr>
          </w:p>
        </w:tc>
        <w:tc>
          <w:tcPr>
            <w:tcW w:w="460" w:type="dxa"/>
            <w:vAlign w:val="bottom"/>
            <w:shd w:val="clear" w:color="auto" w:fill="CFF0FC"/>
          </w:tcPr>
          <w:p>
            <w:pPr>
              <w:ind w:left="10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(157,581)</w:t>
            </w:r>
          </w:p>
        </w:tc>
        <w:tc>
          <w:tcPr>
            <w:tcW w:w="300" w:type="dxa"/>
            <w:vAlign w:val="bottom"/>
            <w:shd w:val="clear" w:color="auto" w:fill="CFF0FC"/>
          </w:tcPr>
          <w:p>
            <w:pPr>
              <w:jc w:val="right"/>
              <w:ind w:right="17"/>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(990)</w:t>
            </w:r>
          </w:p>
        </w:tc>
        <w:tc>
          <w:tcPr>
            <w:tcW w:w="360" w:type="dxa"/>
            <w:vAlign w:val="bottom"/>
            <w:shd w:val="clear" w:color="auto" w:fill="CFF0FC"/>
          </w:tcPr>
          <w:p>
            <w:pPr>
              <w:jc w:val="right"/>
              <w:ind w:right="74"/>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50,452</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96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6" w:lineRule="exact"/>
        <w:rPr>
          <w:sz w:val="20"/>
          <w:szCs w:val="20"/>
          <w:color w:val="auto"/>
        </w:rPr>
      </w:pPr>
    </w:p>
    <w:p>
      <w:pPr>
        <w:ind w:left="380" w:right="420" w:hanging="372"/>
        <w:spacing w:after="0" w:line="293" w:lineRule="auto"/>
        <w:tabs>
          <w:tab w:leader="none" w:pos="38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accumulated other comprehensive loss is entirely related to historical cumulative translation adjustments from the application of U.S. dollar reporting when the functional currency of the Company was the Canadian dollar.</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accompanying notes are an integral part of these financial statements.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35" w:right="2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XENON PHARMACEUTICALS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Consolidated Statements of Cash Flows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(Expressed in thousands of U.S. dollars)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7804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8040" cy="8890"/>
                    </a:xfrm>
                    <a:prstGeom prst="rect">
                      <a:avLst/>
                    </a:prstGeom>
                    <a:noFill/>
                  </pic:spPr>
                </pic:pic>
              </a:graphicData>
            </a:graphic>
          </wp:anchor>
        </w:drawing>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7860" w:type="dxa"/>
            <w:vAlign w:val="bottom"/>
          </w:tcPr>
          <w:p>
            <w:pPr>
              <w:spacing w:after="0"/>
              <w:rPr>
                <w:sz w:val="14"/>
                <w:szCs w:val="14"/>
                <w:color w:val="auto"/>
              </w:rPr>
            </w:pPr>
          </w:p>
        </w:tc>
        <w:tc>
          <w:tcPr>
            <w:tcW w:w="2820" w:type="dxa"/>
            <w:vAlign w:val="bottom"/>
            <w:tcBorders>
              <w:bottom w:val="single" w:sz="8" w:color="auto"/>
            </w:tcBorders>
            <w:gridSpan w:val="4"/>
          </w:tcPr>
          <w:p>
            <w:pPr>
              <w:jc w:val="right"/>
              <w:ind w:right="174"/>
              <w:spacing w:after="0"/>
              <w:rPr>
                <w:sz w:val="20"/>
                <w:szCs w:val="20"/>
                <w:color w:val="auto"/>
              </w:rPr>
            </w:pPr>
            <w:r>
              <w:rPr>
                <w:rFonts w:ascii="Arial" w:cs="Arial" w:eastAsia="Arial" w:hAnsi="Arial"/>
                <w:sz w:val="14"/>
                <w:szCs w:val="14"/>
                <w:b w:val="1"/>
                <w:bCs w:val="1"/>
                <w:color w:val="auto"/>
              </w:rPr>
              <w:t>Six Months Ended June 30,</w:t>
            </w:r>
          </w:p>
        </w:tc>
        <w:tc>
          <w:tcPr>
            <w:tcW w:w="6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86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2017</w:t>
            </w:r>
          </w:p>
        </w:tc>
        <w:tc>
          <w:tcPr>
            <w:tcW w:w="600" w:type="dxa"/>
            <w:vAlign w:val="bottom"/>
            <w:tcBorders>
              <w:bottom w:val="single" w:sz="8" w:color="auto"/>
            </w:tcBorders>
          </w:tcPr>
          <w:p>
            <w:pPr>
              <w:spacing w:after="0"/>
              <w:rPr>
                <w:sz w:val="13"/>
                <w:szCs w:val="13"/>
                <w:color w:val="auto"/>
              </w:rPr>
            </w:pPr>
          </w:p>
        </w:tc>
        <w:tc>
          <w:tcPr>
            <w:tcW w:w="120" w:type="dxa"/>
            <w:vAlign w:val="bottom"/>
            <w:tcBorders>
              <w:bottom w:val="single" w:sz="8" w:color="CFF0FC"/>
            </w:tcBorders>
          </w:tcPr>
          <w:p>
            <w:pPr>
              <w:spacing w:after="0"/>
              <w:rPr>
                <w:sz w:val="13"/>
                <w:szCs w:val="13"/>
                <w:color w:val="auto"/>
              </w:rPr>
            </w:pPr>
          </w:p>
        </w:tc>
        <w:tc>
          <w:tcPr>
            <w:tcW w:w="11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2016</w:t>
            </w:r>
          </w:p>
        </w:tc>
        <w:tc>
          <w:tcPr>
            <w:tcW w:w="620" w:type="dxa"/>
            <w:vAlign w:val="bottom"/>
            <w:tcBorders>
              <w:bottom w:val="single" w:sz="8" w:color="auto"/>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8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Operating activities:</w:t>
            </w:r>
          </w:p>
        </w:tc>
        <w:tc>
          <w:tcPr>
            <w:tcW w:w="96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60" w:type="dxa"/>
            <w:vAlign w:val="bottom"/>
          </w:tcPr>
          <w:p>
            <w:pPr>
              <w:ind w:left="240"/>
              <w:spacing w:after="0"/>
              <w:rPr>
                <w:sz w:val="20"/>
                <w:szCs w:val="20"/>
                <w:color w:val="auto"/>
              </w:rPr>
            </w:pPr>
            <w:r>
              <w:rPr>
                <w:rFonts w:ascii="Arial" w:cs="Arial" w:eastAsia="Arial" w:hAnsi="Arial"/>
                <w:sz w:val="18"/>
                <w:szCs w:val="18"/>
                <w:color w:val="auto"/>
              </w:rPr>
              <w:t>Net loss</w:t>
            </w:r>
          </w:p>
        </w:tc>
        <w:tc>
          <w:tcPr>
            <w:tcW w:w="960" w:type="dxa"/>
            <w:vAlign w:val="bottom"/>
          </w:tcPr>
          <w:p>
            <w:pPr>
              <w:jc w:val="right"/>
              <w:ind w:right="777"/>
              <w:spacing w:after="0"/>
              <w:rPr>
                <w:sz w:val="20"/>
                <w:szCs w:val="20"/>
                <w:color w:val="auto"/>
              </w:rPr>
            </w:pPr>
            <w:r>
              <w:rPr>
                <w:rFonts w:ascii="Arial" w:cs="Arial" w:eastAsia="Arial" w:hAnsi="Arial"/>
                <w:sz w:val="18"/>
                <w:szCs w:val="18"/>
                <w:color w:val="auto"/>
                <w:w w:val="79"/>
              </w:rPr>
              <w:t>$</w:t>
            </w: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w w:val="95"/>
              </w:rPr>
              <w:t>(14,897)</w:t>
            </w:r>
          </w:p>
        </w:tc>
        <w:tc>
          <w:tcPr>
            <w:tcW w:w="1140" w:type="dxa"/>
            <w:vAlign w:val="bottom"/>
          </w:tcPr>
          <w:p>
            <w:pPr>
              <w:jc w:val="right"/>
              <w:ind w:right="794"/>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(9,279)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Items not involving cash:</w:t>
            </w:r>
          </w:p>
        </w:tc>
        <w:tc>
          <w:tcPr>
            <w:tcW w:w="96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60" w:type="dxa"/>
            <w:vAlign w:val="bottom"/>
          </w:tcPr>
          <w:p>
            <w:pPr>
              <w:ind w:left="480"/>
              <w:spacing w:after="0"/>
              <w:rPr>
                <w:sz w:val="20"/>
                <w:szCs w:val="20"/>
                <w:color w:val="auto"/>
              </w:rPr>
            </w:pPr>
            <w:r>
              <w:rPr>
                <w:rFonts w:ascii="Arial" w:cs="Arial" w:eastAsia="Arial" w:hAnsi="Arial"/>
                <w:sz w:val="18"/>
                <w:szCs w:val="18"/>
                <w:color w:val="auto"/>
              </w:rPr>
              <w:t>Depreciation and amortization</w:t>
            </w:r>
          </w:p>
        </w:tc>
        <w:tc>
          <w:tcPr>
            <w:tcW w:w="9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334</w:t>
            </w: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531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60" w:type="dxa"/>
            <w:vAlign w:val="bottom"/>
            <w:shd w:val="clear" w:color="auto" w:fill="CFF0FC"/>
          </w:tcPr>
          <w:p>
            <w:pPr>
              <w:ind w:left="480"/>
              <w:spacing w:after="0"/>
              <w:rPr>
                <w:sz w:val="20"/>
                <w:szCs w:val="20"/>
                <w:color w:val="auto"/>
              </w:rPr>
            </w:pPr>
            <w:r>
              <w:rPr>
                <w:rFonts w:ascii="Arial" w:cs="Arial" w:eastAsia="Arial" w:hAnsi="Arial"/>
                <w:sz w:val="18"/>
                <w:szCs w:val="18"/>
                <w:color w:val="auto"/>
              </w:rPr>
              <w:t>Stock-based compensation</w:t>
            </w:r>
          </w:p>
        </w:tc>
        <w:tc>
          <w:tcPr>
            <w:tcW w:w="96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1,076</w:t>
            </w:r>
          </w:p>
        </w:tc>
        <w:tc>
          <w:tcPr>
            <w:tcW w:w="12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60" w:type="dxa"/>
            <w:vAlign w:val="bottom"/>
          </w:tcPr>
          <w:p>
            <w:pPr>
              <w:ind w:left="480"/>
              <w:spacing w:after="0"/>
              <w:rPr>
                <w:sz w:val="20"/>
                <w:szCs w:val="20"/>
                <w:color w:val="auto"/>
              </w:rPr>
            </w:pPr>
            <w:r>
              <w:rPr>
                <w:rFonts w:ascii="Arial" w:cs="Arial" w:eastAsia="Arial" w:hAnsi="Arial"/>
                <w:sz w:val="18"/>
                <w:szCs w:val="18"/>
                <w:color w:val="auto"/>
              </w:rPr>
              <w:t>Unrealized foreign exchange gain</w:t>
            </w:r>
          </w:p>
        </w:tc>
        <w:tc>
          <w:tcPr>
            <w:tcW w:w="960" w:type="dxa"/>
            <w:vAlign w:val="bottom"/>
          </w:tcPr>
          <w:p>
            <w:pPr>
              <w:spacing w:after="0"/>
              <w:rPr>
                <w:sz w:val="19"/>
                <w:szCs w:val="19"/>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(819)</w:t>
            </w:r>
          </w:p>
        </w:tc>
        <w:tc>
          <w:tcPr>
            <w:tcW w:w="1140" w:type="dxa"/>
            <w:vAlign w:val="bottom"/>
          </w:tcPr>
          <w:p>
            <w:pPr>
              <w:spacing w:after="0"/>
              <w:rPr>
                <w:sz w:val="19"/>
                <w:szCs w:val="19"/>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(2,508)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Changes in operating assets and liabilities:</w:t>
            </w:r>
          </w:p>
        </w:tc>
        <w:tc>
          <w:tcPr>
            <w:tcW w:w="96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60" w:type="dxa"/>
            <w:vAlign w:val="bottom"/>
          </w:tcPr>
          <w:p>
            <w:pPr>
              <w:ind w:left="480"/>
              <w:spacing w:after="0"/>
              <w:rPr>
                <w:sz w:val="20"/>
                <w:szCs w:val="20"/>
                <w:color w:val="auto"/>
              </w:rPr>
            </w:pPr>
            <w:r>
              <w:rPr>
                <w:rFonts w:ascii="Arial" w:cs="Arial" w:eastAsia="Arial" w:hAnsi="Arial"/>
                <w:sz w:val="18"/>
                <w:szCs w:val="18"/>
                <w:color w:val="auto"/>
              </w:rPr>
              <w:t>Accounts receivable</w:t>
            </w:r>
          </w:p>
        </w:tc>
        <w:tc>
          <w:tcPr>
            <w:tcW w:w="9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(333)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60" w:type="dxa"/>
            <w:vAlign w:val="bottom"/>
            <w:shd w:val="clear" w:color="auto" w:fill="CFF0FC"/>
          </w:tcPr>
          <w:p>
            <w:pPr>
              <w:ind w:left="480"/>
              <w:spacing w:after="0"/>
              <w:rPr>
                <w:sz w:val="20"/>
                <w:szCs w:val="20"/>
                <w:color w:val="auto"/>
              </w:rPr>
            </w:pPr>
            <w:r>
              <w:rPr>
                <w:rFonts w:ascii="Arial" w:cs="Arial" w:eastAsia="Arial" w:hAnsi="Arial"/>
                <w:sz w:val="18"/>
                <w:szCs w:val="18"/>
                <w:color w:val="auto"/>
              </w:rPr>
              <w:t>Prepaid expenses, and other current assets</w:t>
            </w:r>
          </w:p>
        </w:tc>
        <w:tc>
          <w:tcPr>
            <w:tcW w:w="96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590</w:t>
            </w:r>
          </w:p>
        </w:tc>
        <w:tc>
          <w:tcPr>
            <w:tcW w:w="12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60" w:type="dxa"/>
            <w:vAlign w:val="bottom"/>
          </w:tcPr>
          <w:p>
            <w:pPr>
              <w:ind w:left="480"/>
              <w:spacing w:after="0"/>
              <w:rPr>
                <w:sz w:val="20"/>
                <w:szCs w:val="20"/>
                <w:color w:val="auto"/>
              </w:rPr>
            </w:pPr>
            <w:r>
              <w:rPr>
                <w:rFonts w:ascii="Arial" w:cs="Arial" w:eastAsia="Arial" w:hAnsi="Arial"/>
                <w:sz w:val="18"/>
                <w:szCs w:val="18"/>
                <w:color w:val="auto"/>
              </w:rPr>
              <w:t>Prepaid expenses, long term</w:t>
            </w:r>
          </w:p>
        </w:tc>
        <w:tc>
          <w:tcPr>
            <w:tcW w:w="9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123</w:t>
            </w: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462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60" w:type="dxa"/>
            <w:vAlign w:val="bottom"/>
            <w:shd w:val="clear" w:color="auto" w:fill="CFF0FC"/>
          </w:tcPr>
          <w:p>
            <w:pPr>
              <w:ind w:left="480"/>
              <w:spacing w:after="0"/>
              <w:rPr>
                <w:sz w:val="20"/>
                <w:szCs w:val="20"/>
                <w:color w:val="auto"/>
              </w:rPr>
            </w:pPr>
            <w:r>
              <w:rPr>
                <w:rFonts w:ascii="Arial" w:cs="Arial" w:eastAsia="Arial" w:hAnsi="Arial"/>
                <w:sz w:val="18"/>
                <w:szCs w:val="18"/>
                <w:color w:val="auto"/>
              </w:rPr>
              <w:t>Accounts payable and accrued expenses</w:t>
            </w:r>
          </w:p>
        </w:tc>
        <w:tc>
          <w:tcPr>
            <w:tcW w:w="96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326</w:t>
            </w:r>
          </w:p>
        </w:tc>
        <w:tc>
          <w:tcPr>
            <w:tcW w:w="12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60" w:type="dxa"/>
            <w:vAlign w:val="bottom"/>
          </w:tcPr>
          <w:p>
            <w:pPr>
              <w:ind w:left="480"/>
              <w:spacing w:after="0"/>
              <w:rPr>
                <w:sz w:val="20"/>
                <w:szCs w:val="20"/>
                <w:color w:val="auto"/>
              </w:rPr>
            </w:pPr>
            <w:r>
              <w:rPr>
                <w:rFonts w:ascii="Arial" w:cs="Arial" w:eastAsia="Arial" w:hAnsi="Arial"/>
                <w:sz w:val="18"/>
                <w:szCs w:val="18"/>
                <w:color w:val="auto"/>
              </w:rPr>
              <w:t>Deferred revenue</w:t>
            </w:r>
          </w:p>
        </w:tc>
        <w:tc>
          <w:tcPr>
            <w:tcW w:w="960" w:type="dxa"/>
            <w:vAlign w:val="bottom"/>
          </w:tcPr>
          <w:p>
            <w:pPr>
              <w:spacing w:after="0"/>
              <w:rPr>
                <w:sz w:val="19"/>
                <w:szCs w:val="19"/>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40" w:type="dxa"/>
            <w:vAlign w:val="bottom"/>
          </w:tcPr>
          <w:p>
            <w:pPr>
              <w:spacing w:after="0"/>
              <w:rPr>
                <w:sz w:val="19"/>
                <w:szCs w:val="19"/>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(157)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860" w:type="dxa"/>
            <w:vAlign w:val="bottom"/>
            <w:tcBorders>
              <w:top w:val="single" w:sz="8" w:color="auto"/>
            </w:tcBorders>
            <w:shd w:val="clear" w:color="auto" w:fill="CFF0FC"/>
          </w:tcPr>
          <w:p>
            <w:pPr>
              <w:ind w:left="240"/>
              <w:spacing w:after="0"/>
              <w:rPr>
                <w:sz w:val="20"/>
                <w:szCs w:val="20"/>
                <w:color w:val="auto"/>
              </w:rPr>
            </w:pPr>
            <w:r>
              <w:rPr>
                <w:rFonts w:ascii="Arial" w:cs="Arial" w:eastAsia="Arial" w:hAnsi="Arial"/>
                <w:sz w:val="18"/>
                <w:szCs w:val="18"/>
                <w:color w:val="auto"/>
              </w:rPr>
              <w:t>Net cash used in operating activities</w:t>
            </w:r>
          </w:p>
        </w:tc>
        <w:tc>
          <w:tcPr>
            <w:tcW w:w="960" w:type="dxa"/>
            <w:vAlign w:val="bottom"/>
            <w:tcBorders>
              <w:top w:val="single" w:sz="8" w:color="auto"/>
            </w:tcBorders>
            <w:shd w:val="clear" w:color="auto" w:fill="CFF0FC"/>
          </w:tcPr>
          <w:p>
            <w:pPr>
              <w:spacing w:after="0"/>
              <w:rPr>
                <w:sz w:val="19"/>
                <w:szCs w:val="19"/>
                <w:color w:val="auto"/>
              </w:rPr>
            </w:pPr>
          </w:p>
        </w:tc>
        <w:tc>
          <w:tcPr>
            <w:tcW w:w="6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6"/>
              </w:rPr>
              <w:t>(13,262)</w:t>
            </w:r>
          </w:p>
        </w:tc>
        <w:tc>
          <w:tcPr>
            <w:tcW w:w="120" w:type="dxa"/>
            <w:vAlign w:val="bottom"/>
            <w:tcBorders>
              <w:top w:val="single" w:sz="8" w:color="CFF0FC"/>
            </w:tcBorders>
            <w:shd w:val="clear" w:color="auto" w:fill="CFF0FC"/>
          </w:tcPr>
          <w:p>
            <w:pPr>
              <w:spacing w:after="0"/>
              <w:rPr>
                <w:sz w:val="19"/>
                <w:szCs w:val="19"/>
                <w:color w:val="auto"/>
              </w:rPr>
            </w:pPr>
          </w:p>
        </w:tc>
        <w:tc>
          <w:tcPr>
            <w:tcW w:w="1140" w:type="dxa"/>
            <w:vAlign w:val="bottom"/>
            <w:tcBorders>
              <w:top w:val="single" w:sz="8" w:color="auto"/>
            </w:tcBorders>
            <w:shd w:val="clear" w:color="auto" w:fill="CFF0FC"/>
          </w:tcPr>
          <w:p>
            <w:pPr>
              <w:spacing w:after="0"/>
              <w:rPr>
                <w:sz w:val="19"/>
                <w:szCs w:val="19"/>
                <w:color w:val="auto"/>
              </w:rPr>
            </w:pPr>
          </w:p>
        </w:tc>
        <w:tc>
          <w:tcPr>
            <w:tcW w:w="6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9"/>
              </w:rPr>
              <w:t>(10,373)</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78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78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Investing activities:</w:t>
            </w:r>
          </w:p>
        </w:tc>
        <w:tc>
          <w:tcPr>
            <w:tcW w:w="96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60" w:type="dxa"/>
            <w:vAlign w:val="bottom"/>
          </w:tcPr>
          <w:p>
            <w:pPr>
              <w:ind w:left="480"/>
              <w:spacing w:after="0"/>
              <w:rPr>
                <w:sz w:val="20"/>
                <w:szCs w:val="20"/>
                <w:color w:val="auto"/>
              </w:rPr>
            </w:pPr>
            <w:r>
              <w:rPr>
                <w:rFonts w:ascii="Arial" w:cs="Arial" w:eastAsia="Arial" w:hAnsi="Arial"/>
                <w:sz w:val="18"/>
                <w:szCs w:val="18"/>
                <w:color w:val="auto"/>
              </w:rPr>
              <w:t>Purchases of property, plant and equipment</w:t>
            </w:r>
          </w:p>
        </w:tc>
        <w:tc>
          <w:tcPr>
            <w:tcW w:w="960" w:type="dxa"/>
            <w:vAlign w:val="bottom"/>
          </w:tcPr>
          <w:p>
            <w:pPr>
              <w:spacing w:after="0"/>
              <w:rPr>
                <w:sz w:val="19"/>
                <w:szCs w:val="19"/>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(238)</w:t>
            </w:r>
          </w:p>
        </w:tc>
        <w:tc>
          <w:tcPr>
            <w:tcW w:w="1140" w:type="dxa"/>
            <w:vAlign w:val="bottom"/>
          </w:tcPr>
          <w:p>
            <w:pPr>
              <w:spacing w:after="0"/>
              <w:rPr>
                <w:sz w:val="19"/>
                <w:szCs w:val="19"/>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(205)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60" w:type="dxa"/>
            <w:vAlign w:val="bottom"/>
            <w:shd w:val="clear" w:color="auto" w:fill="CFF0FC"/>
          </w:tcPr>
          <w:p>
            <w:pPr>
              <w:ind w:left="480"/>
              <w:spacing w:after="0"/>
              <w:rPr>
                <w:sz w:val="20"/>
                <w:szCs w:val="20"/>
                <w:color w:val="auto"/>
              </w:rPr>
            </w:pPr>
            <w:r>
              <w:rPr>
                <w:rFonts w:ascii="Arial" w:cs="Arial" w:eastAsia="Arial" w:hAnsi="Arial"/>
                <w:sz w:val="18"/>
                <w:szCs w:val="18"/>
                <w:color w:val="auto"/>
              </w:rPr>
              <w:t>Purchase of marketable securities</w:t>
            </w:r>
          </w:p>
        </w:tc>
        <w:tc>
          <w:tcPr>
            <w:tcW w:w="96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w w:val="95"/>
              </w:rPr>
              <w:t>(22,281)</w:t>
            </w:r>
          </w:p>
        </w:tc>
        <w:tc>
          <w:tcPr>
            <w:tcW w:w="114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w w:val="98"/>
              </w:rPr>
              <w:t>(15,300)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60" w:type="dxa"/>
            <w:vAlign w:val="bottom"/>
          </w:tcPr>
          <w:p>
            <w:pPr>
              <w:ind w:left="480"/>
              <w:spacing w:after="0"/>
              <w:rPr>
                <w:sz w:val="20"/>
                <w:szCs w:val="20"/>
                <w:color w:val="auto"/>
              </w:rPr>
            </w:pPr>
            <w:r>
              <w:rPr>
                <w:rFonts w:ascii="Arial" w:cs="Arial" w:eastAsia="Arial" w:hAnsi="Arial"/>
                <w:sz w:val="18"/>
                <w:szCs w:val="18"/>
                <w:color w:val="auto"/>
              </w:rPr>
              <w:t>Proceeds from marketable securities</w:t>
            </w:r>
          </w:p>
        </w:tc>
        <w:tc>
          <w:tcPr>
            <w:tcW w:w="9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41,099</w:t>
            </w: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860" w:type="dxa"/>
            <w:vAlign w:val="bottom"/>
            <w:tcBorders>
              <w:top w:val="single" w:sz="8" w:color="auto"/>
            </w:tcBorders>
            <w:shd w:val="clear" w:color="auto" w:fill="CFF0FC"/>
          </w:tcPr>
          <w:p>
            <w:pPr>
              <w:ind w:left="240"/>
              <w:spacing w:after="0"/>
              <w:rPr>
                <w:sz w:val="20"/>
                <w:szCs w:val="20"/>
                <w:color w:val="auto"/>
              </w:rPr>
            </w:pPr>
            <w:r>
              <w:rPr>
                <w:rFonts w:ascii="Arial" w:cs="Arial" w:eastAsia="Arial" w:hAnsi="Arial"/>
                <w:sz w:val="18"/>
                <w:szCs w:val="18"/>
                <w:color w:val="auto"/>
              </w:rPr>
              <w:t>Net cash provided by (used in) investing activities</w:t>
            </w:r>
          </w:p>
        </w:tc>
        <w:tc>
          <w:tcPr>
            <w:tcW w:w="960" w:type="dxa"/>
            <w:vAlign w:val="bottom"/>
            <w:tcBorders>
              <w:top w:val="single" w:sz="8" w:color="auto"/>
            </w:tcBorders>
            <w:shd w:val="clear" w:color="auto" w:fill="CFF0FC"/>
          </w:tcPr>
          <w:p>
            <w:pPr>
              <w:spacing w:after="0"/>
              <w:rPr>
                <w:sz w:val="19"/>
                <w:szCs w:val="19"/>
                <w:color w:val="auto"/>
              </w:rPr>
            </w:pPr>
          </w:p>
        </w:tc>
        <w:tc>
          <w:tcPr>
            <w:tcW w:w="6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18,580</w:t>
            </w:r>
          </w:p>
        </w:tc>
        <w:tc>
          <w:tcPr>
            <w:tcW w:w="120" w:type="dxa"/>
            <w:vAlign w:val="bottom"/>
            <w:tcBorders>
              <w:top w:val="single" w:sz="8" w:color="CFF0FC"/>
            </w:tcBorders>
            <w:shd w:val="clear" w:color="auto" w:fill="CFF0FC"/>
          </w:tcPr>
          <w:p>
            <w:pPr>
              <w:spacing w:after="0"/>
              <w:rPr>
                <w:sz w:val="19"/>
                <w:szCs w:val="19"/>
                <w:color w:val="auto"/>
              </w:rPr>
            </w:pPr>
          </w:p>
        </w:tc>
        <w:tc>
          <w:tcPr>
            <w:tcW w:w="1140" w:type="dxa"/>
            <w:vAlign w:val="bottom"/>
            <w:tcBorders>
              <w:top w:val="single" w:sz="8" w:color="auto"/>
            </w:tcBorders>
            <w:shd w:val="clear" w:color="auto" w:fill="CFF0FC"/>
          </w:tcPr>
          <w:p>
            <w:pPr>
              <w:spacing w:after="0"/>
              <w:rPr>
                <w:sz w:val="19"/>
                <w:szCs w:val="19"/>
                <w:color w:val="auto"/>
              </w:rPr>
            </w:pPr>
          </w:p>
        </w:tc>
        <w:tc>
          <w:tcPr>
            <w:tcW w:w="6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9"/>
              </w:rPr>
              <w:t>(15,505)</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78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78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Financing activities:</w:t>
            </w:r>
          </w:p>
        </w:tc>
        <w:tc>
          <w:tcPr>
            <w:tcW w:w="96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60" w:type="dxa"/>
            <w:vAlign w:val="bottom"/>
            <w:tcBorders>
              <w:bottom w:val="single" w:sz="8" w:color="auto"/>
            </w:tcBorders>
          </w:tcPr>
          <w:p>
            <w:pPr>
              <w:ind w:left="480"/>
              <w:spacing w:after="0"/>
              <w:rPr>
                <w:sz w:val="20"/>
                <w:szCs w:val="20"/>
                <w:color w:val="auto"/>
              </w:rPr>
            </w:pPr>
            <w:r>
              <w:rPr>
                <w:rFonts w:ascii="Arial" w:cs="Arial" w:eastAsia="Arial" w:hAnsi="Arial"/>
                <w:sz w:val="18"/>
                <w:szCs w:val="18"/>
                <w:color w:val="auto"/>
              </w:rPr>
              <w:t>Issuance of common shares pursuant to exercise of stock options</w:t>
            </w:r>
          </w:p>
        </w:tc>
        <w:tc>
          <w:tcPr>
            <w:tcW w:w="9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177</w:t>
            </w:r>
          </w:p>
        </w:tc>
        <w:tc>
          <w:tcPr>
            <w:tcW w:w="120" w:type="dxa"/>
            <w:vAlign w:val="bottom"/>
            <w:tcBorders>
              <w:bottom w:val="single" w:sz="8" w:color="CFF0FC"/>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860" w:type="dxa"/>
            <w:vAlign w:val="bottom"/>
            <w:tcBorders>
              <w:bottom w:val="single" w:sz="8" w:color="auto"/>
            </w:tcBorders>
            <w:shd w:val="clear" w:color="auto" w:fill="CFF0FC"/>
          </w:tcPr>
          <w:p>
            <w:pPr>
              <w:ind w:left="240"/>
              <w:spacing w:after="0"/>
              <w:rPr>
                <w:sz w:val="20"/>
                <w:szCs w:val="20"/>
                <w:color w:val="auto"/>
              </w:rPr>
            </w:pPr>
            <w:r>
              <w:rPr>
                <w:rFonts w:ascii="Arial" w:cs="Arial" w:eastAsia="Arial" w:hAnsi="Arial"/>
                <w:sz w:val="18"/>
                <w:szCs w:val="18"/>
                <w:color w:val="auto"/>
              </w:rPr>
              <w:t>Net cash provided by financing activities</w:t>
            </w:r>
          </w:p>
        </w:tc>
        <w:tc>
          <w:tcPr>
            <w:tcW w:w="960" w:type="dxa"/>
            <w:vAlign w:val="bottom"/>
            <w:tcBorders>
              <w:bottom w:val="single" w:sz="8" w:color="auto"/>
            </w:tcBorders>
            <w:shd w:val="clear" w:color="auto" w:fill="CFF0FC"/>
          </w:tcPr>
          <w:p>
            <w:pPr>
              <w:spacing w:after="0"/>
              <w:rPr>
                <w:sz w:val="19"/>
                <w:szCs w:val="19"/>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177</w:t>
            </w:r>
          </w:p>
        </w:tc>
        <w:tc>
          <w:tcPr>
            <w:tcW w:w="120" w:type="dxa"/>
            <w:vAlign w:val="bottom"/>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860" w:type="dxa"/>
            <w:vAlign w:val="bottom"/>
          </w:tcPr>
          <w:p>
            <w:pPr>
              <w:spacing w:after="0"/>
              <w:rPr>
                <w:sz w:val="20"/>
                <w:szCs w:val="20"/>
                <w:color w:val="auto"/>
              </w:rPr>
            </w:pPr>
            <w:r>
              <w:rPr>
                <w:rFonts w:ascii="Arial" w:cs="Arial" w:eastAsia="Arial" w:hAnsi="Arial"/>
                <w:sz w:val="18"/>
                <w:szCs w:val="18"/>
                <w:color w:val="auto"/>
              </w:rPr>
              <w:t>Effect of exchange rate changes on cash and cash equivalents</w:t>
            </w:r>
          </w:p>
        </w:tc>
        <w:tc>
          <w:tcPr>
            <w:tcW w:w="9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500</w:t>
            </w: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2,355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60" w:type="dxa"/>
            <w:vAlign w:val="bottom"/>
            <w:shd w:val="clear" w:color="auto" w:fill="CFF0FC"/>
          </w:tcPr>
          <w:p>
            <w:pPr>
              <w:spacing w:after="0"/>
              <w:rPr>
                <w:sz w:val="20"/>
                <w:szCs w:val="20"/>
                <w:color w:val="auto"/>
              </w:rPr>
            </w:pPr>
            <w:r>
              <w:rPr>
                <w:rFonts w:ascii="Arial" w:cs="Arial" w:eastAsia="Arial" w:hAnsi="Arial"/>
                <w:sz w:val="18"/>
                <w:szCs w:val="18"/>
                <w:color w:val="auto"/>
              </w:rPr>
              <w:t>Increase (decrease) in cash and cash equivalents</w:t>
            </w:r>
          </w:p>
        </w:tc>
        <w:tc>
          <w:tcPr>
            <w:tcW w:w="96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5,995</w:t>
            </w:r>
          </w:p>
        </w:tc>
        <w:tc>
          <w:tcPr>
            <w:tcW w:w="12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w w:val="98"/>
              </w:rPr>
              <w:t>(23,441)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Cash and cash equivalents, beginning of period</w:t>
            </w:r>
          </w:p>
        </w:tc>
        <w:tc>
          <w:tcPr>
            <w:tcW w:w="9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17,095</w:t>
            </w:r>
          </w:p>
        </w:tc>
        <w:tc>
          <w:tcPr>
            <w:tcW w:w="120" w:type="dxa"/>
            <w:vAlign w:val="bottom"/>
            <w:tcBorders>
              <w:bottom w:val="single" w:sz="8" w:color="CFF0FC"/>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58,651</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86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Cash and cash equivalents, end of period</w:t>
            </w:r>
          </w:p>
        </w:tc>
        <w:tc>
          <w:tcPr>
            <w:tcW w:w="960" w:type="dxa"/>
            <w:vAlign w:val="bottom"/>
            <w:tcBorders>
              <w:bottom w:val="single" w:sz="8" w:color="auto"/>
            </w:tcBorders>
            <w:shd w:val="clear" w:color="auto" w:fill="CFF0FC"/>
          </w:tcPr>
          <w:p>
            <w:pPr>
              <w:jc w:val="right"/>
              <w:ind w:right="777"/>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23,090</w:t>
            </w:r>
          </w:p>
        </w:tc>
        <w:tc>
          <w:tcPr>
            <w:tcW w:w="120" w:type="dxa"/>
            <w:vAlign w:val="bottom"/>
            <w:tcBorders>
              <w:bottom w:val="single" w:sz="8" w:color="CFF0FC"/>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ind w:right="794"/>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35,210</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78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78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Supplemental disclosures:</w:t>
            </w:r>
          </w:p>
        </w:tc>
        <w:tc>
          <w:tcPr>
            <w:tcW w:w="96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60" w:type="dxa"/>
            <w:vAlign w:val="bottom"/>
          </w:tcPr>
          <w:p>
            <w:pPr>
              <w:ind w:left="240"/>
              <w:spacing w:after="0"/>
              <w:rPr>
                <w:sz w:val="20"/>
                <w:szCs w:val="20"/>
                <w:color w:val="auto"/>
              </w:rPr>
            </w:pPr>
            <w:r>
              <w:rPr>
                <w:rFonts w:ascii="Arial" w:cs="Arial" w:eastAsia="Arial" w:hAnsi="Arial"/>
                <w:sz w:val="18"/>
                <w:szCs w:val="18"/>
                <w:color w:val="auto"/>
              </w:rPr>
              <w:t>Interest received</w:t>
            </w:r>
          </w:p>
        </w:tc>
        <w:tc>
          <w:tcPr>
            <w:tcW w:w="960" w:type="dxa"/>
            <w:vAlign w:val="bottom"/>
          </w:tcPr>
          <w:p>
            <w:pPr>
              <w:jc w:val="right"/>
              <w:ind w:right="777"/>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457</w:t>
            </w:r>
          </w:p>
        </w:tc>
        <w:tc>
          <w:tcPr>
            <w:tcW w:w="120" w:type="dxa"/>
            <w:vAlign w:val="bottom"/>
          </w:tcPr>
          <w:p>
            <w:pPr>
              <w:spacing w:after="0"/>
              <w:rPr>
                <w:sz w:val="19"/>
                <w:szCs w:val="19"/>
                <w:color w:val="auto"/>
              </w:rPr>
            </w:pPr>
          </w:p>
        </w:tc>
        <w:tc>
          <w:tcPr>
            <w:tcW w:w="1140" w:type="dxa"/>
            <w:vAlign w:val="bottom"/>
          </w:tcPr>
          <w:p>
            <w:pPr>
              <w:jc w:val="right"/>
              <w:ind w:right="794"/>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204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Supplemental disclosures of non-cash transactions:</w:t>
            </w:r>
          </w:p>
        </w:tc>
        <w:tc>
          <w:tcPr>
            <w:tcW w:w="96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60" w:type="dxa"/>
            <w:vAlign w:val="bottom"/>
            <w:tcBorders>
              <w:bottom w:val="single" w:sz="8" w:color="auto"/>
            </w:tcBorders>
          </w:tcPr>
          <w:p>
            <w:pPr>
              <w:ind w:left="240"/>
              <w:spacing w:after="0"/>
              <w:rPr>
                <w:sz w:val="20"/>
                <w:szCs w:val="20"/>
                <w:color w:val="auto"/>
              </w:rPr>
            </w:pPr>
            <w:r>
              <w:rPr>
                <w:rFonts w:ascii="Arial" w:cs="Arial" w:eastAsia="Arial" w:hAnsi="Arial"/>
                <w:sz w:val="18"/>
                <w:szCs w:val="18"/>
                <w:color w:val="auto"/>
              </w:rPr>
              <w:t>Fair value of options exercised on a cashless basis</w:t>
            </w:r>
          </w:p>
        </w:tc>
        <w:tc>
          <w:tcPr>
            <w:tcW w:w="9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w:t>
            </w:r>
          </w:p>
        </w:tc>
        <w:tc>
          <w:tcPr>
            <w:tcW w:w="120" w:type="dxa"/>
            <w:vAlign w:val="bottom"/>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accompanying notes are an integral part of these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345440</wp:posOffset>
            </wp:positionV>
            <wp:extent cx="728916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67" w:right="2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XENON PHARMACEUTICALS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Notes to Consolidated Financial Statements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(Expressed in thousands of U.S. dollars except share and per share amounts)</w:t>
      </w:r>
    </w:p>
    <w:p>
      <w:pPr>
        <w:spacing w:after="0" w:line="315" w:lineRule="exact"/>
        <w:rPr>
          <w:sz w:val="20"/>
          <w:szCs w:val="20"/>
          <w:color w:val="auto"/>
        </w:rPr>
      </w:pPr>
    </w:p>
    <w:p>
      <w:pPr>
        <w:ind w:left="520" w:hanging="512"/>
        <w:spacing w:after="0"/>
        <w:tabs>
          <w:tab w:leader="none" w:pos="52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Nature of the business:</w:t>
      </w:r>
    </w:p>
    <w:p>
      <w:pPr>
        <w:spacing w:after="0" w:line="121" w:lineRule="exact"/>
        <w:rPr>
          <w:rFonts w:ascii="Arial" w:cs="Arial" w:eastAsia="Arial" w:hAnsi="Arial"/>
          <w:sz w:val="18"/>
          <w:szCs w:val="18"/>
          <w:b w:val="1"/>
          <w:bCs w:val="1"/>
          <w:color w:val="auto"/>
        </w:rPr>
      </w:pPr>
    </w:p>
    <w:p>
      <w:pPr>
        <w:jc w:val="both"/>
        <w:ind w:left="52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Xenon Pharmaceuticals Inc. (the “Company”), incorporated in 1996 under the British Columbia Business Corporations Act and continued federally in 2000 under the Canada Business Corporation Act, is a clinical-stage biopharmaceutical company discovering and developing a pipeline of differentiated therapeutics for orphan indications that it intends to commercialize on its own, and for larger market indications that it intends to partner with global pharmaceutical companies.</w:t>
      </w:r>
    </w:p>
    <w:p>
      <w:pPr>
        <w:spacing w:after="0" w:line="290" w:lineRule="exact"/>
        <w:rPr>
          <w:rFonts w:ascii="Arial" w:cs="Arial" w:eastAsia="Arial" w:hAnsi="Arial"/>
          <w:sz w:val="18"/>
          <w:szCs w:val="18"/>
          <w:b w:val="1"/>
          <w:bCs w:val="1"/>
          <w:color w:val="auto"/>
        </w:rPr>
      </w:pPr>
    </w:p>
    <w:p>
      <w:pPr>
        <w:ind w:left="520" w:hanging="512"/>
        <w:spacing w:after="0"/>
        <w:tabs>
          <w:tab w:leader="none" w:pos="52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Basis of presentation:</w:t>
      </w:r>
    </w:p>
    <w:p>
      <w:pPr>
        <w:spacing w:after="0" w:line="121" w:lineRule="exact"/>
        <w:rPr>
          <w:rFonts w:ascii="Arial" w:cs="Arial" w:eastAsia="Arial" w:hAnsi="Arial"/>
          <w:sz w:val="18"/>
          <w:szCs w:val="18"/>
          <w:b w:val="1"/>
          <w:bCs w:val="1"/>
          <w:color w:val="auto"/>
        </w:rPr>
      </w:pPr>
    </w:p>
    <w:p>
      <w:pPr>
        <w:ind w:left="520"/>
        <w:spacing w:after="0"/>
        <w:rPr>
          <w:rFonts w:ascii="Arial" w:cs="Arial" w:eastAsia="Arial" w:hAnsi="Arial"/>
          <w:sz w:val="18"/>
          <w:szCs w:val="18"/>
          <w:b w:val="1"/>
          <w:bCs w:val="1"/>
          <w:color w:val="auto"/>
        </w:rPr>
      </w:pPr>
      <w:r>
        <w:rPr>
          <w:rFonts w:ascii="Arial" w:cs="Arial" w:eastAsia="Arial" w:hAnsi="Arial"/>
          <w:sz w:val="18"/>
          <w:szCs w:val="18"/>
          <w:color w:val="auto"/>
        </w:rPr>
        <w:t>These consolidated financial statements are presented in U.S. dollars.</w:t>
      </w:r>
    </w:p>
    <w:p>
      <w:pPr>
        <w:spacing w:after="0" w:line="117" w:lineRule="exact"/>
        <w:rPr>
          <w:rFonts w:ascii="Arial" w:cs="Arial" w:eastAsia="Arial" w:hAnsi="Arial"/>
          <w:sz w:val="18"/>
          <w:szCs w:val="18"/>
          <w:b w:val="1"/>
          <w:bCs w:val="1"/>
          <w:color w:val="auto"/>
        </w:rPr>
      </w:pPr>
    </w:p>
    <w:p>
      <w:pPr>
        <w:ind w:left="52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Company has one wholly-owned subsidiary as at June 30, 2017, Xenon Pharmaceuticals USA Inc., which was incorporated in Delaware on December 2, 2016.</w:t>
      </w:r>
    </w:p>
    <w:p>
      <w:pPr>
        <w:spacing w:after="0" w:line="62" w:lineRule="exact"/>
        <w:rPr>
          <w:rFonts w:ascii="Arial" w:cs="Arial" w:eastAsia="Arial" w:hAnsi="Arial"/>
          <w:sz w:val="18"/>
          <w:szCs w:val="18"/>
          <w:b w:val="1"/>
          <w:bCs w:val="1"/>
          <w:color w:val="auto"/>
        </w:rPr>
      </w:pPr>
    </w:p>
    <w:p>
      <w:pPr>
        <w:ind w:left="52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These unaudited interim consolidated financial statements include the accounts of the Company and its wholly-owned subsidiary. All intercompany transactions and balances have been eliminated on consolidation.</w:t>
      </w:r>
    </w:p>
    <w:p>
      <w:pPr>
        <w:spacing w:after="0" w:line="62" w:lineRule="exact"/>
        <w:rPr>
          <w:rFonts w:ascii="Arial" w:cs="Arial" w:eastAsia="Arial" w:hAnsi="Arial"/>
          <w:sz w:val="18"/>
          <w:szCs w:val="18"/>
          <w:b w:val="1"/>
          <w:bCs w:val="1"/>
          <w:color w:val="auto"/>
        </w:rPr>
      </w:pPr>
    </w:p>
    <w:p>
      <w:pPr>
        <w:jc w:val="both"/>
        <w:ind w:left="520"/>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The accompanying unaudited interim consolidated financial statements have been prepared in accordance with United States generally accepted accounting principles (“U.S. GAAP”) and pursuant to the rules and regulations of the United States Securities and Exchange Commission (“SEC”) for interim financial information. Accordingly, these consolidated financial statements do not include all of the information and footnotes required for complete consolidated financial statements and should be read in conjunction with the audited consolidated financial statements and notes for the year ended December 31, 2016 and included in the Company’s 2016 Annual Report on Form 10-K filed with the SEC and with the securities commissions in British Columbia, Alberta and Ontario on March 8, 2017.</w:t>
      </w:r>
    </w:p>
    <w:p>
      <w:pPr>
        <w:spacing w:after="0" w:line="85" w:lineRule="exact"/>
        <w:rPr>
          <w:rFonts w:ascii="Arial" w:cs="Arial" w:eastAsia="Arial" w:hAnsi="Arial"/>
          <w:sz w:val="18"/>
          <w:szCs w:val="18"/>
          <w:b w:val="1"/>
          <w:bCs w:val="1"/>
          <w:color w:val="auto"/>
        </w:rPr>
      </w:pPr>
    </w:p>
    <w:p>
      <w:pPr>
        <w:jc w:val="both"/>
        <w:ind w:left="520"/>
        <w:spacing w:after="0" w:line="293" w:lineRule="auto"/>
        <w:rPr>
          <w:rFonts w:ascii="Arial" w:cs="Arial" w:eastAsia="Arial" w:hAnsi="Arial"/>
          <w:sz w:val="18"/>
          <w:szCs w:val="18"/>
          <w:b w:val="1"/>
          <w:bCs w:val="1"/>
          <w:color w:val="auto"/>
        </w:rPr>
      </w:pPr>
      <w:r>
        <w:rPr>
          <w:rFonts w:ascii="Arial" w:cs="Arial" w:eastAsia="Arial" w:hAnsi="Arial"/>
          <w:sz w:val="16"/>
          <w:szCs w:val="16"/>
          <w:color w:val="auto"/>
        </w:rPr>
        <w:t>These unaudited interim consolidated financial statements reflect all adjustments, consisting of normal recurring adjustments, which, in the opinion of management, are necessary for a fair presentation of results for the interim periods presented. The results of operations for the three and six month periods ended June 30, 2017 and 2016 are not necessarily indicative of results that can be expected for a full year. These unaudited interim consolidated financial statements follow the same significant accounting policies as those described in the notes to the audited consolidated financial statements of the Company included in the Company’s 2016 Annual Report on Form 10-K for the year ended December 31, 2016. Certain comparative figures have been reclassified to conform to the consolidated financial statement presentation adopted for the current period.</w:t>
      </w:r>
    </w:p>
    <w:p>
      <w:pPr>
        <w:spacing w:after="0" w:line="268" w:lineRule="exact"/>
        <w:rPr>
          <w:rFonts w:ascii="Arial" w:cs="Arial" w:eastAsia="Arial" w:hAnsi="Arial"/>
          <w:sz w:val="18"/>
          <w:szCs w:val="18"/>
          <w:b w:val="1"/>
          <w:bCs w:val="1"/>
          <w:color w:val="auto"/>
        </w:rPr>
      </w:pPr>
    </w:p>
    <w:p>
      <w:pPr>
        <w:ind w:left="520" w:hanging="512"/>
        <w:spacing w:after="0"/>
        <w:tabs>
          <w:tab w:leader="none" w:pos="52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Future changes in accounting policies:</w:t>
      </w:r>
    </w:p>
    <w:p>
      <w:pPr>
        <w:spacing w:after="0" w:line="121" w:lineRule="exact"/>
        <w:rPr>
          <w:rFonts w:ascii="Arial" w:cs="Arial" w:eastAsia="Arial" w:hAnsi="Arial"/>
          <w:sz w:val="18"/>
          <w:szCs w:val="18"/>
          <w:b w:val="1"/>
          <w:bCs w:val="1"/>
          <w:color w:val="auto"/>
        </w:rPr>
      </w:pPr>
    </w:p>
    <w:p>
      <w:pPr>
        <w:jc w:val="both"/>
        <w:ind w:left="520"/>
        <w:spacing w:after="0" w:line="269" w:lineRule="auto"/>
        <w:rPr>
          <w:rFonts w:ascii="Arial" w:cs="Arial" w:eastAsia="Arial" w:hAnsi="Arial"/>
          <w:sz w:val="18"/>
          <w:szCs w:val="18"/>
          <w:b w:val="1"/>
          <w:bCs w:val="1"/>
          <w:color w:val="auto"/>
        </w:rPr>
      </w:pPr>
      <w:r>
        <w:rPr>
          <w:rFonts w:ascii="Arial" w:cs="Arial" w:eastAsia="Arial" w:hAnsi="Arial"/>
          <w:sz w:val="17"/>
          <w:szCs w:val="17"/>
          <w:color w:val="auto"/>
        </w:rPr>
        <w:t>In May 2014, the Financial Accounting Standards Board (“FASB”) issued Accounting Standards Update (“ASU”) 2014-09, Revenue from Contracts with Customers (ASC 606) to clarify the principles of recognizing revenue and to develop a common revenue standard that would remove inconsistencies in revenue requirements, leading to improved comparability of revenue recognition practices across entities and industries. The standard, as subsequently amended, stipulates that an entity should recognize revenue to depict the transfer of promised goods or services to customers in an amount that reflects the consideration to which the entity expects to be entitled in exchange for those goods or services. The new guidance will be effective for public entities for fiscal years and interim periods within those years, beginning after December 15, 2017. The Company has begun its evaluation and identified two significant collaboration agreements with respect to revenue, the collaborative development and license agreements with Teva Pharmaceutical Industries, Ltd. and Genentech, a member of the Roche Group, described in notes 9(a) and (b), respectively, to the audited consolidated financial statements of the Company included in the Company’s 2016 Annual Report on Form 10-K for the year ended December 31, 2016. The Company is evaluating the new guidance as it applies to revenue previously recognized as well as milestone payments the Company is eligible to receive in future periods under these agreements.</w:t>
      </w:r>
    </w:p>
    <w:p>
      <w:pPr>
        <w:spacing w:after="0" w:line="74" w:lineRule="exact"/>
        <w:rPr>
          <w:rFonts w:ascii="Arial" w:cs="Arial" w:eastAsia="Arial" w:hAnsi="Arial"/>
          <w:sz w:val="18"/>
          <w:szCs w:val="18"/>
          <w:b w:val="1"/>
          <w:bCs w:val="1"/>
          <w:color w:val="auto"/>
        </w:rPr>
      </w:pPr>
    </w:p>
    <w:p>
      <w:pPr>
        <w:jc w:val="both"/>
        <w:ind w:left="520"/>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In February 2016, the FASB issued ASU 2016-02, Leases (Topic 842): Recognition and Measurement of Financial Assets and Financial Liabilities. The update requires the recognition of lease assets and lease liabilities by lessees for those leases classified as operating leases under previous U.S. GAAP. The new guidance retains a distinction between finance leases and operating leases, with cash payments from operating leases classified within operating activities in the statement of cash flows. These amendments will be effective for public entities for fiscal years and interim periods within those years, beginning after December 15, 2018. The Company is currently evaluating the new guidance to determine the impact it will have on the Company’s consolidated financial statements.</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35" w:right="239" w:bottom="1440" w:gutter="0" w:footer="0" w:header="0"/>
        </w:sectPr>
      </w:pPr>
    </w:p>
    <w:bookmarkStart w:id="7" w:name="page8"/>
    <w:bookmarkEnd w:id="7"/>
    <w:p>
      <w:pPr>
        <w:ind w:left="512" w:hanging="512"/>
        <w:spacing w:after="0"/>
        <w:tabs>
          <w:tab w:leader="none" w:pos="512"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Net income (loss) per common share:</w:t>
      </w:r>
    </w:p>
    <w:p>
      <w:pPr>
        <w:spacing w:after="0" w:line="121" w:lineRule="exact"/>
        <w:rPr>
          <w:rFonts w:ascii="Arial" w:cs="Arial" w:eastAsia="Arial" w:hAnsi="Arial"/>
          <w:sz w:val="18"/>
          <w:szCs w:val="18"/>
          <w:b w:val="1"/>
          <w:bCs w:val="1"/>
          <w:color w:val="auto"/>
        </w:rPr>
      </w:pPr>
    </w:p>
    <w:p>
      <w:pPr>
        <w:jc w:val="both"/>
        <w:ind w:left="512"/>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Basic net income (loss) per common share is computed by dividing the net income (loss) by the weighted average number of common shares outstanding for the period. Diluted net income (loss) per common share is computed by adjusting the numerator and denominator of the basic net income (loss) per share calculation for the potential impact of dilutive securities.</w:t>
      </w:r>
    </w:p>
    <w:p>
      <w:pPr>
        <w:spacing w:after="0" w:line="73" w:lineRule="exact"/>
        <w:rPr>
          <w:rFonts w:ascii="Arial" w:cs="Arial" w:eastAsia="Arial" w:hAnsi="Arial"/>
          <w:sz w:val="18"/>
          <w:szCs w:val="18"/>
          <w:b w:val="1"/>
          <w:bCs w:val="1"/>
          <w:color w:val="auto"/>
        </w:rPr>
      </w:pPr>
    </w:p>
    <w:p>
      <w:pPr>
        <w:jc w:val="both"/>
        <w:ind w:left="512"/>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For the three and six month periods ended June 30, 2017, 2,228,637 and 2,086,072 stock options, respectively, were excluded from the calculation of diluted net income per common share as their inclusion would be anti-dilutive (three and six months ended June 30, 2016 – 1,934,452 and 1,841,096, respectively).</w:t>
      </w:r>
    </w:p>
    <w:p>
      <w:pPr>
        <w:spacing w:after="0" w:line="73" w:lineRule="exact"/>
        <w:rPr>
          <w:rFonts w:ascii="Arial" w:cs="Arial" w:eastAsia="Arial" w:hAnsi="Arial"/>
          <w:sz w:val="18"/>
          <w:szCs w:val="18"/>
          <w:b w:val="1"/>
          <w:bCs w:val="1"/>
          <w:color w:val="auto"/>
        </w:rPr>
      </w:pPr>
    </w:p>
    <w:p>
      <w:pPr>
        <w:ind w:left="512"/>
        <w:spacing w:after="0"/>
        <w:rPr>
          <w:rFonts w:ascii="Arial" w:cs="Arial" w:eastAsia="Arial" w:hAnsi="Arial"/>
          <w:sz w:val="18"/>
          <w:szCs w:val="18"/>
          <w:b w:val="1"/>
          <w:bCs w:val="1"/>
          <w:color w:val="auto"/>
        </w:rPr>
      </w:pPr>
      <w:r>
        <w:rPr>
          <w:rFonts w:ascii="Arial" w:cs="Arial" w:eastAsia="Arial" w:hAnsi="Arial"/>
          <w:sz w:val="18"/>
          <w:szCs w:val="18"/>
          <w:color w:val="auto"/>
        </w:rPr>
        <w:t>The following is a reconciliation of the numerators and denominators of basic and diluted net loss per common share:</w:t>
      </w:r>
    </w:p>
    <w:p>
      <w:pPr>
        <w:spacing w:after="0" w:line="200" w:lineRule="exact"/>
        <w:rPr>
          <w:sz w:val="20"/>
          <w:szCs w:val="20"/>
          <w:color w:val="auto"/>
        </w:rPr>
      </w:pPr>
    </w:p>
    <w:p>
      <w:pPr>
        <w:spacing w:after="0" w:line="206" w:lineRule="exact"/>
        <w:rPr>
          <w:sz w:val="20"/>
          <w:szCs w:val="20"/>
          <w:color w:val="auto"/>
        </w:rPr>
      </w:pPr>
    </w:p>
    <w:tbl>
      <w:tblPr>
        <w:tblLayout w:type="fixed"/>
        <w:tblInd w:w="572" w:type="dxa"/>
        <w:tblCellMar>
          <w:top w:w="0" w:type="dxa"/>
          <w:left w:w="0" w:type="dxa"/>
          <w:bottom w:w="0" w:type="dxa"/>
          <w:right w:w="0" w:type="dxa"/>
        </w:tblCellMar>
      </w:tblPr>
      <w:tr>
        <w:trPr>
          <w:trHeight w:val="171"/>
        </w:trPr>
        <w:tc>
          <w:tcPr>
            <w:tcW w:w="5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300" w:type="dxa"/>
            <w:vAlign w:val="bottom"/>
            <w:gridSpan w:val="6"/>
          </w:tcPr>
          <w:p>
            <w:pPr>
              <w:jc w:val="right"/>
              <w:ind w:right="380"/>
              <w:spacing w:after="0"/>
              <w:rPr>
                <w:sz w:val="20"/>
                <w:szCs w:val="20"/>
                <w:color w:val="auto"/>
              </w:rPr>
            </w:pPr>
            <w:r>
              <w:rPr>
                <w:rFonts w:ascii="Arial" w:cs="Arial" w:eastAsia="Arial" w:hAnsi="Arial"/>
                <w:sz w:val="14"/>
                <w:szCs w:val="14"/>
                <w:b w:val="1"/>
                <w:bCs w:val="1"/>
                <w:color w:val="auto"/>
                <w:w w:val="95"/>
              </w:rPr>
              <w:t>Three Months Ended June 30,</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80" w:type="dxa"/>
            <w:vAlign w:val="bottom"/>
            <w:gridSpan w:val="6"/>
          </w:tcPr>
          <w:p>
            <w:pPr>
              <w:jc w:val="right"/>
              <w:ind w:right="440"/>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56"/>
        </w:trPr>
        <w:tc>
          <w:tcPr>
            <w:tcW w:w="5180" w:type="dxa"/>
            <w:vAlign w:val="bottom"/>
            <w:tcBorders>
              <w:bottom w:val="single" w:sz="8" w:color="CFF0FC"/>
            </w:tcBorders>
          </w:tcPr>
          <w:p>
            <w:pPr>
              <w:spacing w:after="0"/>
              <w:rPr>
                <w:sz w:val="13"/>
                <w:szCs w:val="13"/>
                <w:color w:val="auto"/>
              </w:rPr>
            </w:pPr>
          </w:p>
        </w:tc>
        <w:tc>
          <w:tcPr>
            <w:tcW w:w="160" w:type="dxa"/>
            <w:vAlign w:val="bottom"/>
            <w:tcBorders>
              <w:bottom w:val="single" w:sz="8" w:color="CFF0FC"/>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900" w:type="dxa"/>
            <w:vAlign w:val="bottom"/>
            <w:tcBorders>
              <w:top w:val="single" w:sz="8" w:color="auto"/>
              <w:bottom w:val="single" w:sz="8" w:color="auto"/>
            </w:tcBorders>
          </w:tcPr>
          <w:p>
            <w:pPr>
              <w:jc w:val="right"/>
              <w:ind w:right="294"/>
              <w:spacing w:after="0" w:line="155" w:lineRule="exact"/>
              <w:rPr>
                <w:sz w:val="20"/>
                <w:szCs w:val="20"/>
                <w:color w:val="auto"/>
              </w:rPr>
            </w:pPr>
            <w:r>
              <w:rPr>
                <w:rFonts w:ascii="Arial" w:cs="Arial" w:eastAsia="Arial" w:hAnsi="Arial"/>
                <w:sz w:val="14"/>
                <w:szCs w:val="14"/>
                <w:b w:val="1"/>
                <w:bCs w:val="1"/>
                <w:color w:val="auto"/>
              </w:rPr>
              <w:t>2017</w:t>
            </w:r>
          </w:p>
        </w:tc>
        <w:tc>
          <w:tcPr>
            <w:tcW w:w="140" w:type="dxa"/>
            <w:vAlign w:val="bottom"/>
            <w:tcBorders>
              <w:top w:val="single" w:sz="8" w:color="auto"/>
              <w:bottom w:val="single" w:sz="8" w:color="CFF0FC"/>
            </w:tcBorders>
          </w:tcPr>
          <w:p>
            <w:pPr>
              <w:spacing w:after="0"/>
              <w:rPr>
                <w:sz w:val="13"/>
                <w:szCs w:val="13"/>
                <w:color w:val="auto"/>
              </w:rPr>
            </w:pPr>
          </w:p>
        </w:tc>
        <w:tc>
          <w:tcPr>
            <w:tcW w:w="80" w:type="dxa"/>
            <w:vAlign w:val="bottom"/>
            <w:tcBorders>
              <w:top w:val="single" w:sz="8" w:color="auto"/>
              <w:bottom w:val="single" w:sz="8" w:color="CFF0FC"/>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900" w:type="dxa"/>
            <w:vAlign w:val="bottom"/>
            <w:tcBorders>
              <w:top w:val="single" w:sz="8" w:color="auto"/>
              <w:bottom w:val="single" w:sz="8" w:color="auto"/>
            </w:tcBorders>
          </w:tcPr>
          <w:p>
            <w:pPr>
              <w:jc w:val="right"/>
              <w:ind w:right="312"/>
              <w:spacing w:after="0" w:line="155" w:lineRule="exact"/>
              <w:rPr>
                <w:sz w:val="20"/>
                <w:szCs w:val="20"/>
                <w:color w:val="auto"/>
              </w:rPr>
            </w:pPr>
            <w:r>
              <w:rPr>
                <w:rFonts w:ascii="Arial" w:cs="Arial" w:eastAsia="Arial" w:hAnsi="Arial"/>
                <w:sz w:val="14"/>
                <w:szCs w:val="14"/>
                <w:b w:val="1"/>
                <w:bCs w:val="1"/>
                <w:color w:val="auto"/>
              </w:rPr>
              <w:t>2016</w:t>
            </w:r>
          </w:p>
        </w:tc>
        <w:tc>
          <w:tcPr>
            <w:tcW w:w="14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900" w:type="dxa"/>
            <w:vAlign w:val="bottom"/>
            <w:tcBorders>
              <w:top w:val="single" w:sz="8" w:color="auto"/>
              <w:bottom w:val="single" w:sz="8" w:color="auto"/>
            </w:tcBorders>
          </w:tcPr>
          <w:p>
            <w:pPr>
              <w:jc w:val="right"/>
              <w:ind w:right="294"/>
              <w:spacing w:after="0" w:line="155" w:lineRule="exact"/>
              <w:rPr>
                <w:sz w:val="20"/>
                <w:szCs w:val="20"/>
                <w:color w:val="auto"/>
              </w:rPr>
            </w:pPr>
            <w:r>
              <w:rPr>
                <w:rFonts w:ascii="Arial" w:cs="Arial" w:eastAsia="Arial" w:hAnsi="Arial"/>
                <w:sz w:val="14"/>
                <w:szCs w:val="14"/>
                <w:b w:val="1"/>
                <w:bCs w:val="1"/>
                <w:color w:val="auto"/>
              </w:rPr>
              <w:t>2017</w:t>
            </w:r>
          </w:p>
        </w:tc>
        <w:tc>
          <w:tcPr>
            <w:tcW w:w="220" w:type="dxa"/>
            <w:vAlign w:val="bottom"/>
            <w:tcBorders>
              <w:top w:val="single" w:sz="8" w:color="auto"/>
              <w:bottom w:val="single" w:sz="8" w:color="CFF0FC"/>
            </w:tcBorders>
          </w:tcPr>
          <w:p>
            <w:pPr>
              <w:spacing w:after="0"/>
              <w:rPr>
                <w:sz w:val="13"/>
                <w:szCs w:val="13"/>
                <w:color w:val="auto"/>
              </w:rPr>
            </w:pPr>
          </w:p>
        </w:tc>
        <w:tc>
          <w:tcPr>
            <w:tcW w:w="20" w:type="dxa"/>
            <w:vAlign w:val="bottom"/>
            <w:tcBorders>
              <w:top w:val="single" w:sz="8" w:color="auto"/>
              <w:bottom w:val="single" w:sz="8" w:color="CFF0FC"/>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900" w:type="dxa"/>
            <w:vAlign w:val="bottom"/>
            <w:tcBorders>
              <w:top w:val="single" w:sz="8" w:color="auto"/>
              <w:bottom w:val="single" w:sz="8" w:color="auto"/>
            </w:tcBorders>
          </w:tcPr>
          <w:p>
            <w:pPr>
              <w:jc w:val="right"/>
              <w:ind w:right="312"/>
              <w:spacing w:after="0" w:line="155" w:lineRule="exact"/>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1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Numerator:</w:t>
            </w:r>
          </w:p>
        </w:tc>
        <w:tc>
          <w:tcPr>
            <w:tcW w:w="1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5180" w:type="dxa"/>
            <w:vAlign w:val="bottom"/>
          </w:tcPr>
          <w:p>
            <w:pPr>
              <w:spacing w:after="0"/>
              <w:rPr>
                <w:sz w:val="20"/>
                <w:szCs w:val="20"/>
                <w:color w:val="auto"/>
              </w:rPr>
            </w:pPr>
            <w:r>
              <w:rPr>
                <w:rFonts w:ascii="Arial" w:cs="Arial" w:eastAsia="Arial" w:hAnsi="Arial"/>
                <w:sz w:val="18"/>
                <w:szCs w:val="18"/>
                <w:color w:val="auto"/>
              </w:rPr>
              <w:t>Net loss used to compute net loss per common share:</w:t>
            </w: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51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Basic</w:t>
            </w:r>
          </w:p>
        </w:tc>
        <w:tc>
          <w:tcPr>
            <w:tcW w:w="3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(7,380)</w:t>
            </w:r>
          </w:p>
        </w:tc>
        <w:tc>
          <w:tcPr>
            <w:tcW w:w="2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(6,016)</w:t>
            </w:r>
          </w:p>
        </w:tc>
        <w:tc>
          <w:tcPr>
            <w:tcW w:w="2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(14,897)</w:t>
            </w:r>
          </w:p>
        </w:tc>
        <w:tc>
          <w:tcPr>
            <w:tcW w:w="160" w:type="dxa"/>
            <w:vAlign w:val="bottom"/>
            <w:gridSpan w:val="2"/>
            <w:shd w:val="clear" w:color="auto" w:fill="CFF0FC"/>
          </w:tcPr>
          <w:p>
            <w:pPr>
              <w:jc w:val="right"/>
              <w:ind w:right="30"/>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(9,279)</w:t>
            </w:r>
          </w:p>
        </w:tc>
        <w:tc>
          <w:tcPr>
            <w:tcW w:w="0" w:type="dxa"/>
            <w:vAlign w:val="bottom"/>
          </w:tcPr>
          <w:p>
            <w:pPr>
              <w:spacing w:after="0"/>
              <w:rPr>
                <w:sz w:val="1"/>
                <w:szCs w:val="1"/>
                <w:color w:val="auto"/>
              </w:rPr>
            </w:pPr>
          </w:p>
        </w:tc>
      </w:tr>
      <w:tr>
        <w:trPr>
          <w:trHeight w:val="215"/>
        </w:trPr>
        <w:tc>
          <w:tcPr>
            <w:tcW w:w="5180" w:type="dxa"/>
            <w:vAlign w:val="bottom"/>
          </w:tcPr>
          <w:p>
            <w:pPr>
              <w:ind w:left="500"/>
              <w:spacing w:after="0"/>
              <w:rPr>
                <w:sz w:val="20"/>
                <w:szCs w:val="20"/>
                <w:color w:val="auto"/>
              </w:rPr>
            </w:pPr>
            <w:r>
              <w:rPr>
                <w:rFonts w:ascii="Arial" w:cs="Arial" w:eastAsia="Arial" w:hAnsi="Arial"/>
                <w:sz w:val="18"/>
                <w:szCs w:val="18"/>
                <w:color w:val="auto"/>
                <w:w w:val="96"/>
              </w:rPr>
              <w:t>Adjustment for change in fair value of liability classified stock</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180" w:type="dxa"/>
            <w:vAlign w:val="bottom"/>
          </w:tcPr>
          <w:p>
            <w:pPr>
              <w:ind w:left="500"/>
              <w:spacing w:after="0"/>
              <w:rPr>
                <w:sz w:val="20"/>
                <w:szCs w:val="20"/>
                <w:color w:val="auto"/>
              </w:rPr>
            </w:pPr>
            <w:r>
              <w:rPr>
                <w:rFonts w:ascii="Arial" w:cs="Arial" w:eastAsia="Arial" w:hAnsi="Arial"/>
                <w:sz w:val="18"/>
                <w:szCs w:val="18"/>
                <w:color w:val="auto"/>
              </w:rPr>
              <w:t>options</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(30)</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(58)</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(162)</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23"/>
        </w:trPr>
        <w:tc>
          <w:tcPr>
            <w:tcW w:w="5180" w:type="dxa"/>
            <w:vAlign w:val="bottom"/>
            <w:tcBorders>
              <w:top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Diluted</w:t>
            </w:r>
          </w:p>
        </w:tc>
        <w:tc>
          <w:tcPr>
            <w:tcW w:w="16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(7,410)</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(6,074)</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(15,059)</w:t>
            </w:r>
          </w:p>
        </w:tc>
        <w:tc>
          <w:tcPr>
            <w:tcW w:w="22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0"/>
                <w:szCs w:val="10"/>
                <w:color w:val="auto"/>
                <w:w w:val="71"/>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(9,379)</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80" w:type="dxa"/>
            <w:vAlign w:val="bottom"/>
          </w:tcPr>
          <w:p>
            <w:pPr>
              <w:spacing w:after="0"/>
              <w:rPr>
                <w:sz w:val="20"/>
                <w:szCs w:val="20"/>
                <w:color w:val="auto"/>
              </w:rPr>
            </w:pPr>
            <w:r>
              <w:rPr>
                <w:rFonts w:ascii="Arial" w:cs="Arial" w:eastAsia="Arial" w:hAnsi="Arial"/>
                <w:sz w:val="18"/>
                <w:szCs w:val="18"/>
                <w:b w:val="1"/>
                <w:bCs w:val="1"/>
                <w:color w:val="auto"/>
              </w:rPr>
              <w:t>Denominator:</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80" w:type="dxa"/>
            <w:vAlign w:val="bottom"/>
            <w:shd w:val="clear" w:color="auto" w:fill="CFF0FC"/>
          </w:tcPr>
          <w:p>
            <w:pPr>
              <w:spacing w:after="0"/>
              <w:rPr>
                <w:sz w:val="20"/>
                <w:szCs w:val="20"/>
                <w:color w:val="auto"/>
              </w:rPr>
            </w:pPr>
            <w:r>
              <w:rPr>
                <w:rFonts w:ascii="Arial" w:cs="Arial" w:eastAsia="Arial" w:hAnsi="Arial"/>
                <w:sz w:val="18"/>
                <w:szCs w:val="18"/>
                <w:color w:val="auto"/>
              </w:rPr>
              <w:t>Weighted average number of common shares:</w:t>
            </w:r>
          </w:p>
        </w:tc>
        <w:tc>
          <w:tcPr>
            <w:tcW w:w="1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80" w:type="dxa"/>
            <w:vAlign w:val="bottom"/>
          </w:tcPr>
          <w:p>
            <w:pPr>
              <w:ind w:left="240"/>
              <w:spacing w:after="0"/>
              <w:rPr>
                <w:sz w:val="20"/>
                <w:szCs w:val="20"/>
                <w:color w:val="auto"/>
              </w:rPr>
            </w:pPr>
            <w:r>
              <w:rPr>
                <w:rFonts w:ascii="Arial" w:cs="Arial" w:eastAsia="Arial" w:hAnsi="Arial"/>
                <w:sz w:val="18"/>
                <w:szCs w:val="18"/>
                <w:color w:val="auto"/>
              </w:rPr>
              <w:t>Basic</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5"/>
              </w:rPr>
              <w:t>17,997,194</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5"/>
              </w:rPr>
              <w:t>14,408,108</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5"/>
              </w:rPr>
              <w:t>17,971,702</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5"/>
              </w:rPr>
              <w:t>14,401,054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80" w:type="dxa"/>
            <w:vAlign w:val="bottom"/>
            <w:shd w:val="clear" w:color="auto" w:fill="CFF0FC"/>
          </w:tcPr>
          <w:p>
            <w:pPr>
              <w:ind w:left="500"/>
              <w:spacing w:after="0"/>
              <w:rPr>
                <w:sz w:val="20"/>
                <w:szCs w:val="20"/>
                <w:color w:val="auto"/>
              </w:rPr>
            </w:pPr>
            <w:r>
              <w:rPr>
                <w:rFonts w:ascii="Arial" w:cs="Arial" w:eastAsia="Arial" w:hAnsi="Arial"/>
                <w:sz w:val="18"/>
                <w:szCs w:val="18"/>
                <w:color w:val="auto"/>
              </w:rPr>
              <w:t>Adjustment for dilutive effect of stock options</w:t>
            </w:r>
          </w:p>
        </w:tc>
        <w:tc>
          <w:tcPr>
            <w:tcW w:w="16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18,554</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26,494</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23,407</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27,106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180" w:type="dxa"/>
            <w:vAlign w:val="bottom"/>
          </w:tcPr>
          <w:p>
            <w:pPr>
              <w:ind w:left="240"/>
              <w:spacing w:after="0"/>
              <w:rPr>
                <w:sz w:val="20"/>
                <w:szCs w:val="20"/>
                <w:color w:val="auto"/>
              </w:rPr>
            </w:pPr>
            <w:r>
              <w:rPr>
                <w:rFonts w:ascii="Arial" w:cs="Arial" w:eastAsia="Arial" w:hAnsi="Arial"/>
                <w:sz w:val="18"/>
                <w:szCs w:val="18"/>
                <w:color w:val="auto"/>
              </w:rPr>
              <w:t>Diluted</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5"/>
              </w:rPr>
              <w:t>18,015,748</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5"/>
              </w:rPr>
              <w:t>14,434,602</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5"/>
              </w:rPr>
              <w:t>17,995,109</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5"/>
              </w:rPr>
              <w:t>14,428,160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80" w:type="dxa"/>
            <w:vAlign w:val="bottom"/>
            <w:shd w:val="clear" w:color="auto" w:fill="CFF0FC"/>
          </w:tcPr>
          <w:p>
            <w:pPr>
              <w:spacing w:after="0"/>
              <w:rPr>
                <w:sz w:val="20"/>
                <w:szCs w:val="20"/>
                <w:color w:val="auto"/>
              </w:rPr>
            </w:pPr>
            <w:r>
              <w:rPr>
                <w:rFonts w:ascii="Arial" w:cs="Arial" w:eastAsia="Arial" w:hAnsi="Arial"/>
                <w:sz w:val="18"/>
                <w:szCs w:val="18"/>
                <w:color w:val="auto"/>
              </w:rPr>
              <w:t>Net loss per common share - basic</w:t>
            </w:r>
          </w:p>
        </w:tc>
        <w:tc>
          <w:tcPr>
            <w:tcW w:w="3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(0.41)</w:t>
            </w:r>
          </w:p>
        </w:tc>
        <w:tc>
          <w:tcPr>
            <w:tcW w:w="2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(0.42)</w:t>
            </w:r>
          </w:p>
        </w:tc>
        <w:tc>
          <w:tcPr>
            <w:tcW w:w="2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(0.83)</w:t>
            </w:r>
          </w:p>
        </w:tc>
        <w:tc>
          <w:tcPr>
            <w:tcW w:w="160" w:type="dxa"/>
            <w:vAlign w:val="bottom"/>
            <w:gridSpan w:val="2"/>
            <w:shd w:val="clear" w:color="auto" w:fill="CFF0FC"/>
          </w:tcPr>
          <w:p>
            <w:pPr>
              <w:jc w:val="right"/>
              <w:ind w:right="30"/>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(0.64)</w:t>
            </w:r>
          </w:p>
        </w:tc>
        <w:tc>
          <w:tcPr>
            <w:tcW w:w="0" w:type="dxa"/>
            <w:vAlign w:val="bottom"/>
          </w:tcPr>
          <w:p>
            <w:pPr>
              <w:spacing w:after="0"/>
              <w:rPr>
                <w:sz w:val="1"/>
                <w:szCs w:val="1"/>
                <w:color w:val="auto"/>
              </w:rPr>
            </w:pPr>
          </w:p>
        </w:tc>
      </w:tr>
      <w:tr>
        <w:trPr>
          <w:trHeight w:val="20"/>
        </w:trPr>
        <w:tc>
          <w:tcPr>
            <w:tcW w:w="518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8"/>
                <w:szCs w:val="18"/>
                <w:color w:val="auto"/>
              </w:rPr>
              <w:t>Net loss per common share - diluted</w:t>
            </w:r>
          </w:p>
        </w:tc>
        <w:tc>
          <w:tcPr>
            <w:tcW w:w="16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2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18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(0.84)</w:t>
            </w:r>
          </w:p>
        </w:tc>
        <w:tc>
          <w:tcPr>
            <w:tcW w:w="22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jc w:val="right"/>
              <w:ind w:right="30"/>
              <w:spacing w:after="0"/>
              <w:rPr>
                <w:sz w:val="20"/>
                <w:szCs w:val="20"/>
                <w:color w:val="auto"/>
              </w:rPr>
            </w:pPr>
            <w:r>
              <w:rPr>
                <w:rFonts w:ascii="Arial" w:cs="Arial" w:eastAsia="Arial" w:hAnsi="Arial"/>
                <w:sz w:val="10"/>
                <w:szCs w:val="10"/>
                <w:color w:val="auto"/>
                <w:w w:val="71"/>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(0.65)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ind w:left="512" w:hanging="512"/>
        <w:spacing w:after="0"/>
        <w:tabs>
          <w:tab w:leader="none" w:pos="512"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of financial instruments:</w:t>
      </w:r>
    </w:p>
    <w:p>
      <w:pPr>
        <w:spacing w:after="0" w:line="121" w:lineRule="exact"/>
        <w:rPr>
          <w:rFonts w:ascii="Arial" w:cs="Arial" w:eastAsia="Arial" w:hAnsi="Arial"/>
          <w:sz w:val="18"/>
          <w:szCs w:val="18"/>
          <w:b w:val="1"/>
          <w:bCs w:val="1"/>
          <w:color w:val="auto"/>
        </w:rPr>
      </w:pPr>
    </w:p>
    <w:p>
      <w:pPr>
        <w:ind w:left="512"/>
        <w:spacing w:after="0"/>
        <w:rPr>
          <w:rFonts w:ascii="Arial" w:cs="Arial" w:eastAsia="Arial" w:hAnsi="Arial"/>
          <w:sz w:val="18"/>
          <w:szCs w:val="18"/>
          <w:b w:val="1"/>
          <w:bCs w:val="1"/>
          <w:color w:val="auto"/>
        </w:rPr>
      </w:pPr>
      <w:r>
        <w:rPr>
          <w:rFonts w:ascii="Arial" w:cs="Arial" w:eastAsia="Arial" w:hAnsi="Arial"/>
          <w:sz w:val="18"/>
          <w:szCs w:val="18"/>
          <w:color w:val="auto"/>
        </w:rPr>
        <w:t>We measure certain financial instruments and other items at fair value.</w:t>
      </w:r>
    </w:p>
    <w:p>
      <w:pPr>
        <w:spacing w:after="0" w:line="117" w:lineRule="exact"/>
        <w:rPr>
          <w:rFonts w:ascii="Arial" w:cs="Arial" w:eastAsia="Arial" w:hAnsi="Arial"/>
          <w:sz w:val="18"/>
          <w:szCs w:val="18"/>
          <w:b w:val="1"/>
          <w:bCs w:val="1"/>
          <w:color w:val="auto"/>
        </w:rPr>
      </w:pPr>
    </w:p>
    <w:p>
      <w:pPr>
        <w:jc w:val="both"/>
        <w:ind w:left="512"/>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To determine the fair value, we use the fair value hierarchy for inputs used to measure fair value of financial assets and liabilities. This hierarchy prioritizes the inputs to valuation techniques used to measure fair value into three levels: Level 1 (highest priority), Level 2, and Level 3 (lowest priority).</w:t>
      </w:r>
    </w:p>
    <w:p>
      <w:pPr>
        <w:spacing w:after="0" w:line="73" w:lineRule="exact"/>
        <w:rPr>
          <w:rFonts w:ascii="Arial" w:cs="Arial" w:eastAsia="Arial" w:hAnsi="Arial"/>
          <w:sz w:val="18"/>
          <w:szCs w:val="18"/>
          <w:b w:val="1"/>
          <w:bCs w:val="1"/>
          <w:color w:val="auto"/>
        </w:rPr>
      </w:pPr>
    </w:p>
    <w:p>
      <w:pPr>
        <w:ind w:left="892" w:hanging="379"/>
        <w:spacing w:after="0"/>
        <w:tabs>
          <w:tab w:leader="none" w:pos="892" w:val="left"/>
        </w:tabs>
        <w:numPr>
          <w:ilvl w:val="1"/>
          <w:numId w:val="6"/>
        </w:numPr>
        <w:rPr>
          <w:rFonts w:ascii="Arial" w:cs="Arial" w:eastAsia="Arial" w:hAnsi="Arial"/>
          <w:sz w:val="18"/>
          <w:szCs w:val="18"/>
          <w:color w:val="auto"/>
        </w:rPr>
      </w:pPr>
      <w:r>
        <w:rPr>
          <w:rFonts w:ascii="Arial" w:cs="Arial" w:eastAsia="Arial" w:hAnsi="Arial"/>
          <w:sz w:val="18"/>
          <w:szCs w:val="18"/>
          <w:i w:val="1"/>
          <w:iCs w:val="1"/>
          <w:color w:val="auto"/>
        </w:rPr>
        <w:t xml:space="preserve">Level 1 - </w:t>
      </w:r>
      <w:r>
        <w:rPr>
          <w:rFonts w:ascii="Arial" w:cs="Arial" w:eastAsia="Arial" w:hAnsi="Arial"/>
          <w:sz w:val="18"/>
          <w:szCs w:val="18"/>
          <w:color w:val="auto"/>
        </w:rPr>
        <w:t>Unadjusted quoted prices in active markets for identical instruments.</w:t>
      </w:r>
    </w:p>
    <w:p>
      <w:pPr>
        <w:spacing w:after="0" w:line="117" w:lineRule="exact"/>
        <w:rPr>
          <w:rFonts w:ascii="Arial" w:cs="Arial" w:eastAsia="Arial" w:hAnsi="Arial"/>
          <w:sz w:val="18"/>
          <w:szCs w:val="18"/>
          <w:color w:val="auto"/>
        </w:rPr>
      </w:pPr>
    </w:p>
    <w:p>
      <w:pPr>
        <w:jc w:val="both"/>
        <w:ind w:left="892" w:hanging="379"/>
        <w:spacing w:after="0" w:line="302" w:lineRule="auto"/>
        <w:tabs>
          <w:tab w:leader="none" w:pos="892" w:val="left"/>
        </w:tabs>
        <w:numPr>
          <w:ilvl w:val="1"/>
          <w:numId w:val="6"/>
        </w:numPr>
        <w:rPr>
          <w:rFonts w:ascii="Arial" w:cs="Arial" w:eastAsia="Arial" w:hAnsi="Arial"/>
          <w:sz w:val="16"/>
          <w:szCs w:val="16"/>
          <w:color w:val="auto"/>
        </w:rPr>
      </w:pPr>
      <w:r>
        <w:rPr>
          <w:rFonts w:ascii="Arial" w:cs="Arial" w:eastAsia="Arial" w:hAnsi="Arial"/>
          <w:sz w:val="16"/>
          <w:szCs w:val="16"/>
          <w:i w:val="1"/>
          <w:iCs w:val="1"/>
          <w:color w:val="auto"/>
        </w:rPr>
        <w:t xml:space="preserve">Level 2 - </w:t>
      </w:r>
      <w:r>
        <w:rPr>
          <w:rFonts w:ascii="Arial" w:cs="Arial" w:eastAsia="Arial" w:hAnsi="Arial"/>
          <w:sz w:val="16"/>
          <w:szCs w:val="16"/>
          <w:color w:val="auto"/>
        </w:rPr>
        <w:t>Inputs other than quoted prices included within Level 1 that are observable for the asset or liability, either directly or indirectly. Level 2</w:t>
      </w:r>
      <w:r>
        <w:rPr>
          <w:rFonts w:ascii="Arial" w:cs="Arial" w:eastAsia="Arial" w:hAnsi="Arial"/>
          <w:sz w:val="16"/>
          <w:szCs w:val="16"/>
          <w:i w:val="1"/>
          <w:iCs w:val="1"/>
          <w:color w:val="auto"/>
        </w:rPr>
        <w:t xml:space="preserve"> </w:t>
      </w:r>
      <w:r>
        <w:rPr>
          <w:rFonts w:ascii="Arial" w:cs="Arial" w:eastAsia="Arial" w:hAnsi="Arial"/>
          <w:sz w:val="16"/>
          <w:szCs w:val="16"/>
          <w:color w:val="auto"/>
        </w:rPr>
        <w:t>inputs include quoted prices for similar assets or liabilities in active markets, quoted prices for identical or similar assets or liabilities in markets that are not active, inputs other than quoted prices that are observable for the asset or liability (i.e., interest rates, yield curves, etc.), and inputs that are derived principally from or corroborated by observable market data by correlation or other means (market corroborated inputs).</w:t>
      </w:r>
    </w:p>
    <w:p>
      <w:pPr>
        <w:spacing w:after="0" w:line="46" w:lineRule="exact"/>
        <w:rPr>
          <w:rFonts w:ascii="Arial" w:cs="Arial" w:eastAsia="Arial" w:hAnsi="Arial"/>
          <w:sz w:val="16"/>
          <w:szCs w:val="16"/>
          <w:color w:val="auto"/>
        </w:rPr>
      </w:pPr>
    </w:p>
    <w:p>
      <w:pPr>
        <w:ind w:left="892" w:hanging="379"/>
        <w:spacing w:after="0" w:line="277" w:lineRule="auto"/>
        <w:tabs>
          <w:tab w:leader="none" w:pos="892" w:val="left"/>
        </w:tabs>
        <w:numPr>
          <w:ilvl w:val="1"/>
          <w:numId w:val="6"/>
        </w:numPr>
        <w:rPr>
          <w:rFonts w:ascii="Arial" w:cs="Arial" w:eastAsia="Arial" w:hAnsi="Arial"/>
          <w:sz w:val="18"/>
          <w:szCs w:val="18"/>
          <w:color w:val="auto"/>
        </w:rPr>
      </w:pPr>
      <w:r>
        <w:rPr>
          <w:rFonts w:ascii="Arial" w:cs="Arial" w:eastAsia="Arial" w:hAnsi="Arial"/>
          <w:sz w:val="18"/>
          <w:szCs w:val="18"/>
          <w:i w:val="1"/>
          <w:iCs w:val="1"/>
          <w:color w:val="auto"/>
        </w:rPr>
        <w:t xml:space="preserve">Level 3 - </w:t>
      </w:r>
      <w:r>
        <w:rPr>
          <w:rFonts w:ascii="Arial" w:cs="Arial" w:eastAsia="Arial" w:hAnsi="Arial"/>
          <w:sz w:val="18"/>
          <w:szCs w:val="18"/>
          <w:color w:val="auto"/>
        </w:rPr>
        <w:t>Inputs are unobservable and reflect the Company’s assumptions as to what market participants would use in pricing the asset or liability.</w:t>
      </w:r>
      <w:r>
        <w:rPr>
          <w:rFonts w:ascii="Arial" w:cs="Arial" w:eastAsia="Arial" w:hAnsi="Arial"/>
          <w:sz w:val="18"/>
          <w:szCs w:val="18"/>
          <w:i w:val="1"/>
          <w:iCs w:val="1"/>
          <w:color w:val="auto"/>
        </w:rPr>
        <w:t xml:space="preserve"> </w:t>
      </w:r>
      <w:r>
        <w:rPr>
          <w:rFonts w:ascii="Arial" w:cs="Arial" w:eastAsia="Arial" w:hAnsi="Arial"/>
          <w:sz w:val="18"/>
          <w:szCs w:val="18"/>
          <w:color w:val="auto"/>
        </w:rPr>
        <w:t>The Company develops these inputs based on the best information available.</w:t>
      </w:r>
    </w:p>
    <w:p>
      <w:pPr>
        <w:spacing w:after="0" w:line="62" w:lineRule="exact"/>
        <w:rPr>
          <w:sz w:val="20"/>
          <w:szCs w:val="20"/>
          <w:color w:val="auto"/>
        </w:rPr>
      </w:pPr>
    </w:p>
    <w:p>
      <w:pPr>
        <w:jc w:val="both"/>
        <w:ind w:left="512"/>
        <w:spacing w:after="0" w:line="277" w:lineRule="auto"/>
        <w:rPr>
          <w:sz w:val="20"/>
          <w:szCs w:val="20"/>
          <w:color w:val="auto"/>
        </w:rPr>
      </w:pPr>
      <w:r>
        <w:rPr>
          <w:rFonts w:ascii="Arial" w:cs="Arial" w:eastAsia="Arial" w:hAnsi="Arial"/>
          <w:sz w:val="18"/>
          <w:szCs w:val="18"/>
          <w:color w:val="auto"/>
        </w:rPr>
        <w:t>Assets and liabilities are classified based on the lowest level of input that is significant to the fair value measurements. Changes in the observability of valuation inputs may result in a reclassification of levels for certain securities within the fair value hierarchy.</w:t>
      </w:r>
    </w:p>
    <w:p>
      <w:pPr>
        <w:spacing w:after="0" w:line="62" w:lineRule="exact"/>
        <w:rPr>
          <w:sz w:val="20"/>
          <w:szCs w:val="20"/>
          <w:color w:val="auto"/>
        </w:rPr>
      </w:pPr>
    </w:p>
    <w:p>
      <w:pPr>
        <w:jc w:val="both"/>
        <w:ind w:left="512"/>
        <w:spacing w:after="0" w:line="302" w:lineRule="auto"/>
        <w:rPr>
          <w:sz w:val="20"/>
          <w:szCs w:val="20"/>
          <w:color w:val="auto"/>
        </w:rPr>
      </w:pPr>
      <w:r>
        <w:rPr>
          <w:rFonts w:ascii="Arial" w:cs="Arial" w:eastAsia="Arial" w:hAnsi="Arial"/>
          <w:sz w:val="16"/>
          <w:szCs w:val="16"/>
          <w:color w:val="auto"/>
        </w:rPr>
        <w:t>The Company’s Level 1 assets include cash and cash equivalents and marketable securities with quoted prices in active markets. The carrying amount of accounts receivables, accounts payable and accrued expenses approximates fair value due to the nature and short-term of those instruments. As quoted prices for the liability classified stock options, included in the consolidated balance sheet as accounts payable and accrued expenses, are not readily available, the Company has used a Black-Scholes pricing model to estimate fair value using Level 3 inputs as defined above.</w:t>
      </w:r>
    </w:p>
    <w:p>
      <w:pPr>
        <w:spacing w:after="0" w:line="397"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70485</wp:posOffset>
            </wp:positionV>
            <wp:extent cx="728916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12"/>
          </w:cols>
          <w:pgMar w:left="248" w:top="459" w:right="23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34"/>
        </w:trPr>
        <w:tc>
          <w:tcPr>
            <w:tcW w:w="340" w:type="dxa"/>
            <w:vAlign w:val="bottom"/>
          </w:tcPr>
          <w:p>
            <w:pPr>
              <w:jc w:val="right"/>
              <w:ind w:right="110"/>
              <w:spacing w:after="0"/>
              <w:rPr>
                <w:sz w:val="20"/>
                <w:szCs w:val="20"/>
                <w:color w:val="auto"/>
              </w:rPr>
            </w:pPr>
            <w:r>
              <w:rPr>
                <w:rFonts w:ascii="Arial" w:cs="Arial" w:eastAsia="Arial" w:hAnsi="Arial"/>
                <w:sz w:val="18"/>
                <w:szCs w:val="18"/>
                <w:b w:val="1"/>
                <w:bCs w:val="1"/>
                <w:color w:val="auto"/>
                <w:w w:val="79"/>
              </w:rPr>
              <w:t>6.</w:t>
            </w:r>
          </w:p>
        </w:tc>
        <w:tc>
          <w:tcPr>
            <w:tcW w:w="6840" w:type="dxa"/>
            <w:vAlign w:val="bottom"/>
            <w:gridSpan w:val="2"/>
          </w:tcPr>
          <w:p>
            <w:pPr>
              <w:ind w:left="180"/>
              <w:spacing w:after="0"/>
              <w:rPr>
                <w:sz w:val="20"/>
                <w:szCs w:val="20"/>
                <w:color w:val="auto"/>
              </w:rPr>
            </w:pPr>
            <w:r>
              <w:rPr>
                <w:rFonts w:ascii="Arial" w:cs="Arial" w:eastAsia="Arial" w:hAnsi="Arial"/>
                <w:sz w:val="18"/>
                <w:szCs w:val="18"/>
                <w:b w:val="1"/>
                <w:bCs w:val="1"/>
                <w:color w:val="auto"/>
              </w:rPr>
              <w:t>Accounts payable and accrued expenses:</w:t>
            </w: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324"/>
        </w:trPr>
        <w:tc>
          <w:tcPr>
            <w:tcW w:w="340" w:type="dxa"/>
            <w:vAlign w:val="bottom"/>
          </w:tcPr>
          <w:p>
            <w:pPr>
              <w:spacing w:after="0"/>
              <w:rPr>
                <w:sz w:val="24"/>
                <w:szCs w:val="24"/>
                <w:color w:val="auto"/>
              </w:rPr>
            </w:pPr>
          </w:p>
        </w:tc>
        <w:tc>
          <w:tcPr>
            <w:tcW w:w="6840" w:type="dxa"/>
            <w:vAlign w:val="bottom"/>
            <w:gridSpan w:val="2"/>
          </w:tcPr>
          <w:p>
            <w:pPr>
              <w:ind w:left="180"/>
              <w:spacing w:after="0"/>
              <w:rPr>
                <w:sz w:val="20"/>
                <w:szCs w:val="20"/>
                <w:color w:val="auto"/>
              </w:rPr>
            </w:pPr>
            <w:r>
              <w:rPr>
                <w:rFonts w:ascii="Arial" w:cs="Arial" w:eastAsia="Arial" w:hAnsi="Arial"/>
                <w:sz w:val="18"/>
                <w:szCs w:val="18"/>
                <w:color w:val="auto"/>
              </w:rPr>
              <w:t>Accounts payable and accrued expenses consisted of the following:</w:t>
            </w: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436"/>
        </w:trPr>
        <w:tc>
          <w:tcPr>
            <w:tcW w:w="3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5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gridSpan w:val="2"/>
          </w:tcPr>
          <w:p>
            <w:pPr>
              <w:ind w:left="100"/>
              <w:spacing w:after="0"/>
              <w:rPr>
                <w:sz w:val="20"/>
                <w:szCs w:val="20"/>
                <w:color w:val="auto"/>
              </w:rPr>
            </w:pPr>
            <w:r>
              <w:rPr>
                <w:rFonts w:ascii="Arial" w:cs="Arial" w:eastAsia="Arial" w:hAnsi="Arial"/>
                <w:sz w:val="14"/>
                <w:szCs w:val="14"/>
                <w:b w:val="1"/>
                <w:bCs w:val="1"/>
                <w:color w:val="auto"/>
              </w:rPr>
              <w:t>June 30,</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gridSpan w:val="2"/>
          </w:tcPr>
          <w:p>
            <w:pPr>
              <w:ind w:left="20"/>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3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5460" w:type="dxa"/>
            <w:vAlign w:val="bottom"/>
            <w:tcBorders>
              <w:bottom w:val="single" w:sz="8" w:color="CFF0FC"/>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2017</w:t>
            </w:r>
          </w:p>
        </w:tc>
        <w:tc>
          <w:tcPr>
            <w:tcW w:w="180" w:type="dxa"/>
            <w:vAlign w:val="bottom"/>
            <w:tcBorders>
              <w:bottom w:val="single" w:sz="8" w:color="CFF0FC"/>
            </w:tcBorders>
          </w:tcPr>
          <w:p>
            <w:pPr>
              <w:spacing w:after="0"/>
              <w:rPr>
                <w:sz w:val="14"/>
                <w:szCs w:val="14"/>
                <w:color w:val="auto"/>
              </w:rPr>
            </w:pPr>
          </w:p>
        </w:tc>
        <w:tc>
          <w:tcPr>
            <w:tcW w:w="20" w:type="dxa"/>
            <w:vAlign w:val="bottom"/>
            <w:tcBorders>
              <w:bottom w:val="single" w:sz="8" w:color="CFF0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2016</w:t>
            </w:r>
          </w:p>
        </w:tc>
        <w:tc>
          <w:tcPr>
            <w:tcW w:w="60" w:type="dxa"/>
            <w:vAlign w:val="bottom"/>
            <w:tcBorders>
              <w:bottom w:val="single" w:sz="8" w:color="CFF0FC"/>
            </w:tcBorders>
          </w:tcPr>
          <w:p>
            <w:pPr>
              <w:spacing w:after="0"/>
              <w:rPr>
                <w:sz w:val="14"/>
                <w:szCs w:val="14"/>
                <w:color w:val="auto"/>
              </w:rPr>
            </w:pPr>
          </w:p>
        </w:tc>
      </w:tr>
      <w:tr>
        <w:trPr>
          <w:trHeight w:val="223"/>
        </w:trPr>
        <w:tc>
          <w:tcPr>
            <w:tcW w:w="3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5460" w:type="dxa"/>
            <w:vAlign w:val="bottom"/>
            <w:shd w:val="clear" w:color="auto" w:fill="CFF0FC"/>
          </w:tcPr>
          <w:p>
            <w:pPr>
              <w:spacing w:after="0"/>
              <w:rPr>
                <w:sz w:val="20"/>
                <w:szCs w:val="20"/>
                <w:color w:val="auto"/>
              </w:rPr>
            </w:pPr>
            <w:r>
              <w:rPr>
                <w:rFonts w:ascii="Arial" w:cs="Arial" w:eastAsia="Arial" w:hAnsi="Arial"/>
                <w:sz w:val="18"/>
                <w:szCs w:val="18"/>
                <w:color w:val="auto"/>
              </w:rPr>
              <w:t>Trade payables</w:t>
            </w:r>
          </w:p>
        </w:tc>
        <w:tc>
          <w:tcPr>
            <w:tcW w:w="200" w:type="dxa"/>
            <w:vAlign w:val="bottom"/>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1,314</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1,463</w:t>
            </w:r>
          </w:p>
        </w:tc>
        <w:tc>
          <w:tcPr>
            <w:tcW w:w="60" w:type="dxa"/>
            <w:vAlign w:val="bottom"/>
            <w:shd w:val="clear" w:color="auto" w:fill="CFF0FC"/>
          </w:tcPr>
          <w:p>
            <w:pPr>
              <w:spacing w:after="0"/>
              <w:rPr>
                <w:sz w:val="19"/>
                <w:szCs w:val="19"/>
                <w:color w:val="auto"/>
              </w:rPr>
            </w:pPr>
          </w:p>
        </w:tc>
      </w:tr>
      <w:tr>
        <w:trPr>
          <w:trHeight w:val="230"/>
        </w:trPr>
        <w:tc>
          <w:tcPr>
            <w:tcW w:w="3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Employee compensation, benefits, and related accruals</w:t>
            </w: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975</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872</w:t>
            </w:r>
          </w:p>
        </w:tc>
        <w:tc>
          <w:tcPr>
            <w:tcW w:w="60" w:type="dxa"/>
            <w:vAlign w:val="bottom"/>
          </w:tcPr>
          <w:p>
            <w:pPr>
              <w:spacing w:after="0"/>
              <w:rPr>
                <w:sz w:val="19"/>
                <w:szCs w:val="19"/>
                <w:color w:val="auto"/>
              </w:rPr>
            </w:pPr>
          </w:p>
        </w:tc>
      </w:tr>
      <w:tr>
        <w:trPr>
          <w:trHeight w:val="230"/>
        </w:trPr>
        <w:tc>
          <w:tcPr>
            <w:tcW w:w="3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5460" w:type="dxa"/>
            <w:vAlign w:val="bottom"/>
            <w:shd w:val="clear" w:color="auto" w:fill="CFF0FC"/>
          </w:tcPr>
          <w:p>
            <w:pPr>
              <w:spacing w:after="0"/>
              <w:rPr>
                <w:sz w:val="20"/>
                <w:szCs w:val="20"/>
                <w:color w:val="auto"/>
              </w:rPr>
            </w:pPr>
            <w:r>
              <w:rPr>
                <w:rFonts w:ascii="Arial" w:cs="Arial" w:eastAsia="Arial" w:hAnsi="Arial"/>
                <w:sz w:val="18"/>
                <w:szCs w:val="18"/>
                <w:color w:val="auto"/>
              </w:rPr>
              <w:t>Consulting and contracted research</w:t>
            </w: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1,061</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1,029</w:t>
            </w:r>
          </w:p>
        </w:tc>
        <w:tc>
          <w:tcPr>
            <w:tcW w:w="60" w:type="dxa"/>
            <w:vAlign w:val="bottom"/>
            <w:shd w:val="clear" w:color="auto" w:fill="CFF0FC"/>
          </w:tcPr>
          <w:p>
            <w:pPr>
              <w:spacing w:after="0"/>
              <w:rPr>
                <w:sz w:val="19"/>
                <w:szCs w:val="19"/>
                <w:color w:val="auto"/>
              </w:rPr>
            </w:pPr>
          </w:p>
        </w:tc>
      </w:tr>
      <w:tr>
        <w:trPr>
          <w:trHeight w:val="230"/>
        </w:trPr>
        <w:tc>
          <w:tcPr>
            <w:tcW w:w="3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Professional fees</w:t>
            </w: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358</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93</w:t>
            </w:r>
          </w:p>
        </w:tc>
        <w:tc>
          <w:tcPr>
            <w:tcW w:w="60" w:type="dxa"/>
            <w:vAlign w:val="bottom"/>
          </w:tcPr>
          <w:p>
            <w:pPr>
              <w:spacing w:after="0"/>
              <w:rPr>
                <w:sz w:val="19"/>
                <w:szCs w:val="19"/>
                <w:color w:val="auto"/>
              </w:rPr>
            </w:pPr>
          </w:p>
        </w:tc>
      </w:tr>
      <w:tr>
        <w:trPr>
          <w:trHeight w:val="230"/>
        </w:trPr>
        <w:tc>
          <w:tcPr>
            <w:tcW w:w="3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5460" w:type="dxa"/>
            <w:vAlign w:val="bottom"/>
            <w:shd w:val="clear" w:color="auto" w:fill="CFF0FC"/>
          </w:tcPr>
          <w:p>
            <w:pPr>
              <w:spacing w:after="0"/>
              <w:rPr>
                <w:sz w:val="20"/>
                <w:szCs w:val="20"/>
                <w:color w:val="auto"/>
              </w:rPr>
            </w:pPr>
            <w:r>
              <w:rPr>
                <w:rFonts w:ascii="Arial" w:cs="Arial" w:eastAsia="Arial" w:hAnsi="Arial"/>
                <w:sz w:val="18"/>
                <w:szCs w:val="18"/>
                <w:color w:val="auto"/>
              </w:rPr>
              <w:t>Other</w:t>
            </w:r>
          </w:p>
        </w:tc>
        <w:tc>
          <w:tcPr>
            <w:tcW w:w="20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66</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129</w:t>
            </w:r>
          </w:p>
        </w:tc>
        <w:tc>
          <w:tcPr>
            <w:tcW w:w="60" w:type="dxa"/>
            <w:vAlign w:val="bottom"/>
            <w:shd w:val="clear" w:color="auto" w:fill="CFF0FC"/>
          </w:tcPr>
          <w:p>
            <w:pPr>
              <w:spacing w:after="0"/>
              <w:rPr>
                <w:sz w:val="19"/>
                <w:szCs w:val="19"/>
                <w:color w:val="auto"/>
              </w:rPr>
            </w:pPr>
          </w:p>
        </w:tc>
      </w:tr>
      <w:tr>
        <w:trPr>
          <w:trHeight w:val="223"/>
        </w:trPr>
        <w:tc>
          <w:tcPr>
            <w:tcW w:w="340" w:type="dxa"/>
            <w:vAlign w:val="bottom"/>
          </w:tcPr>
          <w:p>
            <w:pPr>
              <w:spacing w:after="0"/>
              <w:rPr>
                <w:sz w:val="19"/>
                <w:szCs w:val="19"/>
                <w:color w:val="auto"/>
              </w:rPr>
            </w:pPr>
          </w:p>
        </w:tc>
        <w:tc>
          <w:tcPr>
            <w:tcW w:w="6840" w:type="dxa"/>
            <w:vAlign w:val="bottom"/>
            <w:gridSpan w:val="2"/>
          </w:tcPr>
          <w:p>
            <w:pPr>
              <w:ind w:left="1380"/>
              <w:spacing w:after="0"/>
              <w:rPr>
                <w:sz w:val="20"/>
                <w:szCs w:val="20"/>
                <w:color w:val="auto"/>
              </w:rPr>
            </w:pPr>
            <w:r>
              <w:rPr>
                <w:rFonts w:ascii="Arial" w:cs="Arial" w:eastAsia="Arial" w:hAnsi="Arial"/>
                <w:sz w:val="18"/>
                <w:szCs w:val="18"/>
                <w:color w:val="auto"/>
              </w:rPr>
              <w:t>Total</w:t>
            </w:r>
          </w:p>
        </w:tc>
        <w:tc>
          <w:tcPr>
            <w:tcW w:w="200" w:type="dxa"/>
            <w:vAlign w:val="bottom"/>
            <w:tcBorders>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3,774</w:t>
            </w:r>
          </w:p>
        </w:tc>
        <w:tc>
          <w:tcPr>
            <w:tcW w:w="1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3,586</w:t>
            </w:r>
          </w:p>
        </w:tc>
        <w:tc>
          <w:tcPr>
            <w:tcW w:w="60" w:type="dxa"/>
            <w:vAlign w:val="bottom"/>
          </w:tcPr>
          <w:p>
            <w:pPr>
              <w:spacing w:after="0"/>
              <w:rPr>
                <w:sz w:val="19"/>
                <w:szCs w:val="19"/>
                <w:color w:val="auto"/>
              </w:rPr>
            </w:pPr>
          </w:p>
        </w:tc>
      </w:tr>
      <w:tr>
        <w:trPr>
          <w:trHeight w:val="20"/>
        </w:trPr>
        <w:tc>
          <w:tcPr>
            <w:tcW w:w="3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54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06" w:lineRule="exact"/>
        <w:rPr>
          <w:sz w:val="20"/>
          <w:szCs w:val="20"/>
          <w:color w:val="auto"/>
        </w:rPr>
      </w:pPr>
    </w:p>
    <w:p>
      <w:pPr>
        <w:ind w:left="520" w:hanging="512"/>
        <w:spacing w:after="0"/>
        <w:tabs>
          <w:tab w:leader="none" w:pos="52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Share Capital</w:t>
      </w:r>
    </w:p>
    <w:p>
      <w:pPr>
        <w:spacing w:after="0" w:line="121" w:lineRule="exact"/>
        <w:rPr>
          <w:rFonts w:ascii="Arial" w:cs="Arial" w:eastAsia="Arial" w:hAnsi="Arial"/>
          <w:sz w:val="18"/>
          <w:szCs w:val="18"/>
          <w:b w:val="1"/>
          <w:bCs w:val="1"/>
          <w:color w:val="auto"/>
        </w:rPr>
      </w:pPr>
    </w:p>
    <w:p>
      <w:pPr>
        <w:ind w:left="900" w:hanging="379"/>
        <w:spacing w:after="0"/>
        <w:tabs>
          <w:tab w:leader="none" w:pos="900" w:val="left"/>
        </w:tabs>
        <w:numPr>
          <w:ilvl w:val="1"/>
          <w:numId w:val="7"/>
        </w:numPr>
        <w:rPr>
          <w:rFonts w:ascii="Arial" w:cs="Arial" w:eastAsia="Arial" w:hAnsi="Arial"/>
          <w:sz w:val="18"/>
          <w:szCs w:val="18"/>
          <w:color w:val="auto"/>
        </w:rPr>
      </w:pPr>
      <w:r>
        <w:rPr>
          <w:rFonts w:ascii="Arial" w:cs="Arial" w:eastAsia="Arial" w:hAnsi="Arial"/>
          <w:sz w:val="18"/>
          <w:szCs w:val="18"/>
          <w:color w:val="auto"/>
        </w:rPr>
        <w:t>Financing:</w:t>
      </w:r>
    </w:p>
    <w:p>
      <w:pPr>
        <w:spacing w:after="0" w:line="117" w:lineRule="exact"/>
        <w:rPr>
          <w:rFonts w:ascii="Arial" w:cs="Arial" w:eastAsia="Arial" w:hAnsi="Arial"/>
          <w:sz w:val="18"/>
          <w:szCs w:val="18"/>
          <w:color w:val="auto"/>
        </w:rPr>
      </w:pPr>
    </w:p>
    <w:p>
      <w:pPr>
        <w:jc w:val="both"/>
        <w:ind w:left="900"/>
        <w:spacing w:after="0" w:line="264" w:lineRule="auto"/>
        <w:rPr>
          <w:rFonts w:ascii="Arial" w:cs="Arial" w:eastAsia="Arial" w:hAnsi="Arial"/>
          <w:sz w:val="18"/>
          <w:szCs w:val="18"/>
          <w:color w:val="auto"/>
        </w:rPr>
      </w:pPr>
      <w:r>
        <w:rPr>
          <w:rFonts w:ascii="Arial" w:cs="Arial" w:eastAsia="Arial" w:hAnsi="Arial"/>
          <w:sz w:val="18"/>
          <w:szCs w:val="18"/>
          <w:color w:val="auto"/>
        </w:rPr>
        <w:t>On September 13, 2016, the Company completed an underwritten public offering of 3,450,000 of its common shares at a public offering price of $7.50 per common share. The Company received approximately $24.3 million of proceeds, net of underwriting discounts and commissions but before offering expenses.</w:t>
      </w:r>
    </w:p>
    <w:p>
      <w:pPr>
        <w:spacing w:after="0" w:line="73" w:lineRule="exact"/>
        <w:rPr>
          <w:rFonts w:ascii="Arial" w:cs="Arial" w:eastAsia="Arial" w:hAnsi="Arial"/>
          <w:sz w:val="18"/>
          <w:szCs w:val="18"/>
          <w:color w:val="auto"/>
        </w:rPr>
      </w:pPr>
    </w:p>
    <w:p>
      <w:pPr>
        <w:ind w:left="900" w:hanging="379"/>
        <w:spacing w:after="0"/>
        <w:tabs>
          <w:tab w:leader="none" w:pos="900" w:val="left"/>
        </w:tabs>
        <w:numPr>
          <w:ilvl w:val="1"/>
          <w:numId w:val="7"/>
        </w:numPr>
        <w:rPr>
          <w:rFonts w:ascii="Arial" w:cs="Arial" w:eastAsia="Arial" w:hAnsi="Arial"/>
          <w:sz w:val="18"/>
          <w:szCs w:val="18"/>
          <w:color w:val="auto"/>
        </w:rPr>
      </w:pPr>
      <w:r>
        <w:rPr>
          <w:rFonts w:ascii="Arial" w:cs="Arial" w:eastAsia="Arial" w:hAnsi="Arial"/>
          <w:sz w:val="18"/>
          <w:szCs w:val="18"/>
          <w:color w:val="auto"/>
        </w:rPr>
        <w:t>Stock-based compensation:</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presents stock option activity for the period:</w:t>
      </w:r>
    </w:p>
    <w:p>
      <w:pPr>
        <w:spacing w:after="0" w:line="218"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4140" w:type="dxa"/>
            <w:vAlign w:val="bottom"/>
          </w:tcPr>
          <w:p>
            <w:pPr>
              <w:spacing w:after="0"/>
              <w:rPr>
                <w:sz w:val="14"/>
                <w:szCs w:val="14"/>
                <w:color w:val="auto"/>
              </w:rPr>
            </w:pPr>
          </w:p>
        </w:tc>
        <w:tc>
          <w:tcPr>
            <w:tcW w:w="1960" w:type="dxa"/>
            <w:vAlign w:val="bottom"/>
            <w:gridSpan w:val="4"/>
          </w:tcPr>
          <w:p>
            <w:pPr>
              <w:jc w:val="right"/>
              <w:ind w:right="420"/>
              <w:spacing w:after="0"/>
              <w:rPr>
                <w:sz w:val="20"/>
                <w:szCs w:val="20"/>
                <w:color w:val="auto"/>
              </w:rPr>
            </w:pPr>
            <w:r>
              <w:rPr>
                <w:rFonts w:ascii="Arial" w:cs="Arial" w:eastAsia="Arial" w:hAnsi="Arial"/>
                <w:sz w:val="14"/>
                <w:szCs w:val="14"/>
                <w:b w:val="1"/>
                <w:bCs w:val="1"/>
                <w:color w:val="auto"/>
              </w:rPr>
              <w:t>Three Months Ended</w:t>
            </w:r>
          </w:p>
        </w:tc>
        <w:tc>
          <w:tcPr>
            <w:tcW w:w="1880" w:type="dxa"/>
            <w:vAlign w:val="bottom"/>
            <w:gridSpan w:val="4"/>
            <w:vMerge w:val="restart"/>
          </w:tcPr>
          <w:p>
            <w:pPr>
              <w:jc w:val="right"/>
              <w:ind w:right="160"/>
              <w:spacing w:after="0"/>
              <w:rPr>
                <w:sz w:val="20"/>
                <w:szCs w:val="20"/>
                <w:color w:val="auto"/>
              </w:rPr>
            </w:pPr>
            <w:r>
              <w:rPr>
                <w:rFonts w:ascii="Arial" w:cs="Arial" w:eastAsia="Arial" w:hAnsi="Arial"/>
                <w:sz w:val="14"/>
                <w:szCs w:val="14"/>
                <w:b w:val="1"/>
                <w:bCs w:val="1"/>
                <w:color w:val="auto"/>
                <w:w w:val="93"/>
              </w:rPr>
              <w:t>Six Months Ended June 30,</w:t>
            </w:r>
          </w:p>
        </w:tc>
        <w:tc>
          <w:tcPr>
            <w:tcW w:w="0" w:type="dxa"/>
            <w:vAlign w:val="bottom"/>
          </w:tcPr>
          <w:p>
            <w:pPr>
              <w:spacing w:after="0"/>
              <w:rPr>
                <w:sz w:val="1"/>
                <w:szCs w:val="1"/>
                <w:color w:val="auto"/>
              </w:rPr>
            </w:pPr>
          </w:p>
        </w:tc>
      </w:tr>
      <w:tr>
        <w:trPr>
          <w:trHeight w:val="171"/>
        </w:trPr>
        <w:tc>
          <w:tcPr>
            <w:tcW w:w="4140" w:type="dxa"/>
            <w:vAlign w:val="bottom"/>
          </w:tcPr>
          <w:p>
            <w:pPr>
              <w:spacing w:after="0"/>
              <w:rPr>
                <w:sz w:val="14"/>
                <w:szCs w:val="14"/>
                <w:color w:val="auto"/>
              </w:rPr>
            </w:pPr>
          </w:p>
        </w:tc>
        <w:tc>
          <w:tcPr>
            <w:tcW w:w="1960" w:type="dxa"/>
            <w:vAlign w:val="bottom"/>
            <w:gridSpan w:val="4"/>
          </w:tcPr>
          <w:p>
            <w:pPr>
              <w:jc w:val="right"/>
              <w:ind w:right="820"/>
              <w:spacing w:after="0"/>
              <w:rPr>
                <w:sz w:val="20"/>
                <w:szCs w:val="20"/>
                <w:color w:val="auto"/>
              </w:rPr>
            </w:pPr>
            <w:r>
              <w:rPr>
                <w:rFonts w:ascii="Arial" w:cs="Arial" w:eastAsia="Arial" w:hAnsi="Arial"/>
                <w:sz w:val="14"/>
                <w:szCs w:val="14"/>
                <w:b w:val="1"/>
                <w:bCs w:val="1"/>
                <w:color w:val="auto"/>
              </w:rPr>
              <w:t>June 30,</w:t>
            </w:r>
          </w:p>
        </w:tc>
        <w:tc>
          <w:tcPr>
            <w:tcW w:w="188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4140" w:type="dxa"/>
            <w:vAlign w:val="bottom"/>
            <w:tcBorders>
              <w:bottom w:val="single" w:sz="8" w:color="CFF0FC"/>
            </w:tcBorders>
          </w:tcPr>
          <w:p>
            <w:pPr>
              <w:spacing w:after="0"/>
              <w:rPr>
                <w:sz w:val="13"/>
                <w:szCs w:val="13"/>
                <w:color w:val="auto"/>
              </w:rPr>
            </w:pPr>
          </w:p>
        </w:tc>
        <w:tc>
          <w:tcPr>
            <w:tcW w:w="820" w:type="dxa"/>
            <w:vAlign w:val="bottom"/>
            <w:tcBorders>
              <w:top w:val="single" w:sz="8" w:color="auto"/>
              <w:bottom w:val="single" w:sz="8" w:color="auto"/>
            </w:tcBorders>
          </w:tcPr>
          <w:p>
            <w:pPr>
              <w:jc w:val="right"/>
              <w:ind w:right="176"/>
              <w:spacing w:after="0" w:line="155" w:lineRule="exact"/>
              <w:rPr>
                <w:sz w:val="20"/>
                <w:szCs w:val="20"/>
                <w:color w:val="auto"/>
              </w:rPr>
            </w:pPr>
            <w:r>
              <w:rPr>
                <w:rFonts w:ascii="Arial" w:cs="Arial" w:eastAsia="Arial" w:hAnsi="Arial"/>
                <w:sz w:val="14"/>
                <w:szCs w:val="14"/>
                <w:b w:val="1"/>
                <w:bCs w:val="1"/>
                <w:color w:val="auto"/>
              </w:rPr>
              <w:t>2017</w:t>
            </w:r>
          </w:p>
        </w:tc>
        <w:tc>
          <w:tcPr>
            <w:tcW w:w="160" w:type="dxa"/>
            <w:vAlign w:val="bottom"/>
            <w:tcBorders>
              <w:top w:val="single" w:sz="8" w:color="auto"/>
              <w:bottom w:val="single" w:sz="8" w:color="CFF0FC"/>
            </w:tcBorders>
          </w:tcPr>
          <w:p>
            <w:pPr>
              <w:spacing w:after="0"/>
              <w:rPr>
                <w:sz w:val="13"/>
                <w:szCs w:val="13"/>
                <w:color w:val="auto"/>
              </w:rPr>
            </w:pPr>
          </w:p>
        </w:tc>
        <w:tc>
          <w:tcPr>
            <w:tcW w:w="820" w:type="dxa"/>
            <w:vAlign w:val="bottom"/>
            <w:tcBorders>
              <w:top w:val="single" w:sz="8" w:color="auto"/>
              <w:bottom w:val="single" w:sz="8" w:color="auto"/>
            </w:tcBorders>
          </w:tcPr>
          <w:p>
            <w:pPr>
              <w:jc w:val="right"/>
              <w:ind w:right="193"/>
              <w:spacing w:after="0" w:line="155" w:lineRule="exact"/>
              <w:rPr>
                <w:sz w:val="20"/>
                <w:szCs w:val="20"/>
                <w:color w:val="auto"/>
              </w:rPr>
            </w:pPr>
            <w:r>
              <w:rPr>
                <w:rFonts w:ascii="Arial" w:cs="Arial" w:eastAsia="Arial" w:hAnsi="Arial"/>
                <w:sz w:val="14"/>
                <w:szCs w:val="14"/>
                <w:b w:val="1"/>
                <w:bCs w:val="1"/>
                <w:color w:val="auto"/>
              </w:rPr>
              <w:t>2016</w:t>
            </w:r>
          </w:p>
        </w:tc>
        <w:tc>
          <w:tcPr>
            <w:tcW w:w="160" w:type="dxa"/>
            <w:vAlign w:val="bottom"/>
            <w:tcBorders>
              <w:bottom w:val="single" w:sz="8" w:color="CFF0FC"/>
            </w:tcBorders>
          </w:tcPr>
          <w:p>
            <w:pPr>
              <w:spacing w:after="0"/>
              <w:rPr>
                <w:sz w:val="13"/>
                <w:szCs w:val="13"/>
                <w:color w:val="auto"/>
              </w:rPr>
            </w:pPr>
          </w:p>
        </w:tc>
        <w:tc>
          <w:tcPr>
            <w:tcW w:w="800" w:type="dxa"/>
            <w:vAlign w:val="bottom"/>
            <w:tcBorders>
              <w:top w:val="single" w:sz="8" w:color="auto"/>
              <w:bottom w:val="single" w:sz="8" w:color="auto"/>
            </w:tcBorders>
          </w:tcPr>
          <w:p>
            <w:pPr>
              <w:jc w:val="right"/>
              <w:ind w:right="174"/>
              <w:spacing w:after="0" w:line="155" w:lineRule="exact"/>
              <w:rPr>
                <w:sz w:val="20"/>
                <w:szCs w:val="20"/>
                <w:color w:val="auto"/>
              </w:rPr>
            </w:pPr>
            <w:r>
              <w:rPr>
                <w:rFonts w:ascii="Arial" w:cs="Arial" w:eastAsia="Arial" w:hAnsi="Arial"/>
                <w:sz w:val="14"/>
                <w:szCs w:val="14"/>
                <w:b w:val="1"/>
                <w:bCs w:val="1"/>
                <w:color w:val="auto"/>
              </w:rPr>
              <w:t>2017</w:t>
            </w:r>
          </w:p>
        </w:tc>
        <w:tc>
          <w:tcPr>
            <w:tcW w:w="160" w:type="dxa"/>
            <w:vAlign w:val="bottom"/>
            <w:tcBorders>
              <w:top w:val="single" w:sz="8" w:color="auto"/>
              <w:bottom w:val="single" w:sz="8" w:color="CFF0FC"/>
            </w:tcBorders>
          </w:tcPr>
          <w:p>
            <w:pPr>
              <w:spacing w:after="0"/>
              <w:rPr>
                <w:sz w:val="13"/>
                <w:szCs w:val="13"/>
                <w:color w:val="auto"/>
              </w:rPr>
            </w:pPr>
          </w:p>
        </w:tc>
        <w:tc>
          <w:tcPr>
            <w:tcW w:w="840" w:type="dxa"/>
            <w:vAlign w:val="bottom"/>
            <w:tcBorders>
              <w:top w:val="single" w:sz="8" w:color="auto"/>
              <w:bottom w:val="single" w:sz="8" w:color="auto"/>
            </w:tcBorders>
          </w:tcPr>
          <w:p>
            <w:pPr>
              <w:jc w:val="right"/>
              <w:ind w:right="193"/>
              <w:spacing w:after="0" w:line="155" w:lineRule="exact"/>
              <w:rPr>
                <w:sz w:val="20"/>
                <w:szCs w:val="20"/>
                <w:color w:val="auto"/>
              </w:rPr>
            </w:pPr>
            <w:r>
              <w:rPr>
                <w:rFonts w:ascii="Arial" w:cs="Arial" w:eastAsia="Arial" w:hAnsi="Arial"/>
                <w:sz w:val="14"/>
                <w:szCs w:val="14"/>
                <w:b w:val="1"/>
                <w:bCs w:val="1"/>
                <w:color w:val="auto"/>
              </w:rPr>
              <w:t>2016</w:t>
            </w:r>
          </w:p>
        </w:tc>
        <w:tc>
          <w:tcPr>
            <w:tcW w:w="8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4140" w:type="dxa"/>
            <w:vAlign w:val="bottom"/>
            <w:shd w:val="clear" w:color="auto" w:fill="CFF0FC"/>
          </w:tcPr>
          <w:p>
            <w:pPr>
              <w:spacing w:after="0"/>
              <w:rPr>
                <w:sz w:val="20"/>
                <w:szCs w:val="20"/>
                <w:color w:val="auto"/>
              </w:rPr>
            </w:pPr>
            <w:r>
              <w:rPr>
                <w:rFonts w:ascii="Arial" w:cs="Arial" w:eastAsia="Arial" w:hAnsi="Arial"/>
                <w:sz w:val="18"/>
                <w:szCs w:val="18"/>
                <w:color w:val="auto"/>
              </w:rPr>
              <w:t>Outstanding, beginning of period</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7"/>
              </w:rPr>
              <w:t>2,258,237</w:t>
            </w:r>
          </w:p>
        </w:tc>
        <w:tc>
          <w:tcPr>
            <w:tcW w:w="16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7"/>
              </w:rPr>
              <w:t>1,934,734</w:t>
            </w:r>
          </w:p>
        </w:tc>
        <w:tc>
          <w:tcPr>
            <w:tcW w:w="16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7"/>
              </w:rPr>
              <w:t>1,910,823</w:t>
            </w:r>
          </w:p>
        </w:tc>
        <w:tc>
          <w:tcPr>
            <w:tcW w:w="16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1,721,472</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40" w:type="dxa"/>
            <w:vAlign w:val="bottom"/>
          </w:tcPr>
          <w:p>
            <w:pPr>
              <w:spacing w:after="0"/>
              <w:rPr>
                <w:sz w:val="20"/>
                <w:szCs w:val="20"/>
                <w:color w:val="auto"/>
              </w:rPr>
            </w:pPr>
            <w:r>
              <w:rPr>
                <w:rFonts w:ascii="Arial" w:cs="Arial" w:eastAsia="Arial" w:hAnsi="Arial"/>
                <w:sz w:val="18"/>
                <w:szCs w:val="18"/>
                <w:color w:val="auto"/>
              </w:rPr>
              <w:t>Granted</w:t>
            </w:r>
          </w:p>
        </w:tc>
        <w:tc>
          <w:tcPr>
            <w:tcW w:w="820" w:type="dxa"/>
            <w:vAlign w:val="bottom"/>
          </w:tcPr>
          <w:p>
            <w:pPr>
              <w:jc w:val="right"/>
              <w:spacing w:after="0"/>
              <w:rPr>
                <w:sz w:val="20"/>
                <w:szCs w:val="20"/>
                <w:color w:val="auto"/>
              </w:rPr>
            </w:pPr>
            <w:r>
              <w:rPr>
                <w:rFonts w:ascii="Arial" w:cs="Arial" w:eastAsia="Arial" w:hAnsi="Arial"/>
                <w:sz w:val="18"/>
                <w:szCs w:val="18"/>
                <w:color w:val="auto"/>
              </w:rPr>
              <w:t>29,750</w:t>
            </w: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65,450</w:t>
            </w: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446,500</w:t>
            </w: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299,400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40" w:type="dxa"/>
            <w:vAlign w:val="bottom"/>
            <w:shd w:val="clear" w:color="auto" w:fill="CFF0FC"/>
          </w:tcPr>
          <w:p>
            <w:pPr>
              <w:spacing w:after="0"/>
              <w:rPr>
                <w:sz w:val="20"/>
                <w:szCs w:val="20"/>
                <w:color w:val="auto"/>
              </w:rPr>
            </w:pPr>
            <w:r>
              <w:rPr>
                <w:rFonts w:ascii="Arial" w:cs="Arial" w:eastAsia="Arial" w:hAnsi="Arial"/>
                <w:sz w:val="18"/>
                <w:szCs w:val="18"/>
                <w:color w:val="auto"/>
              </w:rPr>
              <w:t>Exercised</w:t>
            </w:r>
            <w:r>
              <w:rPr>
                <w:rFonts w:ascii="Arial" w:cs="Arial" w:eastAsia="Arial" w:hAnsi="Arial"/>
                <w:sz w:val="15"/>
                <w:szCs w:val="15"/>
                <w:color w:val="auto"/>
              </w:rPr>
              <w:t>(1)</w:t>
            </w:r>
          </w:p>
        </w:tc>
        <w:tc>
          <w:tcPr>
            <w:tcW w:w="9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(3,085)</w:t>
            </w:r>
          </w:p>
        </w:tc>
        <w:tc>
          <w:tcPr>
            <w:tcW w:w="9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(14,283)</w:t>
            </w:r>
          </w:p>
        </w:tc>
        <w:tc>
          <w:tcPr>
            <w:tcW w:w="9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(71,006)</w:t>
            </w:r>
          </w:p>
        </w:tc>
        <w:tc>
          <w:tcPr>
            <w:tcW w:w="9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(30,529)</w:t>
            </w:r>
          </w:p>
        </w:tc>
        <w:tc>
          <w:tcPr>
            <w:tcW w:w="0" w:type="dxa"/>
            <w:vAlign w:val="bottom"/>
          </w:tcPr>
          <w:p>
            <w:pPr>
              <w:spacing w:after="0"/>
              <w:rPr>
                <w:sz w:val="1"/>
                <w:szCs w:val="1"/>
                <w:color w:val="auto"/>
              </w:rPr>
            </w:pPr>
          </w:p>
        </w:tc>
      </w:tr>
      <w:tr>
        <w:trPr>
          <w:trHeight w:val="230"/>
        </w:trPr>
        <w:tc>
          <w:tcPr>
            <w:tcW w:w="4140" w:type="dxa"/>
            <w:vAlign w:val="bottom"/>
          </w:tcPr>
          <w:p>
            <w:pPr>
              <w:spacing w:after="0"/>
              <w:rPr>
                <w:sz w:val="20"/>
                <w:szCs w:val="20"/>
                <w:color w:val="auto"/>
              </w:rPr>
            </w:pPr>
            <w:r>
              <w:rPr>
                <w:rFonts w:ascii="Arial" w:cs="Arial" w:eastAsia="Arial" w:hAnsi="Arial"/>
                <w:sz w:val="18"/>
                <w:szCs w:val="18"/>
                <w:color w:val="auto"/>
              </w:rPr>
              <w:t>Forfeited and expired</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(8,005)</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(2,227)</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(9,420)</w:t>
            </w: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(6,669)</w:t>
            </w:r>
          </w:p>
        </w:tc>
        <w:tc>
          <w:tcPr>
            <w:tcW w:w="0" w:type="dxa"/>
            <w:vAlign w:val="bottom"/>
          </w:tcPr>
          <w:p>
            <w:pPr>
              <w:spacing w:after="0"/>
              <w:rPr>
                <w:sz w:val="1"/>
                <w:szCs w:val="1"/>
                <w:color w:val="auto"/>
              </w:rPr>
            </w:pPr>
          </w:p>
        </w:tc>
      </w:tr>
      <w:tr>
        <w:trPr>
          <w:trHeight w:val="223"/>
        </w:trPr>
        <w:tc>
          <w:tcPr>
            <w:tcW w:w="41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Outstanding, end of period</w:t>
            </w: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7"/>
              </w:rPr>
              <w:t>2,276,897</w:t>
            </w:r>
          </w:p>
        </w:tc>
        <w:tc>
          <w:tcPr>
            <w:tcW w:w="160" w:type="dxa"/>
            <w:vAlign w:val="bottom"/>
            <w:tcBorders>
              <w:top w:val="single" w:sz="8" w:color="CFF0FC"/>
            </w:tcBorders>
            <w:shd w:val="clear" w:color="auto" w:fill="CFF0FC"/>
          </w:tcPr>
          <w:p>
            <w:pPr>
              <w:spacing w:after="0"/>
              <w:rPr>
                <w:sz w:val="19"/>
                <w:szCs w:val="19"/>
                <w:color w:val="auto"/>
              </w:rPr>
            </w:pP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7"/>
              </w:rPr>
              <w:t>1,983,674</w:t>
            </w:r>
          </w:p>
        </w:tc>
        <w:tc>
          <w:tcPr>
            <w:tcW w:w="160" w:type="dxa"/>
            <w:vAlign w:val="bottom"/>
            <w:tcBorders>
              <w:top w:val="single" w:sz="8" w:color="CFF0FC"/>
            </w:tcBorders>
            <w:shd w:val="clear" w:color="auto" w:fill="CFF0FC"/>
          </w:tcPr>
          <w:p>
            <w:pPr>
              <w:spacing w:after="0"/>
              <w:rPr>
                <w:sz w:val="19"/>
                <w:szCs w:val="19"/>
                <w:color w:val="auto"/>
              </w:rPr>
            </w:pP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7"/>
              </w:rPr>
              <w:t>2,276,897</w:t>
            </w:r>
          </w:p>
        </w:tc>
        <w:tc>
          <w:tcPr>
            <w:tcW w:w="160" w:type="dxa"/>
            <w:vAlign w:val="bottom"/>
            <w:tcBorders>
              <w:top w:val="single" w:sz="8" w:color="CFF0FC"/>
            </w:tcBorders>
            <w:shd w:val="clear" w:color="auto" w:fill="CFF0FC"/>
          </w:tcPr>
          <w:p>
            <w:pPr>
              <w:spacing w:after="0"/>
              <w:rPr>
                <w:sz w:val="19"/>
                <w:szCs w:val="19"/>
                <w:color w:val="auto"/>
              </w:rPr>
            </w:pP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1,983,674</w:t>
            </w: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140" w:type="dxa"/>
            <w:vAlign w:val="bottom"/>
          </w:tcPr>
          <w:p>
            <w:pPr>
              <w:spacing w:after="0"/>
              <w:rPr>
                <w:sz w:val="20"/>
                <w:szCs w:val="20"/>
                <w:color w:val="auto"/>
              </w:rPr>
            </w:pPr>
            <w:r>
              <w:rPr>
                <w:rFonts w:ascii="Arial" w:cs="Arial" w:eastAsia="Arial" w:hAnsi="Arial"/>
                <w:sz w:val="18"/>
                <w:szCs w:val="18"/>
                <w:color w:val="auto"/>
              </w:rPr>
              <w:t>Exercisable, end of period</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1,374,535</w:t>
            </w:r>
          </w:p>
        </w:tc>
        <w:tc>
          <w:tcPr>
            <w:tcW w:w="160" w:type="dxa"/>
            <w:vAlign w:val="bottom"/>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1,195,883</w:t>
            </w:r>
          </w:p>
        </w:tc>
        <w:tc>
          <w:tcPr>
            <w:tcW w:w="160" w:type="dxa"/>
            <w:vAlign w:val="bottom"/>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1,374,535</w:t>
            </w:r>
          </w:p>
        </w:tc>
        <w:tc>
          <w:tcPr>
            <w:tcW w:w="160" w:type="dxa"/>
            <w:vAlign w:val="bottom"/>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1,195,883</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14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1040" w:right="20" w:hanging="519"/>
        <w:spacing w:after="0" w:line="264" w:lineRule="auto"/>
        <w:tabs>
          <w:tab w:leader="none" w:pos="1040" w:val="left"/>
        </w:tabs>
        <w:numPr>
          <w:ilvl w:val="0"/>
          <w:numId w:val="8"/>
        </w:numPr>
        <w:rPr>
          <w:rFonts w:ascii="Arial" w:cs="Arial" w:eastAsia="Arial" w:hAnsi="Arial"/>
          <w:sz w:val="15"/>
          <w:szCs w:val="15"/>
          <w:color w:val="auto"/>
        </w:rPr>
      </w:pPr>
      <w:r>
        <w:rPr>
          <w:rFonts w:ascii="Arial" w:cs="Arial" w:eastAsia="Arial" w:hAnsi="Arial"/>
          <w:sz w:val="18"/>
          <w:szCs w:val="18"/>
          <w:color w:val="auto"/>
        </w:rPr>
        <w:t>During the six months ended June 30, 2017, 63,425 stock options were exercised for the same number of common shares for cash (six months ended June 30, 2016 – 29,270). In the same period, the Company issued 4,405 common shares (six months ended June 30, 2016 – 741) for the cashless exercise of 7,581 stock options (six months ended June 30, 2016 – 1,259).</w:t>
      </w:r>
    </w:p>
    <w:p>
      <w:pPr>
        <w:spacing w:after="0" w:line="73" w:lineRule="exact"/>
        <w:rPr>
          <w:sz w:val="20"/>
          <w:szCs w:val="20"/>
          <w:color w:val="auto"/>
        </w:rPr>
      </w:pPr>
    </w:p>
    <w:p>
      <w:pPr>
        <w:ind w:left="520" w:right="20"/>
        <w:spacing w:after="0" w:line="277" w:lineRule="auto"/>
        <w:rPr>
          <w:sz w:val="20"/>
          <w:szCs w:val="20"/>
          <w:color w:val="auto"/>
        </w:rPr>
      </w:pPr>
      <w:r>
        <w:rPr>
          <w:rFonts w:ascii="Arial" w:cs="Arial" w:eastAsia="Arial" w:hAnsi="Arial"/>
          <w:sz w:val="18"/>
          <w:szCs w:val="18"/>
          <w:color w:val="auto"/>
        </w:rPr>
        <w:t>The fair value of each option granted to employees and non-employees is estimated using the Black-Scholes option-pricing model with the following weighted-average assumptions:</w:t>
      </w:r>
    </w:p>
    <w:p>
      <w:pPr>
        <w:spacing w:after="0" w:line="163"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3900" w:type="dxa"/>
            <w:vAlign w:val="bottom"/>
          </w:tcPr>
          <w:p>
            <w:pPr>
              <w:spacing w:after="0"/>
              <w:rPr>
                <w:sz w:val="14"/>
                <w:szCs w:val="14"/>
                <w:color w:val="auto"/>
              </w:rPr>
            </w:pPr>
          </w:p>
        </w:tc>
        <w:tc>
          <w:tcPr>
            <w:tcW w:w="2120" w:type="dxa"/>
            <w:vAlign w:val="bottom"/>
            <w:gridSpan w:val="5"/>
          </w:tcPr>
          <w:p>
            <w:pPr>
              <w:jc w:val="center"/>
              <w:ind w:right="260"/>
              <w:spacing w:after="0"/>
              <w:rPr>
                <w:sz w:val="20"/>
                <w:szCs w:val="20"/>
                <w:color w:val="auto"/>
              </w:rPr>
            </w:pPr>
            <w:r>
              <w:rPr>
                <w:rFonts w:ascii="Arial" w:cs="Arial" w:eastAsia="Arial" w:hAnsi="Arial"/>
                <w:sz w:val="14"/>
                <w:szCs w:val="14"/>
                <w:b w:val="1"/>
                <w:bCs w:val="1"/>
                <w:color w:val="auto"/>
                <w:w w:val="93"/>
              </w:rPr>
              <w:t>Three Months Ended</w:t>
            </w:r>
          </w:p>
        </w:tc>
        <w:tc>
          <w:tcPr>
            <w:tcW w:w="1960" w:type="dxa"/>
            <w:vAlign w:val="bottom"/>
            <w:gridSpan w:val="4"/>
            <w:vMerge w:val="restart"/>
          </w:tcPr>
          <w:p>
            <w:pPr>
              <w:jc w:val="right"/>
              <w:ind w:right="240"/>
              <w:spacing w:after="0"/>
              <w:rPr>
                <w:sz w:val="20"/>
                <w:szCs w:val="20"/>
                <w:color w:val="auto"/>
              </w:rPr>
            </w:pPr>
            <w:r>
              <w:rPr>
                <w:rFonts w:ascii="Arial" w:cs="Arial" w:eastAsia="Arial" w:hAnsi="Arial"/>
                <w:sz w:val="14"/>
                <w:szCs w:val="14"/>
                <w:b w:val="1"/>
                <w:bCs w:val="1"/>
                <w:color w:val="auto"/>
                <w:w w:val="93"/>
              </w:rPr>
              <w:t>Six Months Ended June 30,</w:t>
            </w:r>
          </w:p>
        </w:tc>
        <w:tc>
          <w:tcPr>
            <w:tcW w:w="0" w:type="dxa"/>
            <w:vAlign w:val="bottom"/>
          </w:tcPr>
          <w:p>
            <w:pPr>
              <w:spacing w:after="0"/>
              <w:rPr>
                <w:sz w:val="1"/>
                <w:szCs w:val="1"/>
                <w:color w:val="auto"/>
              </w:rPr>
            </w:pPr>
          </w:p>
        </w:tc>
      </w:tr>
      <w:tr>
        <w:trPr>
          <w:trHeight w:val="171"/>
        </w:trPr>
        <w:tc>
          <w:tcPr>
            <w:tcW w:w="3900" w:type="dxa"/>
            <w:vAlign w:val="bottom"/>
          </w:tcPr>
          <w:p>
            <w:pPr>
              <w:spacing w:after="0"/>
              <w:rPr>
                <w:sz w:val="14"/>
                <w:szCs w:val="14"/>
                <w:color w:val="auto"/>
              </w:rPr>
            </w:pPr>
          </w:p>
        </w:tc>
        <w:tc>
          <w:tcPr>
            <w:tcW w:w="1240" w:type="dxa"/>
            <w:vAlign w:val="bottom"/>
            <w:gridSpan w:val="3"/>
          </w:tcPr>
          <w:p>
            <w:pPr>
              <w:jc w:val="center"/>
              <w:ind w:left="518"/>
              <w:spacing w:after="0"/>
              <w:rPr>
                <w:sz w:val="20"/>
                <w:szCs w:val="20"/>
                <w:color w:val="auto"/>
              </w:rPr>
            </w:pPr>
            <w:r>
              <w:rPr>
                <w:rFonts w:ascii="Arial" w:cs="Arial" w:eastAsia="Arial" w:hAnsi="Arial"/>
                <w:sz w:val="14"/>
                <w:szCs w:val="14"/>
                <w:b w:val="1"/>
                <w:bCs w:val="1"/>
                <w:color w:val="auto"/>
                <w:w w:val="92"/>
              </w:rPr>
              <w:t>June 30,</w:t>
            </w: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96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3900" w:type="dxa"/>
            <w:vAlign w:val="bottom"/>
            <w:tcBorders>
              <w:bottom w:val="single" w:sz="8" w:color="CFF0FC"/>
            </w:tcBorders>
          </w:tcPr>
          <w:p>
            <w:pPr>
              <w:spacing w:after="0"/>
              <w:rPr>
                <w:sz w:val="13"/>
                <w:szCs w:val="13"/>
                <w:color w:val="auto"/>
              </w:rPr>
            </w:pPr>
          </w:p>
        </w:tc>
        <w:tc>
          <w:tcPr>
            <w:tcW w:w="980" w:type="dxa"/>
            <w:vAlign w:val="bottom"/>
            <w:tcBorders>
              <w:top w:val="single" w:sz="8" w:color="auto"/>
              <w:bottom w:val="single" w:sz="8" w:color="auto"/>
            </w:tcBorders>
          </w:tcPr>
          <w:p>
            <w:pPr>
              <w:jc w:val="right"/>
              <w:ind w:right="358"/>
              <w:spacing w:after="0" w:line="155" w:lineRule="exact"/>
              <w:rPr>
                <w:sz w:val="20"/>
                <w:szCs w:val="20"/>
                <w:color w:val="auto"/>
              </w:rPr>
            </w:pPr>
            <w:r>
              <w:rPr>
                <w:rFonts w:ascii="Arial" w:cs="Arial" w:eastAsia="Arial" w:hAnsi="Arial"/>
                <w:sz w:val="14"/>
                <w:szCs w:val="14"/>
                <w:b w:val="1"/>
                <w:bCs w:val="1"/>
                <w:color w:val="auto"/>
              </w:rPr>
              <w:t>2017</w:t>
            </w:r>
          </w:p>
        </w:tc>
        <w:tc>
          <w:tcPr>
            <w:tcW w:w="80" w:type="dxa"/>
            <w:vAlign w:val="bottom"/>
            <w:tcBorders>
              <w:top w:val="single" w:sz="8" w:color="auto"/>
              <w:bottom w:val="single" w:sz="8" w:color="CFF0FC"/>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620" w:type="dxa"/>
            <w:vAlign w:val="bottom"/>
            <w:tcBorders>
              <w:top w:val="single" w:sz="8" w:color="auto"/>
              <w:bottom w:val="single" w:sz="8" w:color="auto"/>
            </w:tcBorders>
          </w:tcPr>
          <w:p>
            <w:pPr>
              <w:jc w:val="right"/>
              <w:ind w:right="174"/>
              <w:spacing w:after="0" w:line="155" w:lineRule="exact"/>
              <w:rPr>
                <w:sz w:val="20"/>
                <w:szCs w:val="20"/>
                <w:color w:val="auto"/>
              </w:rPr>
            </w:pPr>
            <w:r>
              <w:rPr>
                <w:rFonts w:ascii="Arial" w:cs="Arial" w:eastAsia="Arial" w:hAnsi="Arial"/>
                <w:sz w:val="14"/>
                <w:szCs w:val="14"/>
                <w:b w:val="1"/>
                <w:bCs w:val="1"/>
                <w:color w:val="auto"/>
              </w:rPr>
              <w:t>2016</w:t>
            </w:r>
          </w:p>
        </w:tc>
        <w:tc>
          <w:tcPr>
            <w:tcW w:w="260" w:type="dxa"/>
            <w:vAlign w:val="bottom"/>
            <w:tcBorders>
              <w:bottom w:val="single" w:sz="8" w:color="CFF0FC"/>
            </w:tcBorders>
          </w:tcPr>
          <w:p>
            <w:pPr>
              <w:spacing w:after="0"/>
              <w:rPr>
                <w:sz w:val="13"/>
                <w:szCs w:val="13"/>
                <w:color w:val="auto"/>
              </w:rPr>
            </w:pPr>
          </w:p>
        </w:tc>
        <w:tc>
          <w:tcPr>
            <w:tcW w:w="960" w:type="dxa"/>
            <w:vAlign w:val="bottom"/>
            <w:tcBorders>
              <w:top w:val="single" w:sz="8" w:color="auto"/>
              <w:bottom w:val="single" w:sz="8" w:color="auto"/>
            </w:tcBorders>
          </w:tcPr>
          <w:p>
            <w:pPr>
              <w:jc w:val="right"/>
              <w:ind w:right="356"/>
              <w:spacing w:after="0" w:line="155" w:lineRule="exact"/>
              <w:rPr>
                <w:sz w:val="20"/>
                <w:szCs w:val="20"/>
                <w:color w:val="auto"/>
              </w:rPr>
            </w:pPr>
            <w:r>
              <w:rPr>
                <w:rFonts w:ascii="Arial" w:cs="Arial" w:eastAsia="Arial" w:hAnsi="Arial"/>
                <w:sz w:val="14"/>
                <w:szCs w:val="14"/>
                <w:b w:val="1"/>
                <w:bCs w:val="1"/>
                <w:color w:val="auto"/>
              </w:rPr>
              <w:t>2017</w:t>
            </w:r>
          </w:p>
        </w:tc>
        <w:tc>
          <w:tcPr>
            <w:tcW w:w="80" w:type="dxa"/>
            <w:vAlign w:val="bottom"/>
            <w:tcBorders>
              <w:top w:val="single" w:sz="8" w:color="auto"/>
              <w:bottom w:val="single" w:sz="8" w:color="CFF0FC"/>
            </w:tcBorders>
          </w:tcPr>
          <w:p>
            <w:pPr>
              <w:spacing w:after="0"/>
              <w:rPr>
                <w:sz w:val="13"/>
                <w:szCs w:val="13"/>
                <w:color w:val="auto"/>
              </w:rPr>
            </w:pPr>
          </w:p>
        </w:tc>
        <w:tc>
          <w:tcPr>
            <w:tcW w:w="740" w:type="dxa"/>
            <w:vAlign w:val="bottom"/>
            <w:tcBorders>
              <w:top w:val="single" w:sz="8" w:color="auto"/>
              <w:bottom w:val="single" w:sz="8" w:color="auto"/>
            </w:tcBorders>
          </w:tcPr>
          <w:p>
            <w:pPr>
              <w:jc w:val="right"/>
              <w:ind w:right="154"/>
              <w:spacing w:after="0" w:line="155" w:lineRule="exact"/>
              <w:rPr>
                <w:sz w:val="20"/>
                <w:szCs w:val="20"/>
                <w:color w:val="auto"/>
              </w:rPr>
            </w:pPr>
            <w:r>
              <w:rPr>
                <w:rFonts w:ascii="Arial" w:cs="Arial" w:eastAsia="Arial" w:hAnsi="Arial"/>
                <w:sz w:val="14"/>
                <w:szCs w:val="14"/>
                <w:b w:val="1"/>
                <w:bCs w:val="1"/>
                <w:color w:val="auto"/>
              </w:rPr>
              <w:t>2016</w:t>
            </w:r>
          </w:p>
        </w:tc>
        <w:tc>
          <w:tcPr>
            <w:tcW w:w="18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3900" w:type="dxa"/>
            <w:vAlign w:val="bottom"/>
            <w:shd w:val="clear" w:color="auto" w:fill="CFF0FC"/>
          </w:tcPr>
          <w:p>
            <w:pPr>
              <w:spacing w:after="0"/>
              <w:rPr>
                <w:sz w:val="20"/>
                <w:szCs w:val="20"/>
                <w:color w:val="auto"/>
              </w:rPr>
            </w:pPr>
            <w:r>
              <w:rPr>
                <w:rFonts w:ascii="Arial" w:cs="Arial" w:eastAsia="Arial" w:hAnsi="Arial"/>
                <w:sz w:val="18"/>
                <w:szCs w:val="18"/>
                <w:color w:val="auto"/>
              </w:rPr>
              <w:t>Average risk-free interest rate</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2.05%</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1.44%</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2.41%</w:t>
            </w:r>
          </w:p>
        </w:tc>
        <w:tc>
          <w:tcPr>
            <w:tcW w:w="8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1.60%</w:t>
            </w:r>
          </w:p>
        </w:tc>
        <w:tc>
          <w:tcPr>
            <w:tcW w:w="0" w:type="dxa"/>
            <w:vAlign w:val="bottom"/>
          </w:tcPr>
          <w:p>
            <w:pPr>
              <w:spacing w:after="0"/>
              <w:rPr>
                <w:sz w:val="1"/>
                <w:szCs w:val="1"/>
                <w:color w:val="auto"/>
              </w:rPr>
            </w:pPr>
          </w:p>
        </w:tc>
      </w:tr>
      <w:tr>
        <w:trPr>
          <w:trHeight w:val="230"/>
        </w:trPr>
        <w:tc>
          <w:tcPr>
            <w:tcW w:w="3900" w:type="dxa"/>
            <w:vAlign w:val="bottom"/>
          </w:tcPr>
          <w:p>
            <w:pPr>
              <w:spacing w:after="0"/>
              <w:rPr>
                <w:sz w:val="20"/>
                <w:szCs w:val="20"/>
                <w:color w:val="auto"/>
              </w:rPr>
            </w:pPr>
            <w:r>
              <w:rPr>
                <w:rFonts w:ascii="Arial" w:cs="Arial" w:eastAsia="Arial" w:hAnsi="Arial"/>
                <w:sz w:val="18"/>
                <w:szCs w:val="18"/>
                <w:color w:val="auto"/>
              </w:rPr>
              <w:t>Expected volatility</w:t>
            </w:r>
          </w:p>
        </w:tc>
        <w:tc>
          <w:tcPr>
            <w:tcW w:w="980" w:type="dxa"/>
            <w:vAlign w:val="bottom"/>
          </w:tcPr>
          <w:p>
            <w:pPr>
              <w:jc w:val="right"/>
              <w:spacing w:after="0"/>
              <w:rPr>
                <w:sz w:val="20"/>
                <w:szCs w:val="20"/>
                <w:color w:val="auto"/>
              </w:rPr>
            </w:pPr>
            <w:r>
              <w:rPr>
                <w:rFonts w:ascii="Arial" w:cs="Arial" w:eastAsia="Arial" w:hAnsi="Arial"/>
                <w:sz w:val="18"/>
                <w:szCs w:val="18"/>
                <w:color w:val="auto"/>
              </w:rPr>
              <w:t>81%</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74%</w:t>
            </w:r>
          </w:p>
        </w:tc>
        <w:tc>
          <w:tcPr>
            <w:tcW w:w="960" w:type="dxa"/>
            <w:vAlign w:val="bottom"/>
          </w:tcPr>
          <w:p>
            <w:pPr>
              <w:jc w:val="right"/>
              <w:spacing w:after="0"/>
              <w:rPr>
                <w:sz w:val="20"/>
                <w:szCs w:val="20"/>
                <w:color w:val="auto"/>
              </w:rPr>
            </w:pPr>
            <w:r>
              <w:rPr>
                <w:rFonts w:ascii="Arial" w:cs="Arial" w:eastAsia="Arial" w:hAnsi="Arial"/>
                <w:sz w:val="18"/>
                <w:szCs w:val="18"/>
                <w:color w:val="auto"/>
              </w:rPr>
              <w:t>81%</w:t>
            </w:r>
          </w:p>
        </w:tc>
        <w:tc>
          <w:tcPr>
            <w:tcW w:w="80" w:type="dxa"/>
            <w:vAlign w:val="bottom"/>
          </w:tcPr>
          <w:p>
            <w:pPr>
              <w:spacing w:after="0"/>
              <w:rPr>
                <w:sz w:val="19"/>
                <w:szCs w:val="19"/>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30"/>
        </w:trPr>
        <w:tc>
          <w:tcPr>
            <w:tcW w:w="3900" w:type="dxa"/>
            <w:vAlign w:val="bottom"/>
            <w:shd w:val="clear" w:color="auto" w:fill="CFF0FC"/>
          </w:tcPr>
          <w:p>
            <w:pPr>
              <w:spacing w:after="0"/>
              <w:rPr>
                <w:sz w:val="20"/>
                <w:szCs w:val="20"/>
                <w:color w:val="auto"/>
              </w:rPr>
            </w:pPr>
            <w:r>
              <w:rPr>
                <w:rFonts w:ascii="Arial" w:cs="Arial" w:eastAsia="Arial" w:hAnsi="Arial"/>
                <w:sz w:val="18"/>
                <w:szCs w:val="18"/>
                <w:color w:val="auto"/>
              </w:rPr>
              <w:t>Average expected term (in years)</w:t>
            </w:r>
          </w:p>
        </w:tc>
        <w:tc>
          <w:tcPr>
            <w:tcW w:w="980" w:type="dxa"/>
            <w:vAlign w:val="bottom"/>
            <w:shd w:val="clear" w:color="auto" w:fill="CFF0FC"/>
          </w:tcPr>
          <w:p>
            <w:pPr>
              <w:jc w:val="right"/>
              <w:ind w:right="118"/>
              <w:spacing w:after="0"/>
              <w:rPr>
                <w:sz w:val="20"/>
                <w:szCs w:val="20"/>
                <w:color w:val="auto"/>
              </w:rPr>
            </w:pPr>
            <w:r>
              <w:rPr>
                <w:rFonts w:ascii="Arial" w:cs="Arial" w:eastAsia="Arial" w:hAnsi="Arial"/>
                <w:sz w:val="18"/>
                <w:szCs w:val="18"/>
                <w:color w:val="auto"/>
              </w:rPr>
              <w:t>7.68</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6.14</w:t>
            </w:r>
          </w:p>
        </w:tc>
        <w:tc>
          <w:tcPr>
            <w:tcW w:w="260" w:type="dxa"/>
            <w:vAlign w:val="bottom"/>
            <w:shd w:val="clear" w:color="auto" w:fill="CFF0FC"/>
          </w:tcPr>
          <w:p>
            <w:pPr>
              <w:spacing w:after="0"/>
              <w:rPr>
                <w:sz w:val="19"/>
                <w:szCs w:val="19"/>
                <w:color w:val="auto"/>
              </w:rPr>
            </w:pPr>
          </w:p>
        </w:tc>
        <w:tc>
          <w:tcPr>
            <w:tcW w:w="960" w:type="dxa"/>
            <w:vAlign w:val="bottom"/>
            <w:shd w:val="clear" w:color="auto" w:fill="CFF0FC"/>
          </w:tcPr>
          <w:p>
            <w:pPr>
              <w:jc w:val="right"/>
              <w:ind w:right="116"/>
              <w:spacing w:after="0"/>
              <w:rPr>
                <w:sz w:val="20"/>
                <w:szCs w:val="20"/>
                <w:color w:val="auto"/>
              </w:rPr>
            </w:pPr>
            <w:r>
              <w:rPr>
                <w:rFonts w:ascii="Arial" w:cs="Arial" w:eastAsia="Arial" w:hAnsi="Arial"/>
                <w:sz w:val="18"/>
                <w:szCs w:val="18"/>
                <w:color w:val="auto"/>
              </w:rPr>
              <w:t>7.49</w:t>
            </w:r>
          </w:p>
        </w:tc>
        <w:tc>
          <w:tcPr>
            <w:tcW w:w="8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6.23</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00" w:type="dxa"/>
            <w:vAlign w:val="bottom"/>
          </w:tcPr>
          <w:p>
            <w:pPr>
              <w:spacing w:after="0"/>
              <w:rPr>
                <w:sz w:val="20"/>
                <w:szCs w:val="20"/>
                <w:color w:val="auto"/>
              </w:rPr>
            </w:pPr>
            <w:r>
              <w:rPr>
                <w:rFonts w:ascii="Arial" w:cs="Arial" w:eastAsia="Arial" w:hAnsi="Arial"/>
                <w:sz w:val="18"/>
                <w:szCs w:val="18"/>
                <w:color w:val="auto"/>
              </w:rPr>
              <w:t>Expected dividend yield</w:t>
            </w:r>
          </w:p>
        </w:tc>
        <w:tc>
          <w:tcPr>
            <w:tcW w:w="980" w:type="dxa"/>
            <w:vAlign w:val="bottom"/>
          </w:tcPr>
          <w:p>
            <w:pPr>
              <w:jc w:val="right"/>
              <w:spacing w:after="0"/>
              <w:rPr>
                <w:sz w:val="20"/>
                <w:szCs w:val="20"/>
                <w:color w:val="auto"/>
              </w:rPr>
            </w:pPr>
            <w:r>
              <w:rPr>
                <w:rFonts w:ascii="Arial" w:cs="Arial" w:eastAsia="Arial" w:hAnsi="Arial"/>
                <w:sz w:val="18"/>
                <w:szCs w:val="18"/>
                <w:color w:val="auto"/>
              </w:rPr>
              <w:t>0.00%</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0.00%</w:t>
            </w:r>
          </w:p>
        </w:tc>
        <w:tc>
          <w:tcPr>
            <w:tcW w:w="960" w:type="dxa"/>
            <w:vAlign w:val="bottom"/>
          </w:tcPr>
          <w:p>
            <w:pPr>
              <w:jc w:val="right"/>
              <w:spacing w:after="0"/>
              <w:rPr>
                <w:sz w:val="20"/>
                <w:szCs w:val="20"/>
                <w:color w:val="auto"/>
              </w:rPr>
            </w:pPr>
            <w:r>
              <w:rPr>
                <w:rFonts w:ascii="Arial" w:cs="Arial" w:eastAsia="Arial" w:hAnsi="Arial"/>
                <w:sz w:val="18"/>
                <w:szCs w:val="18"/>
                <w:color w:val="auto"/>
              </w:rPr>
              <w:t>0.00%</w:t>
            </w:r>
          </w:p>
        </w:tc>
        <w:tc>
          <w:tcPr>
            <w:tcW w:w="80" w:type="dxa"/>
            <w:vAlign w:val="bottom"/>
          </w:tcPr>
          <w:p>
            <w:pPr>
              <w:spacing w:after="0"/>
              <w:rPr>
                <w:sz w:val="19"/>
                <w:szCs w:val="19"/>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0.00%</w:t>
            </w:r>
          </w:p>
        </w:tc>
        <w:tc>
          <w:tcPr>
            <w:tcW w:w="0" w:type="dxa"/>
            <w:vAlign w:val="bottom"/>
          </w:tcPr>
          <w:p>
            <w:pPr>
              <w:spacing w:after="0"/>
              <w:rPr>
                <w:sz w:val="1"/>
                <w:szCs w:val="1"/>
                <w:color w:val="auto"/>
              </w:rPr>
            </w:pPr>
          </w:p>
        </w:tc>
      </w:tr>
      <w:tr>
        <w:trPr>
          <w:trHeight w:val="20"/>
        </w:trPr>
        <w:tc>
          <w:tcPr>
            <w:tcW w:w="390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520" w:right="20"/>
        <w:spacing w:after="0" w:line="277" w:lineRule="auto"/>
        <w:rPr>
          <w:sz w:val="20"/>
          <w:szCs w:val="20"/>
          <w:color w:val="auto"/>
        </w:rPr>
      </w:pPr>
      <w:r>
        <w:rPr>
          <w:rFonts w:ascii="Arial" w:cs="Arial" w:eastAsia="Arial" w:hAnsi="Arial"/>
          <w:sz w:val="18"/>
          <w:szCs w:val="18"/>
          <w:color w:val="auto"/>
        </w:rPr>
        <w:t>The weighted-average fair value of options granted during the six months ended June 30, 2017 was $6.11 (six months ended June 30, 2016 – $4.90) per option</w:t>
      </w:r>
      <w:r>
        <w:rPr>
          <w:rFonts w:ascii="Arial" w:cs="Arial" w:eastAsia="Arial" w:hAnsi="Arial"/>
          <w:sz w:val="14"/>
          <w:szCs w:val="14"/>
          <w:color w:val="auto"/>
        </w:rPr>
        <w:t>.</w:t>
      </w:r>
    </w:p>
    <w:p>
      <w:pPr>
        <w:spacing w:after="0" w:line="275" w:lineRule="exact"/>
        <w:rPr>
          <w:sz w:val="20"/>
          <w:szCs w:val="20"/>
          <w:color w:val="auto"/>
        </w:rPr>
      </w:pPr>
    </w:p>
    <w:p>
      <w:pPr>
        <w:ind w:left="520" w:hanging="512"/>
        <w:spacing w:after="0"/>
        <w:tabs>
          <w:tab w:leader="none" w:pos="52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Collaboration agreements:</w:t>
      </w:r>
    </w:p>
    <w:p>
      <w:pPr>
        <w:spacing w:after="0" w:line="121" w:lineRule="exact"/>
        <w:rPr>
          <w:rFonts w:ascii="Arial" w:cs="Arial" w:eastAsia="Arial" w:hAnsi="Arial"/>
          <w:sz w:val="18"/>
          <w:szCs w:val="18"/>
          <w:b w:val="1"/>
          <w:bCs w:val="1"/>
          <w:color w:val="auto"/>
        </w:rPr>
      </w:pPr>
    </w:p>
    <w:p>
      <w:pPr>
        <w:jc w:val="both"/>
        <w:ind w:left="520"/>
        <w:spacing w:after="0" w:line="312" w:lineRule="auto"/>
        <w:rPr>
          <w:rFonts w:ascii="Arial" w:cs="Arial" w:eastAsia="Arial" w:hAnsi="Arial"/>
          <w:sz w:val="18"/>
          <w:szCs w:val="18"/>
          <w:b w:val="1"/>
          <w:bCs w:val="1"/>
          <w:color w:val="auto"/>
        </w:rPr>
      </w:pPr>
      <w:r>
        <w:rPr>
          <w:rFonts w:ascii="Arial" w:cs="Arial" w:eastAsia="Arial" w:hAnsi="Arial"/>
          <w:sz w:val="16"/>
          <w:szCs w:val="16"/>
          <w:color w:val="auto"/>
        </w:rPr>
        <w:t>The Company has entered into a number of collaboration agreements with multiple deliverables under which it may have received non-refundable upfront payments. The Company generally recognizes revenue from non-refundable upfront payments ratably over the term of its estimated period of performance of research under its collaboration agreements in the event that such arrangements represent a single unit of accounting.</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bookmarkStart w:id="9" w:name="page10"/>
    <w:bookmarkEnd w:id="9"/>
    <w:p>
      <w:pPr>
        <w:jc w:val="both"/>
        <w:ind w:left="520"/>
        <w:spacing w:after="0" w:line="276" w:lineRule="auto"/>
        <w:rPr>
          <w:sz w:val="20"/>
          <w:szCs w:val="20"/>
          <w:color w:val="auto"/>
        </w:rPr>
      </w:pPr>
      <w:r>
        <w:rPr>
          <w:rFonts w:ascii="Arial" w:cs="Arial" w:eastAsia="Arial" w:hAnsi="Arial"/>
          <w:sz w:val="17"/>
          <w:szCs w:val="17"/>
          <w:color w:val="auto"/>
        </w:rPr>
        <w:t>The collaborations may also include contractual milestone payments, which relate to the achievement of pre-specified research, development, regulatory and commercialization events. The milestone events coincide with the progression of product candidates from research and development, to regulatory approval and through to commercialization. The process of successfully discovering a new product candidate, having it selected by the collaborator for development and having it approved and ultimately sold for a profit is highly uncertain. As such, the milestone payments that the Company may earn from its collaborators involve a significant degree of risk to achieve.</w:t>
      </w:r>
    </w:p>
    <w:p>
      <w:pPr>
        <w:spacing w:after="0" w:line="64" w:lineRule="exact"/>
        <w:rPr>
          <w:sz w:val="20"/>
          <w:szCs w:val="20"/>
          <w:color w:val="auto"/>
        </w:rPr>
      </w:pPr>
    </w:p>
    <w:p>
      <w:pPr>
        <w:jc w:val="both"/>
        <w:ind w:left="520"/>
        <w:spacing w:after="0" w:line="277" w:lineRule="auto"/>
        <w:rPr>
          <w:sz w:val="20"/>
          <w:szCs w:val="20"/>
          <w:color w:val="auto"/>
        </w:rPr>
      </w:pPr>
      <w:r>
        <w:rPr>
          <w:rFonts w:ascii="Arial" w:cs="Arial" w:eastAsia="Arial" w:hAnsi="Arial"/>
          <w:sz w:val="18"/>
          <w:szCs w:val="18"/>
          <w:color w:val="auto"/>
        </w:rPr>
        <w:t>The following table is a summary of the revenue recognized from the Company’s collaborations for the three and six months ended June 30, 2017 and 2016:</w:t>
      </w:r>
    </w:p>
    <w:p>
      <w:pPr>
        <w:spacing w:after="0" w:line="163"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4140" w:type="dxa"/>
            <w:vAlign w:val="bottom"/>
          </w:tcPr>
          <w:p>
            <w:pPr>
              <w:spacing w:after="0"/>
              <w:rPr>
                <w:sz w:val="14"/>
                <w:szCs w:val="14"/>
                <w:color w:val="auto"/>
              </w:rPr>
            </w:pPr>
          </w:p>
        </w:tc>
        <w:tc>
          <w:tcPr>
            <w:tcW w:w="1840" w:type="dxa"/>
            <w:vAlign w:val="bottom"/>
            <w:gridSpan w:val="5"/>
          </w:tcPr>
          <w:p>
            <w:pPr>
              <w:jc w:val="right"/>
              <w:ind w:right="194"/>
              <w:spacing w:after="0"/>
              <w:rPr>
                <w:sz w:val="20"/>
                <w:szCs w:val="20"/>
                <w:color w:val="auto"/>
              </w:rPr>
            </w:pPr>
            <w:r>
              <w:rPr>
                <w:rFonts w:ascii="Arial" w:cs="Arial" w:eastAsia="Arial" w:hAnsi="Arial"/>
                <w:sz w:val="14"/>
                <w:szCs w:val="14"/>
                <w:b w:val="1"/>
                <w:bCs w:val="1"/>
                <w:color w:val="auto"/>
              </w:rPr>
              <w:t>Three Months Ended</w:t>
            </w:r>
          </w:p>
        </w:tc>
        <w:tc>
          <w:tcPr>
            <w:tcW w:w="140" w:type="dxa"/>
            <w:vAlign w:val="bottom"/>
          </w:tcPr>
          <w:p>
            <w:pPr>
              <w:spacing w:after="0"/>
              <w:rPr>
                <w:sz w:val="14"/>
                <w:szCs w:val="14"/>
                <w:color w:val="auto"/>
              </w:rPr>
            </w:pPr>
          </w:p>
        </w:tc>
        <w:tc>
          <w:tcPr>
            <w:tcW w:w="1860" w:type="dxa"/>
            <w:vAlign w:val="bottom"/>
            <w:gridSpan w:val="6"/>
            <w:vMerge w:val="restart"/>
          </w:tcPr>
          <w:p>
            <w:pPr>
              <w:ind w:left="40"/>
              <w:spacing w:after="0"/>
              <w:rPr>
                <w:sz w:val="20"/>
                <w:szCs w:val="20"/>
                <w:color w:val="auto"/>
              </w:rPr>
            </w:pPr>
            <w:r>
              <w:rPr>
                <w:rFonts w:ascii="Arial" w:cs="Arial" w:eastAsia="Arial" w:hAnsi="Arial"/>
                <w:sz w:val="14"/>
                <w:szCs w:val="14"/>
                <w:b w:val="1"/>
                <w:bCs w:val="1"/>
                <w:color w:val="auto"/>
                <w:w w:val="99"/>
              </w:rPr>
              <w:t>Six Months Ended June 30,</w:t>
            </w:r>
          </w:p>
        </w:tc>
        <w:tc>
          <w:tcPr>
            <w:tcW w:w="0" w:type="dxa"/>
            <w:vAlign w:val="bottom"/>
          </w:tcPr>
          <w:p>
            <w:pPr>
              <w:spacing w:after="0"/>
              <w:rPr>
                <w:sz w:val="1"/>
                <w:szCs w:val="1"/>
                <w:color w:val="auto"/>
              </w:rPr>
            </w:pPr>
          </w:p>
        </w:tc>
      </w:tr>
      <w:tr>
        <w:trPr>
          <w:trHeight w:val="171"/>
        </w:trPr>
        <w:tc>
          <w:tcPr>
            <w:tcW w:w="4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20" w:type="dxa"/>
            <w:vAlign w:val="bottom"/>
            <w:gridSpan w:val="3"/>
          </w:tcPr>
          <w:p>
            <w:pPr>
              <w:ind w:left="60"/>
              <w:spacing w:after="0"/>
              <w:rPr>
                <w:sz w:val="20"/>
                <w:szCs w:val="20"/>
                <w:color w:val="auto"/>
              </w:rPr>
            </w:pPr>
            <w:r>
              <w:rPr>
                <w:rFonts w:ascii="Arial" w:cs="Arial" w:eastAsia="Arial" w:hAnsi="Arial"/>
                <w:sz w:val="14"/>
                <w:szCs w:val="14"/>
                <w:b w:val="1"/>
                <w:bCs w:val="1"/>
                <w:color w:val="auto"/>
                <w:w w:val="96"/>
              </w:rPr>
              <w:t>June 30,</w:t>
            </w: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60" w:type="dxa"/>
            <w:vAlign w:val="bottom"/>
            <w:gridSpan w:val="6"/>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4140" w:type="dxa"/>
            <w:vAlign w:val="bottom"/>
            <w:tcBorders>
              <w:bottom w:val="single" w:sz="8" w:color="CFF0FC"/>
            </w:tcBorders>
          </w:tcPr>
          <w:p>
            <w:pPr>
              <w:spacing w:after="0"/>
              <w:rPr>
                <w:sz w:val="13"/>
                <w:szCs w:val="13"/>
                <w:color w:val="auto"/>
              </w:rPr>
            </w:pPr>
          </w:p>
        </w:tc>
        <w:tc>
          <w:tcPr>
            <w:tcW w:w="6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2017</w:t>
            </w:r>
          </w:p>
        </w:tc>
        <w:tc>
          <w:tcPr>
            <w:tcW w:w="240" w:type="dxa"/>
            <w:vAlign w:val="bottom"/>
            <w:tcBorders>
              <w:top w:val="single" w:sz="8" w:color="auto"/>
              <w:bottom w:val="single" w:sz="8" w:color="auto"/>
            </w:tcBorders>
          </w:tcPr>
          <w:p>
            <w:pPr>
              <w:spacing w:after="0"/>
              <w:rPr>
                <w:sz w:val="13"/>
                <w:szCs w:val="13"/>
                <w:color w:val="auto"/>
              </w:rPr>
            </w:pPr>
          </w:p>
        </w:tc>
        <w:tc>
          <w:tcPr>
            <w:tcW w:w="160" w:type="dxa"/>
            <w:vAlign w:val="bottom"/>
            <w:tcBorders>
              <w:top w:val="single" w:sz="8" w:color="auto"/>
              <w:bottom w:val="single" w:sz="8" w:color="CFF0FC"/>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620" w:type="dxa"/>
            <w:vAlign w:val="bottom"/>
            <w:tcBorders>
              <w:top w:val="single" w:sz="8" w:color="auto"/>
              <w:bottom w:val="single" w:sz="8" w:color="auto"/>
            </w:tcBorders>
          </w:tcPr>
          <w:p>
            <w:pPr>
              <w:jc w:val="right"/>
              <w:ind w:right="194"/>
              <w:spacing w:after="0" w:line="155" w:lineRule="exact"/>
              <w:rPr>
                <w:sz w:val="20"/>
                <w:szCs w:val="20"/>
                <w:color w:val="auto"/>
              </w:rPr>
            </w:pPr>
            <w:r>
              <w:rPr>
                <w:rFonts w:ascii="Arial" w:cs="Arial" w:eastAsia="Arial" w:hAnsi="Arial"/>
                <w:sz w:val="14"/>
                <w:szCs w:val="14"/>
                <w:b w:val="1"/>
                <w:bCs w:val="1"/>
                <w:color w:val="auto"/>
              </w:rPr>
              <w:t>2016</w:t>
            </w:r>
          </w:p>
        </w:tc>
        <w:tc>
          <w:tcPr>
            <w:tcW w:w="140" w:type="dxa"/>
            <w:vAlign w:val="bottom"/>
            <w:tcBorders>
              <w:bottom w:val="single" w:sz="8" w:color="CFF0FC"/>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640" w:type="dxa"/>
            <w:vAlign w:val="bottom"/>
            <w:tcBorders>
              <w:top w:val="single" w:sz="8" w:color="auto"/>
              <w:bottom w:val="single" w:sz="8" w:color="auto"/>
            </w:tcBorders>
          </w:tcPr>
          <w:p>
            <w:pPr>
              <w:jc w:val="right"/>
              <w:ind w:right="194"/>
              <w:spacing w:after="0" w:line="155" w:lineRule="exact"/>
              <w:rPr>
                <w:sz w:val="20"/>
                <w:szCs w:val="20"/>
                <w:color w:val="auto"/>
              </w:rPr>
            </w:pPr>
            <w:r>
              <w:rPr>
                <w:rFonts w:ascii="Arial" w:cs="Arial" w:eastAsia="Arial" w:hAnsi="Arial"/>
                <w:sz w:val="14"/>
                <w:szCs w:val="14"/>
                <w:b w:val="1"/>
                <w:bCs w:val="1"/>
                <w:color w:val="auto"/>
              </w:rPr>
              <w:t>2017</w:t>
            </w:r>
          </w:p>
        </w:tc>
        <w:tc>
          <w:tcPr>
            <w:tcW w:w="140" w:type="dxa"/>
            <w:vAlign w:val="bottom"/>
            <w:tcBorders>
              <w:top w:val="single" w:sz="8" w:color="auto"/>
              <w:bottom w:val="single" w:sz="8" w:color="CFF0FC"/>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640" w:type="dxa"/>
            <w:vAlign w:val="bottom"/>
            <w:tcBorders>
              <w:top w:val="single" w:sz="8" w:color="auto"/>
              <w:bottom w:val="single" w:sz="8" w:color="auto"/>
            </w:tcBorders>
          </w:tcPr>
          <w:p>
            <w:pPr>
              <w:jc w:val="right"/>
              <w:ind w:right="194"/>
              <w:spacing w:after="0" w:line="155" w:lineRule="exact"/>
              <w:rPr>
                <w:sz w:val="20"/>
                <w:szCs w:val="20"/>
                <w:color w:val="auto"/>
              </w:rPr>
            </w:pPr>
            <w:r>
              <w:rPr>
                <w:rFonts w:ascii="Arial" w:cs="Arial" w:eastAsia="Arial" w:hAnsi="Arial"/>
                <w:sz w:val="14"/>
                <w:szCs w:val="14"/>
                <w:b w:val="1"/>
                <w:bCs w:val="1"/>
                <w:color w:val="auto"/>
              </w:rPr>
              <w:t>2016</w:t>
            </w:r>
          </w:p>
        </w:tc>
        <w:tc>
          <w:tcPr>
            <w:tcW w:w="8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4140" w:type="dxa"/>
            <w:vAlign w:val="bottom"/>
            <w:shd w:val="clear" w:color="auto" w:fill="CFF0FC"/>
          </w:tcPr>
          <w:p>
            <w:pPr>
              <w:spacing w:after="0"/>
              <w:rPr>
                <w:sz w:val="20"/>
                <w:szCs w:val="20"/>
                <w:color w:val="auto"/>
              </w:rPr>
            </w:pPr>
            <w:r>
              <w:rPr>
                <w:rFonts w:ascii="Arial" w:cs="Arial" w:eastAsia="Arial" w:hAnsi="Arial"/>
                <w:sz w:val="18"/>
                <w:szCs w:val="18"/>
                <w:color w:val="auto"/>
              </w:rPr>
              <w:t>Teva:</w:t>
            </w:r>
          </w:p>
        </w:tc>
        <w:tc>
          <w:tcPr>
            <w:tcW w:w="6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40" w:type="dxa"/>
            <w:vAlign w:val="bottom"/>
          </w:tcPr>
          <w:p>
            <w:pPr>
              <w:ind w:left="240"/>
              <w:spacing w:after="0"/>
              <w:rPr>
                <w:sz w:val="20"/>
                <w:szCs w:val="20"/>
                <w:color w:val="auto"/>
              </w:rPr>
            </w:pPr>
            <w:r>
              <w:rPr>
                <w:rFonts w:ascii="Arial" w:cs="Arial" w:eastAsia="Arial" w:hAnsi="Arial"/>
                <w:sz w:val="18"/>
                <w:szCs w:val="18"/>
                <w:color w:val="auto"/>
              </w:rPr>
              <w:t>Research funding</w:t>
            </w:r>
          </w:p>
        </w:tc>
        <w:tc>
          <w:tcPr>
            <w:tcW w:w="600" w:type="dxa"/>
            <w:vAlign w:val="bottom"/>
          </w:tcPr>
          <w:p>
            <w:pPr>
              <w:jc w:val="right"/>
              <w:ind w:right="419"/>
              <w:spacing w:after="0"/>
              <w:rPr>
                <w:sz w:val="20"/>
                <w:szCs w:val="20"/>
                <w:color w:val="auto"/>
              </w:rPr>
            </w:pPr>
            <w:r>
              <w:rPr>
                <w:rFonts w:ascii="Arial" w:cs="Arial" w:eastAsia="Arial" w:hAnsi="Arial"/>
                <w:sz w:val="18"/>
                <w:szCs w:val="18"/>
                <w:color w:val="auto"/>
                <w:w w:val="79"/>
              </w:rPr>
              <w:t>$</w:t>
            </w:r>
          </w:p>
        </w:tc>
        <w:tc>
          <w:tcPr>
            <w:tcW w:w="240" w:type="dxa"/>
            <w:vAlign w:val="bottom"/>
          </w:tcPr>
          <w:p>
            <w:pPr>
              <w:ind w:left="60"/>
              <w:spacing w:after="0"/>
              <w:rPr>
                <w:sz w:val="20"/>
                <w:szCs w:val="20"/>
                <w:color w:val="auto"/>
              </w:rPr>
            </w:pPr>
            <w:r>
              <w:rPr>
                <w:rFonts w:ascii="Arial" w:cs="Arial" w:eastAsia="Arial" w:hAnsi="Arial"/>
                <w:sz w:val="18"/>
                <w:szCs w:val="18"/>
                <w:color w:val="auto"/>
                <w:w w:val="79"/>
              </w:rPr>
              <w:t>15</w:t>
            </w:r>
          </w:p>
        </w:tc>
        <w:tc>
          <w:tcPr>
            <w:tcW w:w="160" w:type="dxa"/>
            <w:vAlign w:val="bottom"/>
          </w:tcPr>
          <w:p>
            <w:pPr>
              <w:spacing w:after="0"/>
              <w:rPr>
                <w:sz w:val="19"/>
                <w:szCs w:val="19"/>
                <w:color w:val="auto"/>
              </w:rPr>
            </w:pP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29</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30</w:t>
            </w:r>
          </w:p>
        </w:tc>
        <w:tc>
          <w:tcPr>
            <w:tcW w:w="14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58</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40" w:type="dxa"/>
            <w:vAlign w:val="bottom"/>
            <w:shd w:val="clear" w:color="auto" w:fill="CFF0FC"/>
          </w:tcPr>
          <w:p>
            <w:pPr>
              <w:spacing w:after="0"/>
              <w:rPr>
                <w:sz w:val="20"/>
                <w:szCs w:val="20"/>
                <w:color w:val="auto"/>
              </w:rPr>
            </w:pPr>
            <w:r>
              <w:rPr>
                <w:rFonts w:ascii="Arial" w:cs="Arial" w:eastAsia="Arial" w:hAnsi="Arial"/>
                <w:sz w:val="18"/>
                <w:szCs w:val="18"/>
                <w:color w:val="auto"/>
              </w:rPr>
              <w:t>Genentech:</w:t>
            </w:r>
          </w:p>
        </w:tc>
        <w:tc>
          <w:tcPr>
            <w:tcW w:w="6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40" w:type="dxa"/>
            <w:vAlign w:val="bottom"/>
          </w:tcPr>
          <w:p>
            <w:pPr>
              <w:ind w:left="240"/>
              <w:spacing w:after="0"/>
              <w:rPr>
                <w:sz w:val="20"/>
                <w:szCs w:val="20"/>
                <w:color w:val="auto"/>
              </w:rPr>
            </w:pPr>
            <w:r>
              <w:rPr>
                <w:rFonts w:ascii="Arial" w:cs="Arial" w:eastAsia="Arial" w:hAnsi="Arial"/>
                <w:sz w:val="18"/>
                <w:szCs w:val="18"/>
                <w:color w:val="auto"/>
              </w:rPr>
              <w:t>Recognition of upfront payment</w:t>
            </w:r>
          </w:p>
        </w:tc>
        <w:tc>
          <w:tcPr>
            <w:tcW w:w="600" w:type="dxa"/>
            <w:vAlign w:val="bottom"/>
          </w:tcPr>
          <w:p>
            <w:pPr>
              <w:spacing w:after="0"/>
              <w:rPr>
                <w:sz w:val="19"/>
                <w:szCs w:val="19"/>
                <w:color w:val="auto"/>
              </w:rPr>
            </w:pPr>
          </w:p>
        </w:tc>
        <w:tc>
          <w:tcPr>
            <w:tcW w:w="40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157</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Research funding</w:t>
            </w:r>
          </w:p>
        </w:tc>
        <w:tc>
          <w:tcPr>
            <w:tcW w:w="600" w:type="dxa"/>
            <w:vAlign w:val="bottom"/>
            <w:shd w:val="clear" w:color="auto" w:fill="CFF0FC"/>
          </w:tcPr>
          <w:p>
            <w:pPr>
              <w:spacing w:after="0"/>
              <w:rPr>
                <w:sz w:val="19"/>
                <w:szCs w:val="19"/>
                <w:color w:val="auto"/>
              </w:rPr>
            </w:pPr>
          </w:p>
        </w:tc>
        <w:tc>
          <w:tcPr>
            <w:tcW w:w="400" w:type="dxa"/>
            <w:vAlign w:val="bottom"/>
            <w:gridSpan w:val="2"/>
            <w:shd w:val="clear" w:color="auto" w:fill="CFF0FC"/>
          </w:tcPr>
          <w:p>
            <w:pPr>
              <w:ind w:left="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383</w:t>
            </w:r>
          </w:p>
        </w:tc>
        <w:tc>
          <w:tcPr>
            <w:tcW w:w="1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766</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140" w:type="dxa"/>
            <w:vAlign w:val="bottom"/>
          </w:tcPr>
          <w:p>
            <w:pPr>
              <w:spacing w:after="0"/>
              <w:rPr>
                <w:sz w:val="20"/>
                <w:szCs w:val="20"/>
                <w:color w:val="auto"/>
              </w:rPr>
            </w:pPr>
            <w:r>
              <w:rPr>
                <w:rFonts w:ascii="Arial" w:cs="Arial" w:eastAsia="Arial" w:hAnsi="Arial"/>
                <w:sz w:val="18"/>
                <w:szCs w:val="18"/>
                <w:color w:val="auto"/>
              </w:rPr>
              <w:t>Total collaboration revenue</w:t>
            </w:r>
          </w:p>
        </w:tc>
        <w:tc>
          <w:tcPr>
            <w:tcW w:w="600" w:type="dxa"/>
            <w:vAlign w:val="bottom"/>
            <w:tcBorders>
              <w:top w:val="single" w:sz="8" w:color="auto"/>
              <w:bottom w:val="single" w:sz="8" w:color="auto"/>
            </w:tcBorders>
          </w:tcPr>
          <w:p>
            <w:pPr>
              <w:jc w:val="right"/>
              <w:ind w:right="419"/>
              <w:spacing w:after="0"/>
              <w:rPr>
                <w:sz w:val="20"/>
                <w:szCs w:val="20"/>
                <w:color w:val="auto"/>
              </w:rPr>
            </w:pPr>
            <w:r>
              <w:rPr>
                <w:rFonts w:ascii="Arial" w:cs="Arial" w:eastAsia="Arial" w:hAnsi="Arial"/>
                <w:sz w:val="18"/>
                <w:szCs w:val="18"/>
                <w:color w:val="auto"/>
                <w:w w:val="79"/>
              </w:rPr>
              <w:t>$</w:t>
            </w:r>
          </w:p>
        </w:tc>
        <w:tc>
          <w:tcPr>
            <w:tcW w:w="240" w:type="dxa"/>
            <w:vAlign w:val="bottom"/>
            <w:tcBorders>
              <w:top w:val="single" w:sz="8" w:color="auto"/>
              <w:bottom w:val="single" w:sz="8" w:color="auto"/>
            </w:tcBorders>
          </w:tcPr>
          <w:p>
            <w:pPr>
              <w:ind w:left="60"/>
              <w:spacing w:after="0"/>
              <w:rPr>
                <w:sz w:val="20"/>
                <w:szCs w:val="20"/>
                <w:color w:val="auto"/>
              </w:rPr>
            </w:pPr>
            <w:r>
              <w:rPr>
                <w:rFonts w:ascii="Arial" w:cs="Arial" w:eastAsia="Arial" w:hAnsi="Arial"/>
                <w:sz w:val="18"/>
                <w:szCs w:val="18"/>
                <w:color w:val="auto"/>
                <w:w w:val="79"/>
              </w:rPr>
              <w:t>15</w:t>
            </w:r>
          </w:p>
        </w:tc>
        <w:tc>
          <w:tcPr>
            <w:tcW w:w="16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412</w:t>
            </w:r>
          </w:p>
        </w:tc>
        <w:tc>
          <w:tcPr>
            <w:tcW w:w="14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w:t>
            </w:r>
          </w:p>
        </w:tc>
        <w:tc>
          <w:tcPr>
            <w:tcW w:w="14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981</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14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6" w:lineRule="exact"/>
        <w:rPr>
          <w:sz w:val="20"/>
          <w:szCs w:val="20"/>
          <w:color w:val="auto"/>
        </w:rPr>
      </w:pPr>
    </w:p>
    <w:p>
      <w:pPr>
        <w:ind w:left="520" w:hanging="512"/>
        <w:spacing w:after="0"/>
        <w:tabs>
          <w:tab w:leader="none" w:pos="52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229" w:lineRule="exact"/>
        <w:rPr>
          <w:rFonts w:ascii="Arial" w:cs="Arial" w:eastAsia="Arial" w:hAnsi="Arial"/>
          <w:sz w:val="18"/>
          <w:szCs w:val="18"/>
          <w:b w:val="1"/>
          <w:bCs w:val="1"/>
          <w:color w:val="auto"/>
        </w:rPr>
      </w:pPr>
    </w:p>
    <w:p>
      <w:pPr>
        <w:ind w:left="900" w:hanging="379"/>
        <w:spacing w:after="0"/>
        <w:tabs>
          <w:tab w:leader="none" w:pos="900" w:val="left"/>
        </w:tabs>
        <w:numPr>
          <w:ilvl w:val="1"/>
          <w:numId w:val="10"/>
        </w:numPr>
        <w:rPr>
          <w:rFonts w:ascii="Arial" w:cs="Arial" w:eastAsia="Arial" w:hAnsi="Arial"/>
          <w:sz w:val="18"/>
          <w:szCs w:val="18"/>
          <w:color w:val="auto"/>
        </w:rPr>
      </w:pPr>
      <w:r>
        <w:rPr>
          <w:rFonts w:ascii="Arial" w:cs="Arial" w:eastAsia="Arial" w:hAnsi="Arial"/>
          <w:sz w:val="18"/>
          <w:szCs w:val="18"/>
          <w:color w:val="auto"/>
        </w:rPr>
        <w:t>Priority access agreement with Medpace Inc. (“Medpace”):</w:t>
      </w:r>
    </w:p>
    <w:p>
      <w:pPr>
        <w:spacing w:after="0" w:line="117" w:lineRule="exact"/>
        <w:rPr>
          <w:rFonts w:ascii="Arial" w:cs="Arial" w:eastAsia="Arial" w:hAnsi="Arial"/>
          <w:sz w:val="18"/>
          <w:szCs w:val="18"/>
          <w:color w:val="auto"/>
        </w:rPr>
      </w:pPr>
    </w:p>
    <w:p>
      <w:pPr>
        <w:jc w:val="both"/>
        <w:ind w:left="900"/>
        <w:spacing w:after="0" w:line="291" w:lineRule="auto"/>
        <w:rPr>
          <w:rFonts w:ascii="Arial" w:cs="Arial" w:eastAsia="Arial" w:hAnsi="Arial"/>
          <w:sz w:val="18"/>
          <w:szCs w:val="18"/>
          <w:color w:val="auto"/>
        </w:rPr>
      </w:pPr>
      <w:r>
        <w:rPr>
          <w:rFonts w:ascii="Arial" w:cs="Arial" w:eastAsia="Arial" w:hAnsi="Arial"/>
          <w:sz w:val="16"/>
          <w:szCs w:val="16"/>
          <w:color w:val="auto"/>
        </w:rPr>
        <w:t>In August 2015, the Company entered into a priority access agreement with Medpace for the provision of certain clinical development services. Under the terms of the agreement, the Company has committed to using Medpace non-exclusively for clinical development services over the five year term of the agreement. In consideration for priority access to Medpace resources and preferred service rates, the Company has committed to $7,000 of services over the term of the agreement, $3,000 of which was paid in the year ended December 31, 2015. Of the amounts paid by the Company in 2015 in connection with the priority access agreement, an aggregate of $2,715 has been recorded as expenses to date for services rendered, and no amount has been classified as current prepaid expenses (December 31, 2016 – $392) and $285 has been classified as long-term prepaid expenses (December 31, 2016 – $408) for the provision of future services as at June 30, 2017.</w:t>
      </w:r>
    </w:p>
    <w:p>
      <w:pPr>
        <w:spacing w:after="0" w:line="167" w:lineRule="exact"/>
        <w:rPr>
          <w:rFonts w:ascii="Arial" w:cs="Arial" w:eastAsia="Arial" w:hAnsi="Arial"/>
          <w:sz w:val="18"/>
          <w:szCs w:val="18"/>
          <w:color w:val="auto"/>
        </w:rPr>
      </w:pPr>
    </w:p>
    <w:p>
      <w:pPr>
        <w:ind w:left="900" w:hanging="379"/>
        <w:spacing w:after="0"/>
        <w:tabs>
          <w:tab w:leader="none" w:pos="900" w:val="left"/>
        </w:tabs>
        <w:numPr>
          <w:ilvl w:val="1"/>
          <w:numId w:val="10"/>
        </w:numPr>
        <w:rPr>
          <w:rFonts w:ascii="Arial" w:cs="Arial" w:eastAsia="Arial" w:hAnsi="Arial"/>
          <w:sz w:val="18"/>
          <w:szCs w:val="18"/>
          <w:color w:val="auto"/>
        </w:rPr>
      </w:pPr>
      <w:r>
        <w:rPr>
          <w:rFonts w:ascii="Arial" w:cs="Arial" w:eastAsia="Arial" w:hAnsi="Arial"/>
          <w:sz w:val="18"/>
          <w:szCs w:val="18"/>
          <w:color w:val="auto"/>
        </w:rPr>
        <w:t>License, manufacture and supply agreement:</w:t>
      </w:r>
    </w:p>
    <w:p>
      <w:pPr>
        <w:spacing w:after="0" w:line="117" w:lineRule="exact"/>
        <w:rPr>
          <w:rFonts w:ascii="Arial" w:cs="Arial" w:eastAsia="Arial" w:hAnsi="Arial"/>
          <w:sz w:val="18"/>
          <w:szCs w:val="18"/>
          <w:color w:val="auto"/>
        </w:rPr>
      </w:pPr>
    </w:p>
    <w:p>
      <w:pPr>
        <w:jc w:val="both"/>
        <w:ind w:left="900"/>
        <w:spacing w:after="0" w:line="279" w:lineRule="auto"/>
        <w:rPr>
          <w:rFonts w:ascii="Arial" w:cs="Arial" w:eastAsia="Arial" w:hAnsi="Arial"/>
          <w:sz w:val="18"/>
          <w:szCs w:val="18"/>
          <w:color w:val="auto"/>
        </w:rPr>
      </w:pPr>
      <w:r>
        <w:rPr>
          <w:rFonts w:ascii="Arial" w:cs="Arial" w:eastAsia="Arial" w:hAnsi="Arial"/>
          <w:sz w:val="17"/>
          <w:szCs w:val="17"/>
          <w:color w:val="auto"/>
        </w:rPr>
        <w:t>In March 2017, the Company entered into a license, manufacture and supply agreement with a pharmaceutical contract manufacturing organization for the access and use of certain regulatory documents as well as for the manufacture and supply of clinical and commercial drug product. Under the terms of the agreement, the Company paid an upfront fee of $500 CAD and will be required to pay a low single-digit percentage royalty on net sales of any products developed and commercialized under the agreement.</w:t>
      </w:r>
    </w:p>
    <w:p>
      <w:pPr>
        <w:spacing w:after="0" w:line="171" w:lineRule="exact"/>
        <w:rPr>
          <w:rFonts w:ascii="Arial" w:cs="Arial" w:eastAsia="Arial" w:hAnsi="Arial"/>
          <w:sz w:val="18"/>
          <w:szCs w:val="18"/>
          <w:color w:val="auto"/>
        </w:rPr>
      </w:pPr>
    </w:p>
    <w:p>
      <w:pPr>
        <w:ind w:left="900" w:hanging="379"/>
        <w:spacing w:after="0"/>
        <w:tabs>
          <w:tab w:leader="none" w:pos="900" w:val="left"/>
        </w:tabs>
        <w:numPr>
          <w:ilvl w:val="1"/>
          <w:numId w:val="10"/>
        </w:numPr>
        <w:rPr>
          <w:rFonts w:ascii="Arial" w:cs="Arial" w:eastAsia="Arial" w:hAnsi="Arial"/>
          <w:sz w:val="18"/>
          <w:szCs w:val="18"/>
          <w:color w:val="auto"/>
        </w:rPr>
      </w:pPr>
      <w:r>
        <w:rPr>
          <w:rFonts w:ascii="Arial" w:cs="Arial" w:eastAsia="Arial" w:hAnsi="Arial"/>
          <w:sz w:val="18"/>
          <w:szCs w:val="18"/>
          <w:color w:val="auto"/>
        </w:rPr>
        <w:t>Asset purchase agreement with 1st Order Pharmaceuticals, Inc. (“1st Order”):</w:t>
      </w:r>
    </w:p>
    <w:p>
      <w:pPr>
        <w:spacing w:after="0" w:line="117" w:lineRule="exact"/>
        <w:rPr>
          <w:rFonts w:ascii="Arial" w:cs="Arial" w:eastAsia="Arial" w:hAnsi="Arial"/>
          <w:sz w:val="18"/>
          <w:szCs w:val="18"/>
          <w:color w:val="auto"/>
        </w:rPr>
      </w:pPr>
    </w:p>
    <w:p>
      <w:pPr>
        <w:jc w:val="both"/>
        <w:ind w:left="900"/>
        <w:spacing w:after="0" w:line="293" w:lineRule="auto"/>
        <w:rPr>
          <w:rFonts w:ascii="Arial" w:cs="Arial" w:eastAsia="Arial" w:hAnsi="Arial"/>
          <w:sz w:val="18"/>
          <w:szCs w:val="18"/>
          <w:color w:val="auto"/>
        </w:rPr>
      </w:pPr>
      <w:r>
        <w:rPr>
          <w:rFonts w:ascii="Arial" w:cs="Arial" w:eastAsia="Arial" w:hAnsi="Arial"/>
          <w:sz w:val="16"/>
          <w:szCs w:val="16"/>
          <w:color w:val="auto"/>
        </w:rPr>
        <w:t>In April 2017, the Company acquired XEN1101 (previously known as 1OP2198) from 1st Order pursuant to an asset purchase agreement. 1st Order previously acquired 1OP2198 from an affiliate of Valeant Pharmaceuticals International, Inc. (“Valeant”), and the Company has assumed certain financial responsibilities under that agreement. Under the terms of the agreement, the Company paid an upfront fee of $350 and expects to pay an additional $700 in milestones in 2017. Future potential payments to both 1st Order and Valeant include $1,000 in clinical development milestones, up to $13,000 in regulatory milestones, and up to approximately $33,600 in sales-based and other milestones, which includes a $1,500 milestone that may be payable pre-commercially, plus a mid-to-high single-digit percentage royalty on commercial sales.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247" w:right="239" w:bottom="1440" w:gutter="0" w:footer="0" w:header="0"/>
        </w:sectPr>
      </w:pPr>
    </w:p>
    <w:bookmarkStart w:id="10" w:name="page11"/>
    <w:bookmarkEnd w:id="10"/>
    <w:p>
      <w:pPr>
        <w:ind w:left="892" w:hanging="379"/>
        <w:spacing w:after="0"/>
        <w:tabs>
          <w:tab w:leader="none" w:pos="892" w:val="left"/>
        </w:tabs>
        <w:numPr>
          <w:ilvl w:val="1"/>
          <w:numId w:val="11"/>
        </w:numPr>
        <w:rPr>
          <w:rFonts w:ascii="Arial" w:cs="Arial" w:eastAsia="Arial" w:hAnsi="Arial"/>
          <w:sz w:val="18"/>
          <w:szCs w:val="18"/>
          <w:color w:val="auto"/>
        </w:rPr>
      </w:pPr>
      <w:r>
        <w:rPr>
          <w:rFonts w:ascii="Arial" w:cs="Arial" w:eastAsia="Arial" w:hAnsi="Arial"/>
          <w:sz w:val="18"/>
          <w:szCs w:val="18"/>
          <w:color w:val="auto"/>
        </w:rPr>
        <w:t>Guarantees and indemnifications:</w:t>
      </w:r>
    </w:p>
    <w:p>
      <w:pPr>
        <w:spacing w:after="0" w:line="117" w:lineRule="exact"/>
        <w:rPr>
          <w:rFonts w:ascii="Arial" w:cs="Arial" w:eastAsia="Arial" w:hAnsi="Arial"/>
          <w:sz w:val="18"/>
          <w:szCs w:val="18"/>
          <w:color w:val="auto"/>
        </w:rPr>
      </w:pPr>
    </w:p>
    <w:p>
      <w:pPr>
        <w:jc w:val="both"/>
        <w:ind w:left="892"/>
        <w:spacing w:after="0" w:line="264" w:lineRule="auto"/>
        <w:rPr>
          <w:rFonts w:ascii="Arial" w:cs="Arial" w:eastAsia="Arial" w:hAnsi="Arial"/>
          <w:sz w:val="18"/>
          <w:szCs w:val="18"/>
          <w:color w:val="auto"/>
        </w:rPr>
      </w:pPr>
      <w:r>
        <w:rPr>
          <w:rFonts w:ascii="Arial" w:cs="Arial" w:eastAsia="Arial" w:hAnsi="Arial"/>
          <w:sz w:val="18"/>
          <w:szCs w:val="18"/>
          <w:color w:val="auto"/>
        </w:rPr>
        <w:t>The Company has entered into license and research agreements with third parties that include indemnification provisions that are customary in the industry. These indemnification provisions generally require the Company to compensate the other party for certain damages and costs incurred as a result of third party claims or damages arising from these transactions.</w:t>
      </w:r>
    </w:p>
    <w:p>
      <w:pPr>
        <w:spacing w:after="0" w:line="73" w:lineRule="exact"/>
        <w:rPr>
          <w:rFonts w:ascii="Arial" w:cs="Arial" w:eastAsia="Arial" w:hAnsi="Arial"/>
          <w:sz w:val="18"/>
          <w:szCs w:val="18"/>
          <w:color w:val="auto"/>
        </w:rPr>
      </w:pPr>
    </w:p>
    <w:p>
      <w:pPr>
        <w:jc w:val="both"/>
        <w:ind w:left="892"/>
        <w:spacing w:after="0" w:line="257" w:lineRule="auto"/>
        <w:rPr>
          <w:rFonts w:ascii="Arial" w:cs="Arial" w:eastAsia="Arial" w:hAnsi="Arial"/>
          <w:sz w:val="18"/>
          <w:szCs w:val="18"/>
          <w:color w:val="auto"/>
        </w:rPr>
      </w:pPr>
      <w:r>
        <w:rPr>
          <w:rFonts w:ascii="Arial" w:cs="Arial" w:eastAsia="Arial" w:hAnsi="Arial"/>
          <w:sz w:val="18"/>
          <w:szCs w:val="18"/>
          <w:color w:val="auto"/>
        </w:rPr>
        <w:t>The maximum amount of potential future indemnification is unlimited; however, the Company currently holds commercial and product liability insurance. This insurance limits the Company’s exposure and may enable it to recover a portion of any future amounts paid. Historically, the Company has not made any indemnification payments under such agreements and the Company believes that the fair value of these indemnification obligations is minimal. Accordingly, the Company has not recognized any liabilities relating to these obligations for any period presented.</w:t>
      </w:r>
    </w:p>
    <w:p>
      <w:pPr>
        <w:spacing w:after="0" w:line="292" w:lineRule="exact"/>
        <w:rPr>
          <w:rFonts w:ascii="Arial" w:cs="Arial" w:eastAsia="Arial" w:hAnsi="Arial"/>
          <w:sz w:val="18"/>
          <w:szCs w:val="18"/>
          <w:color w:val="auto"/>
        </w:rPr>
      </w:pPr>
    </w:p>
    <w:p>
      <w:pPr>
        <w:ind w:left="512" w:hanging="512"/>
        <w:spacing w:after="0"/>
        <w:tabs>
          <w:tab w:leader="none" w:pos="512"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Related Parties:</w:t>
      </w:r>
    </w:p>
    <w:p>
      <w:pPr>
        <w:spacing w:after="0" w:line="121" w:lineRule="exact"/>
        <w:rPr>
          <w:rFonts w:ascii="Arial" w:cs="Arial" w:eastAsia="Arial" w:hAnsi="Arial"/>
          <w:sz w:val="18"/>
          <w:szCs w:val="18"/>
          <w:b w:val="1"/>
          <w:bCs w:val="1"/>
          <w:color w:val="auto"/>
        </w:rPr>
      </w:pPr>
    </w:p>
    <w:p>
      <w:pPr>
        <w:jc w:val="both"/>
        <w:ind w:left="512"/>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Dr. August J. Troendle, an officer and director of Medpace, which provided clinical development services to the Company, was a beneficial owner of more than 5% of the Company’s common shares during 2016. The Company incurred $332 and $764 of clinical development service fees under its priority access agreement and a master services agreement with Medpace for the three and six months ended June 30, 2017, respectively (three and six months ended June 30, 2016 – $568 and $941, respectively.)</w:t>
      </w:r>
    </w:p>
    <w:p>
      <w:pPr>
        <w:spacing w:after="0" w:line="290" w:lineRule="exact"/>
        <w:rPr>
          <w:rFonts w:ascii="Arial" w:cs="Arial" w:eastAsia="Arial" w:hAnsi="Arial"/>
          <w:sz w:val="18"/>
          <w:szCs w:val="18"/>
          <w:b w:val="1"/>
          <w:bCs w:val="1"/>
          <w:color w:val="auto"/>
        </w:rPr>
      </w:pPr>
    </w:p>
    <w:p>
      <w:pPr>
        <w:ind w:left="512" w:hanging="512"/>
        <w:spacing w:after="0"/>
        <w:tabs>
          <w:tab w:leader="none" w:pos="512"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Subsequent Event:</w:t>
      </w:r>
    </w:p>
    <w:p>
      <w:pPr>
        <w:spacing w:after="0" w:line="121" w:lineRule="exact"/>
        <w:rPr>
          <w:rFonts w:ascii="Arial" w:cs="Arial" w:eastAsia="Arial" w:hAnsi="Arial"/>
          <w:sz w:val="18"/>
          <w:szCs w:val="18"/>
          <w:b w:val="1"/>
          <w:bCs w:val="1"/>
          <w:color w:val="auto"/>
        </w:rPr>
      </w:pPr>
    </w:p>
    <w:p>
      <w:pPr>
        <w:jc w:val="both"/>
        <w:ind w:left="512"/>
        <w:spacing w:after="0" w:line="302" w:lineRule="auto"/>
        <w:rPr>
          <w:rFonts w:ascii="Arial" w:cs="Arial" w:eastAsia="Arial" w:hAnsi="Arial"/>
          <w:sz w:val="18"/>
          <w:szCs w:val="18"/>
          <w:b w:val="1"/>
          <w:bCs w:val="1"/>
          <w:color w:val="auto"/>
        </w:rPr>
      </w:pPr>
      <w:r>
        <w:rPr>
          <w:rFonts w:ascii="Arial" w:cs="Arial" w:eastAsia="Arial" w:hAnsi="Arial"/>
          <w:sz w:val="16"/>
          <w:szCs w:val="16"/>
          <w:color w:val="auto"/>
        </w:rPr>
        <w:t>In July 2017, the Company entered into a license agreement with a pharmaceutical company for the access and use of certain regulatory documents to support the development of a potential product candidate. Under the terms of the agreement, the Company is required to pay an upfront fee of $1,000. Future potential payments include $2,000 in clinical development milestones, up to $7,000 in regulatory milestones, which includes $1,000 expected to be paid in 2017, plus a low-to-mid single-digit percentage royalty on net sales of any products developed and commercialized under the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70485</wp:posOffset>
            </wp:positionV>
            <wp:extent cx="728916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12"/>
          </w:cols>
          <w:pgMar w:left="248" w:top="355" w:right="2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9" w:lineRule="exact"/>
        <w:rPr>
          <w:sz w:val="20"/>
          <w:szCs w:val="20"/>
          <w:color w:val="auto"/>
        </w:rPr>
      </w:pPr>
    </w:p>
    <w:p>
      <w:pPr>
        <w:ind w:firstLine="518"/>
        <w:spacing w:after="0" w:line="279" w:lineRule="auto"/>
        <w:rPr>
          <w:sz w:val="20"/>
          <w:szCs w:val="20"/>
          <w:color w:val="auto"/>
        </w:rPr>
      </w:pPr>
      <w:r>
        <w:rPr>
          <w:rFonts w:ascii="Arial" w:cs="Arial" w:eastAsia="Arial" w:hAnsi="Arial"/>
          <w:sz w:val="17"/>
          <w:szCs w:val="17"/>
          <w:i w:val="1"/>
          <w:iCs w:val="1"/>
          <w:color w:val="auto"/>
        </w:rPr>
        <w:t>This section should be read in conjunction with our unaudited interim consolidated financial statements and related notes included in Part I, Item 1 of this report and our audited consolidated financial statements and related notes thereto and management’s discussion and analysis of financial condition and results of operations for the year ended December 31, 2016 included in our Annual Report on Form 10-K filed with the U.S. Securities and Exchange Commission on March 8, 2017 and with the securities commissions in British Columbia, Alberta and Ontario on March 8, 2017.</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21" w:lineRule="exact"/>
        <w:rPr>
          <w:sz w:val="20"/>
          <w:szCs w:val="20"/>
          <w:color w:val="auto"/>
        </w:rPr>
      </w:pPr>
    </w:p>
    <w:p>
      <w:pPr>
        <w:ind w:right="40" w:firstLine="518"/>
        <w:spacing w:after="0" w:line="272" w:lineRule="auto"/>
        <w:rPr>
          <w:sz w:val="20"/>
          <w:szCs w:val="20"/>
          <w:color w:val="auto"/>
        </w:rPr>
      </w:pPr>
      <w:r>
        <w:rPr>
          <w:rFonts w:ascii="Arial" w:cs="Arial" w:eastAsia="Arial" w:hAnsi="Arial"/>
          <w:sz w:val="17"/>
          <w:szCs w:val="17"/>
          <w:i w:val="1"/>
          <w:iCs w:val="1"/>
          <w:color w:val="auto"/>
        </w:rPr>
        <w:t>Certain statements contained in this Quarterly Report on Form 10-Q may constitute forward-looking statements within the meaning of Section 27A of the Securities Act of 1933, as amended, and Section 21E of the Securities Exchange Act of 1934, as amended, and Canadian securities laws. The words or phrases “would be,” “will allow,” “intends to,” “may,” “believe,” “plan,” “will likely result,” “are expected to,” “will continue,” “is anticipated,” “estimate,” “project,” or similar expressions, or the negative of such words or phrases, are intended to identify “forward-looking statements.” You should read these statements carefully because they discuss future expectations, contain projections of future results of operations or financial condition, or state other “forward-looking” information. These statements relate to our future plans, objectives, expectations, intentions and financial performance and the assumptions that underlie these statements. These forward-looking statements include, but are not limited to</w:t>
      </w:r>
      <w:r>
        <w:rPr>
          <w:rFonts w:ascii="Arial" w:cs="Arial" w:eastAsia="Arial" w:hAnsi="Arial"/>
          <w:sz w:val="17"/>
          <w:szCs w:val="17"/>
          <w:color w:val="auto"/>
        </w:rPr>
        <w:t>:</w:t>
      </w:r>
    </w:p>
    <w:p>
      <w:pPr>
        <w:spacing w:after="0" w:line="70" w:lineRule="exact"/>
        <w:rPr>
          <w:sz w:val="20"/>
          <w:szCs w:val="20"/>
          <w:color w:val="auto"/>
        </w:rPr>
      </w:pPr>
    </w:p>
    <w:p>
      <w:pPr>
        <w:ind w:left="1040" w:right="320" w:hanging="519"/>
        <w:spacing w:after="0" w:line="277" w:lineRule="auto"/>
        <w:tabs>
          <w:tab w:leader="none" w:pos="10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ability to identify additional products or product candidates either from our internal research efforts or though acquiring or in-licensing other product candidates or technologies;</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initiation, timing, cost, progress and success of our research and development programs, preclinical studies, and clinical trials;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ability to advance product candidates into, and successfully complete, clinical trials;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ability to recruit sufficient numbers of patients for our current and future clinical trials for orphan or more common indications;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ability to achieve profitability;</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ability to obtain funding for our operations, including research funding;</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ability to receive milestones, royalties and sublicensing fees under our collaborations, and the timing of such payments;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timing and magnitude of potential milestone payments under our product acquisition and in-licensing agreements;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implementation of our business model and strategic plans;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ability to develop and commercialize product candidates for orphan and niche indications independently;</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commercialization, marketing and manufacturing capabilities and strategy;</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ability to find families to support our Extreme Genetics discovery platform;</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ability to discover genes and drug targets;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3"/>
        </w:numPr>
        <w:rPr>
          <w:rFonts w:ascii="Arial" w:cs="Arial" w:eastAsia="Arial" w:hAnsi="Arial"/>
          <w:sz w:val="17"/>
          <w:szCs w:val="17"/>
          <w:color w:val="auto"/>
        </w:rPr>
      </w:pPr>
      <w:r>
        <w:rPr>
          <w:rFonts w:ascii="Arial" w:cs="Arial" w:eastAsia="Arial" w:hAnsi="Arial"/>
          <w:sz w:val="17"/>
          <w:szCs w:val="17"/>
          <w:color w:val="auto"/>
        </w:rPr>
        <w:t>our ability to protect our intellectual property and operate our business without infringing upon the intellectual property rights of others;</w:t>
      </w:r>
    </w:p>
    <w:p>
      <w:pPr>
        <w:spacing w:after="0" w:line="128" w:lineRule="exact"/>
        <w:rPr>
          <w:rFonts w:ascii="Arial" w:cs="Arial" w:eastAsia="Arial" w:hAnsi="Arial"/>
          <w:sz w:val="17"/>
          <w:szCs w:val="17"/>
          <w:color w:val="auto"/>
        </w:rPr>
      </w:pPr>
    </w:p>
    <w:p>
      <w:pPr>
        <w:ind w:left="1040" w:hanging="519"/>
        <w:spacing w:after="0"/>
        <w:tabs>
          <w:tab w:leader="none" w:pos="10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expectations regarding federal, state and foreign regulatory requirements;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therapeutic benefits, effectiveness and safety of our product candidates;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accuracy of our estimates of the size and characteristics of the markets that may be addressed by our products and product candidates;</w:t>
      </w:r>
    </w:p>
    <w:p>
      <w:pPr>
        <w:spacing w:after="0" w:line="140" w:lineRule="exact"/>
        <w:rPr>
          <w:rFonts w:ascii="Arial" w:cs="Arial" w:eastAsia="Arial" w:hAnsi="Arial"/>
          <w:sz w:val="16"/>
          <w:szCs w:val="16"/>
          <w:color w:val="auto"/>
        </w:rPr>
      </w:pPr>
    </w:p>
    <w:p>
      <w:pPr>
        <w:ind w:left="1040" w:hanging="519"/>
        <w:spacing w:after="0"/>
        <w:tabs>
          <w:tab w:leader="none" w:pos="10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rate and degree of market acceptance and clinical utility of any future products;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timing of, and our and our collaborators’ ability to obtain and maintain, regulatory approvals for our product candidates;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ability to maintain and establish collaborations;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expectations regarding market risk, including interest rate changes and foreign currency fluctuations;</w:t>
      </w:r>
    </w:p>
    <w:p>
      <w:pPr>
        <w:spacing w:after="0" w:line="200" w:lineRule="exact"/>
        <w:rPr>
          <w:sz w:val="20"/>
          <w:szCs w:val="20"/>
          <w:color w:val="auto"/>
        </w:rPr>
      </w:pPr>
    </w:p>
    <w:p>
      <w:pPr>
        <w:spacing w:after="0" w:line="26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135" w:right="299" w:bottom="1440" w:gutter="0" w:footer="0" w:header="0"/>
        </w:sectPr>
      </w:pPr>
    </w:p>
    <w:bookmarkStart w:id="12" w:name="page13"/>
    <w:bookmarkEnd w:id="12"/>
    <w:p>
      <w:pPr>
        <w:ind w:left="1040" w:hanging="519"/>
        <w:spacing w:after="0"/>
        <w:tabs>
          <w:tab w:leader="none" w:pos="10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belief in the sufficiency of our cash flows to meet our needs for at least the next 12 months;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ability to engage and retain the employees required to grow our business;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future financial performance and projected expenditures;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4"/>
        </w:numPr>
        <w:rPr>
          <w:rFonts w:ascii="Arial" w:cs="Arial" w:eastAsia="Arial" w:hAnsi="Arial"/>
          <w:sz w:val="16"/>
          <w:szCs w:val="16"/>
          <w:color w:val="auto"/>
        </w:rPr>
      </w:pPr>
      <w:r>
        <w:rPr>
          <w:rFonts w:ascii="Arial" w:cs="Arial" w:eastAsia="Arial" w:hAnsi="Arial"/>
          <w:sz w:val="16"/>
          <w:szCs w:val="16"/>
          <w:color w:val="auto"/>
        </w:rPr>
        <w:t>developments relating to our competitors and our industry, including the success of competing therapies that are or become available; and</w:t>
      </w:r>
    </w:p>
    <w:p>
      <w:pPr>
        <w:spacing w:after="0" w:line="140" w:lineRule="exact"/>
        <w:rPr>
          <w:rFonts w:ascii="Arial" w:cs="Arial" w:eastAsia="Arial" w:hAnsi="Arial"/>
          <w:sz w:val="16"/>
          <w:szCs w:val="16"/>
          <w:color w:val="auto"/>
        </w:rPr>
      </w:pPr>
    </w:p>
    <w:p>
      <w:pPr>
        <w:ind w:left="1040" w:hanging="519"/>
        <w:spacing w:after="0"/>
        <w:tabs>
          <w:tab w:leader="none" w:pos="10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estimates of our expenses, future revenue, capital requirements and our needs for additional financing.</w:t>
      </w:r>
    </w:p>
    <w:p>
      <w:pPr>
        <w:spacing w:after="0" w:line="225" w:lineRule="exact"/>
        <w:rPr>
          <w:sz w:val="20"/>
          <w:szCs w:val="20"/>
          <w:color w:val="auto"/>
        </w:rPr>
      </w:pPr>
    </w:p>
    <w:p>
      <w:pPr>
        <w:ind w:right="60" w:firstLine="518"/>
        <w:spacing w:after="0" w:line="255" w:lineRule="auto"/>
        <w:rPr>
          <w:sz w:val="20"/>
          <w:szCs w:val="20"/>
          <w:color w:val="auto"/>
        </w:rPr>
      </w:pPr>
      <w:r>
        <w:rPr>
          <w:rFonts w:ascii="Arial" w:cs="Arial" w:eastAsia="Arial" w:hAnsi="Arial"/>
          <w:sz w:val="18"/>
          <w:szCs w:val="18"/>
          <w:i w:val="1"/>
          <w:iCs w:val="1"/>
          <w:color w:val="auto"/>
        </w:rPr>
        <w:t>These forward-looking statements are subject to certain risks and uncertainties that could cause actual results to differ materially from those anticipated in the forward-looking statements. Factors that might cause such a difference include, but are not limited to, those discussed in this report in Part I, Item 1A — “Risk Factors,” and elsewhere in this report. Forward-looking statements are based on our management’s beliefs and assumptions and on information currently available to our management. These statements, like all statements in this report, speak only as of their date, and we undertake no obligation to update or revise these statements in light of future developments, except as required by law. In this report, “we,” “our,” “us,” “Xenon,” and “the Company” refer to Xenon Pharmaceuticals Inc. and its subsidiary. Unless otherwise noted, all dollar amounts in this report are expressed in United States dollars.</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right="200" w:firstLine="518"/>
        <w:spacing w:after="0" w:line="259" w:lineRule="auto"/>
        <w:rPr>
          <w:sz w:val="20"/>
          <w:szCs w:val="20"/>
          <w:color w:val="auto"/>
        </w:rPr>
      </w:pPr>
      <w:r>
        <w:rPr>
          <w:rFonts w:ascii="Arial" w:cs="Arial" w:eastAsia="Arial" w:hAnsi="Arial"/>
          <w:sz w:val="18"/>
          <w:szCs w:val="18"/>
          <w:color w:val="auto"/>
        </w:rPr>
        <w:t>We are a clinical stage biopharmaceutical company focused on developing innovative therapeutics to improve the lives of patients with neurological disorders. Building upon our vast knowledge of human genetics and diseases caused by mutations in ion channels, known as channelopathies, we are advancing a novel neurology-focused product pipeline of ion channel modulators to address therapeutic areas of high unmet medical need, such as pain and epilepsy.</w:t>
      </w:r>
    </w:p>
    <w:p>
      <w:pPr>
        <w:spacing w:after="0" w:line="187" w:lineRule="exact"/>
        <w:rPr>
          <w:sz w:val="20"/>
          <w:szCs w:val="20"/>
          <w:color w:val="auto"/>
        </w:rPr>
      </w:pPr>
    </w:p>
    <w:p>
      <w:pPr>
        <w:ind w:right="40" w:firstLine="518"/>
        <w:spacing w:after="0" w:line="259" w:lineRule="auto"/>
        <w:rPr>
          <w:sz w:val="20"/>
          <w:szCs w:val="20"/>
          <w:color w:val="auto"/>
        </w:rPr>
      </w:pPr>
      <w:r>
        <w:rPr>
          <w:rFonts w:ascii="Arial" w:cs="Arial" w:eastAsia="Arial" w:hAnsi="Arial"/>
          <w:sz w:val="18"/>
          <w:szCs w:val="18"/>
          <w:color w:val="auto"/>
        </w:rPr>
        <w:t>Our pharmaceutical partners include Teva Pharmaceutical Industries, Ltd., or Teva (through its subsidiary, Ivax International GmbH), Genentech, a member of the Roche Group, and Merck &amp; Co., Inc. (through its affiliate, Essex Chemie AG). Our pharmaceutical collaborations have generated in aggregate over $160.0 million in non-equity funding to date with the potential to provide us with over $1.0 billion in future milestone payments, as well as royalties and co-promotion income on product sales.</w:t>
      </w:r>
    </w:p>
    <w:p>
      <w:pPr>
        <w:spacing w:after="0" w:line="18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Our proprietary development pipeline and pharmaceutical partnerships include:</w:t>
      </w:r>
    </w:p>
    <w:p>
      <w:pPr>
        <w:spacing w:after="0" w:line="117" w:lineRule="exact"/>
        <w:rPr>
          <w:sz w:val="20"/>
          <w:szCs w:val="20"/>
          <w:color w:val="auto"/>
        </w:rPr>
      </w:pPr>
    </w:p>
    <w:p>
      <w:pPr>
        <w:ind w:left="1040" w:right="40" w:hanging="519"/>
        <w:spacing w:after="0" w:line="259" w:lineRule="auto"/>
        <w:tabs>
          <w:tab w:leader="none" w:pos="10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XEN1101 is a next-generation Kv7 potassium channel opener for the treatment of epilepsy. Pre-clinically, XEN1101 has demonstrated improved pharmacokinetics, selectivity, potency and efficacy over first-generation potassium channel modulators, such as ezogabine. Xenon anticipates filing an investigational new drug, or IND, or IND equivalent, application to initiate a Phase 1 first-in-man clinical trial in the fourth quarter of 2017, and Phase 2 development is anticipated to begin by mid-2018;</w:t>
      </w:r>
    </w:p>
    <w:p>
      <w:pPr>
        <w:spacing w:after="0" w:line="78" w:lineRule="exact"/>
        <w:rPr>
          <w:rFonts w:ascii="Arial" w:cs="Arial" w:eastAsia="Arial" w:hAnsi="Arial"/>
          <w:sz w:val="18"/>
          <w:szCs w:val="18"/>
          <w:color w:val="auto"/>
        </w:rPr>
      </w:pPr>
    </w:p>
    <w:p>
      <w:pPr>
        <w:ind w:left="1040" w:hanging="519"/>
        <w:spacing w:after="0" w:line="259" w:lineRule="auto"/>
        <w:tabs>
          <w:tab w:leader="none" w:pos="10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XEN901 is a potent, selective Nav1.6 sodium channel inhibitor for the treatment of rare infantile epileptic encephalopathies and other forms of epilepsy. XEN901 has demonstrated efficacy against seizures in an animal model of Nav1.6 gain-of-function SCN8A epilepsy as well as animal models that support the treatment of adult partial onset epilepsy. Xenon expects to file an IND, or IND equivalent, application in the fourth quarter of 2017;</w:t>
      </w:r>
    </w:p>
    <w:p>
      <w:pPr>
        <w:spacing w:after="0" w:line="78" w:lineRule="exact"/>
        <w:rPr>
          <w:rFonts w:ascii="Arial" w:cs="Arial" w:eastAsia="Arial" w:hAnsi="Arial"/>
          <w:sz w:val="18"/>
          <w:szCs w:val="18"/>
          <w:color w:val="auto"/>
        </w:rPr>
      </w:pPr>
    </w:p>
    <w:p>
      <w:pPr>
        <w:ind w:left="1040" w:right="60" w:hanging="519"/>
        <w:spacing w:after="0" w:line="297" w:lineRule="auto"/>
        <w:tabs>
          <w:tab w:leader="none" w:pos="1040" w:val="left"/>
        </w:tabs>
        <w:numPr>
          <w:ilvl w:val="0"/>
          <w:numId w:val="15"/>
        </w:numPr>
        <w:rPr>
          <w:rFonts w:ascii="Arial" w:cs="Arial" w:eastAsia="Arial" w:hAnsi="Arial"/>
          <w:sz w:val="16"/>
          <w:szCs w:val="16"/>
          <w:color w:val="auto"/>
        </w:rPr>
      </w:pPr>
      <w:r>
        <w:rPr>
          <w:rFonts w:ascii="Arial" w:cs="Arial" w:eastAsia="Arial" w:hAnsi="Arial"/>
          <w:sz w:val="16"/>
          <w:szCs w:val="16"/>
          <w:color w:val="auto"/>
        </w:rPr>
        <w:t>Our collaborator, Teva, is responsible for the development of TV-45070, which is a topical sodium channel inhibitor for the treatment of neuropathic pain. In June 2017, we, along with Teva, announced topline results from a Phase 2b clinical trial that evaluated the efficacy and safety of TV-45070 in patients with post-herpetic neuralgia. TV-45070 did not meet the primary endpoint of a statistically significant change in pain from baseline to week four as assessed by the numeric rating scale, and secondary endpoints were also not met in the study. There were no safety concerns in the study. We and Teva plan to further analyze the data from this study to determine the next steps for TV-45070;</w:t>
      </w:r>
    </w:p>
    <w:p>
      <w:pPr>
        <w:spacing w:after="0" w:line="50" w:lineRule="exact"/>
        <w:rPr>
          <w:rFonts w:ascii="Arial" w:cs="Arial" w:eastAsia="Arial" w:hAnsi="Arial"/>
          <w:sz w:val="16"/>
          <w:szCs w:val="16"/>
          <w:color w:val="auto"/>
        </w:rPr>
      </w:pPr>
    </w:p>
    <w:p>
      <w:pPr>
        <w:ind w:left="1040" w:right="100" w:hanging="519"/>
        <w:spacing w:after="0" w:line="264" w:lineRule="auto"/>
        <w:tabs>
          <w:tab w:leader="none" w:pos="10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collaborator, Genentech, has completed a Phase 1 clinical trial for GDC-0310, which is an oral, selective Nav1.7 small-molecule inhibitor. Pending completion and assessment of ongoing preclinical studies, Genentech anticipates initiating a Phase 2 clinical trial for the potential treatment of pain in the first quarter of 2018.</w:t>
      </w:r>
    </w:p>
    <w:p>
      <w:pPr>
        <w:spacing w:after="0" w:line="73" w:lineRule="exact"/>
        <w:rPr>
          <w:rFonts w:ascii="Arial" w:cs="Arial" w:eastAsia="Arial" w:hAnsi="Arial"/>
          <w:sz w:val="18"/>
          <w:szCs w:val="18"/>
          <w:color w:val="auto"/>
        </w:rPr>
      </w:pPr>
    </w:p>
    <w:p>
      <w:pPr>
        <w:ind w:left="1040" w:right="180" w:hanging="519"/>
        <w:spacing w:after="0" w:line="312" w:lineRule="auto"/>
        <w:tabs>
          <w:tab w:leader="none" w:pos="1040" w:val="left"/>
        </w:tabs>
        <w:numPr>
          <w:ilvl w:val="0"/>
          <w:numId w:val="15"/>
        </w:numPr>
        <w:rPr>
          <w:rFonts w:ascii="Arial" w:cs="Arial" w:eastAsia="Arial" w:hAnsi="Arial"/>
          <w:sz w:val="16"/>
          <w:szCs w:val="16"/>
          <w:color w:val="auto"/>
        </w:rPr>
      </w:pPr>
      <w:r>
        <w:rPr>
          <w:rFonts w:ascii="Arial" w:cs="Arial" w:eastAsia="Arial" w:hAnsi="Arial"/>
          <w:sz w:val="16"/>
          <w:szCs w:val="16"/>
          <w:color w:val="auto"/>
        </w:rPr>
        <w:t>In July 2017, we achieved a milestone in our pain genetics discovery collaboration with Genentech triggering a milestone payment. We and Genentech have successfully discovered and identified a novel pain target by leveraging our Extreme Genetics platform based on the study of rare phenotypes of individuals who have either an inability to perceive pain or have non-precipitated spontaneous severe pain; and</w:t>
      </w: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247" w:right="239" w:bottom="1440" w:gutter="0" w:footer="0" w:header="0"/>
        </w:sectPr>
      </w:pPr>
    </w:p>
    <w:bookmarkStart w:id="13" w:name="page14"/>
    <w:bookmarkEnd w:id="13"/>
    <w:p>
      <w:pPr>
        <w:ind w:left="1040" w:right="40" w:hanging="519"/>
        <w:spacing w:after="0" w:line="276" w:lineRule="auto"/>
        <w:tabs>
          <w:tab w:leader="none" w:pos="1040" w:val="left"/>
        </w:tabs>
        <w:numPr>
          <w:ilvl w:val="0"/>
          <w:numId w:val="16"/>
        </w:numPr>
        <w:rPr>
          <w:rFonts w:ascii="Arial" w:cs="Arial" w:eastAsia="Arial" w:hAnsi="Arial"/>
          <w:sz w:val="17"/>
          <w:szCs w:val="17"/>
          <w:color w:val="auto"/>
        </w:rPr>
      </w:pPr>
      <w:r>
        <w:rPr>
          <w:rFonts w:ascii="Arial" w:cs="Arial" w:eastAsia="Arial" w:hAnsi="Arial"/>
          <w:sz w:val="17"/>
          <w:szCs w:val="17"/>
          <w:color w:val="auto"/>
        </w:rPr>
        <w:t>Our licensee uniQure Biopharma B.V., or uniQure, has developed Glybera for the treatment of the orphan disorder lipoprotein lipase deficiency. Glybera was the first gene therapy product approved in the European Union, or the EU. In November 2015, the first patient treated with Glybera as a commercially available gene therapy was announced by uniQure and enabled by its commercialization partner in the EU, Chiesi Farmaceutici S.p.A., which has sole control over commercialization in the EU. In April 2017, uniQure announced that it will not pursue the renewal of the Glybera marketing authorization in Europe, which is scheduled to expire on October 25, 2017.</w:t>
      </w:r>
    </w:p>
    <w:p>
      <w:pPr>
        <w:spacing w:after="0" w:line="173" w:lineRule="exact"/>
        <w:rPr>
          <w:sz w:val="20"/>
          <w:szCs w:val="20"/>
          <w:color w:val="auto"/>
        </w:rPr>
      </w:pPr>
    </w:p>
    <w:p>
      <w:pPr>
        <w:ind w:right="440" w:firstLine="518"/>
        <w:spacing w:after="0" w:line="264" w:lineRule="auto"/>
        <w:rPr>
          <w:sz w:val="20"/>
          <w:szCs w:val="20"/>
          <w:color w:val="auto"/>
        </w:rPr>
      </w:pPr>
      <w:r>
        <w:rPr>
          <w:rFonts w:ascii="Arial" w:cs="Arial" w:eastAsia="Arial" w:hAnsi="Arial"/>
          <w:sz w:val="18"/>
          <w:szCs w:val="18"/>
          <w:color w:val="auto"/>
        </w:rPr>
        <w:t>We have funded our operations through the sale of equity securities, funding received from our licensees and collaborators and, to a lesser extent, government funding. For the six months ended June 30, 2017, we recognized revenue, consisting primarily of funding from our collaborators of approximately $0.03 million. This compares to $1.0 million for the six months ended June 30, 2016.</w:t>
      </w:r>
    </w:p>
    <w:p>
      <w:pPr>
        <w:spacing w:after="0" w:line="181" w:lineRule="exact"/>
        <w:rPr>
          <w:sz w:val="20"/>
          <w:szCs w:val="20"/>
          <w:color w:val="auto"/>
        </w:rPr>
      </w:pPr>
    </w:p>
    <w:p>
      <w:pPr>
        <w:ind w:right="60" w:firstLine="518"/>
        <w:spacing w:after="0" w:line="264" w:lineRule="auto"/>
        <w:rPr>
          <w:sz w:val="20"/>
          <w:szCs w:val="20"/>
          <w:color w:val="auto"/>
        </w:rPr>
      </w:pPr>
      <w:r>
        <w:rPr>
          <w:rFonts w:ascii="Arial" w:cs="Arial" w:eastAsia="Arial" w:hAnsi="Arial"/>
          <w:sz w:val="18"/>
          <w:szCs w:val="18"/>
          <w:color w:val="auto"/>
        </w:rPr>
        <w:t>We had a net loss of $14.9 million for the six months ended June 30, 2017 and an accumulated deficit of $157.6 million as of June 30, 2017, from expenses incurred in connection with our research programs and from general and administrative costs associated with our operations and we do not expect to have sustained profitability for the foreseeable future.</w:t>
      </w:r>
    </w:p>
    <w:p>
      <w:pPr>
        <w:spacing w:after="0" w:line="181" w:lineRule="exact"/>
        <w:rPr>
          <w:sz w:val="20"/>
          <w:szCs w:val="20"/>
          <w:color w:val="auto"/>
        </w:rPr>
      </w:pPr>
    </w:p>
    <w:p>
      <w:pPr>
        <w:ind w:right="40" w:firstLine="518"/>
        <w:spacing w:after="0" w:line="293" w:lineRule="auto"/>
        <w:rPr>
          <w:sz w:val="20"/>
          <w:szCs w:val="20"/>
          <w:color w:val="auto"/>
        </w:rPr>
      </w:pPr>
      <w:r>
        <w:rPr>
          <w:rFonts w:ascii="Arial" w:cs="Arial" w:eastAsia="Arial" w:hAnsi="Arial"/>
          <w:sz w:val="16"/>
          <w:szCs w:val="16"/>
          <w:color w:val="auto"/>
        </w:rPr>
        <w:t>Other than royalties we are eligible to receive from sales of Glybera under our license to uniQure, which have not been significant to date and which we expect to cease in October 2017 following expiration of Glybera’s marketing authorization, we have not generated any royalty revenue from product sales, and do not otherwise anticipate generating revenue from product sales for the foreseeable future, if ever. We expect that our revenue in the near term will be substantially dependent on our collaboration agreements. Given the uncertain nature of clinical development of our current and future product candidates and the commercialization of current and future products, we cannot predict when or whether we will receive further milestone payments under our current or future collaboration agreements or whether we will be able to report either revenue or net income in future years.</w:t>
      </w:r>
    </w:p>
    <w:p>
      <w:pPr>
        <w:spacing w:after="0" w:line="165" w:lineRule="exact"/>
        <w:rPr>
          <w:sz w:val="20"/>
          <w:szCs w:val="20"/>
          <w:color w:val="auto"/>
        </w:rPr>
      </w:pPr>
    </w:p>
    <w:p>
      <w:pPr>
        <w:ind w:right="380" w:firstLine="518"/>
        <w:spacing w:after="0" w:line="277" w:lineRule="auto"/>
        <w:rPr>
          <w:sz w:val="20"/>
          <w:szCs w:val="20"/>
          <w:color w:val="auto"/>
        </w:rPr>
      </w:pPr>
      <w:r>
        <w:rPr>
          <w:rFonts w:ascii="Arial" w:cs="Arial" w:eastAsia="Arial" w:hAnsi="Arial"/>
          <w:sz w:val="18"/>
          <w:szCs w:val="18"/>
          <w:color w:val="auto"/>
        </w:rPr>
        <w:t>We expect to continue to incur significant expenses and operating losses for at least the next 12 to 24 months. We anticipate that our expenses will increase as we:</w:t>
      </w:r>
    </w:p>
    <w:p>
      <w:pPr>
        <w:spacing w:after="0" w:line="62" w:lineRule="exact"/>
        <w:rPr>
          <w:sz w:val="20"/>
          <w:szCs w:val="20"/>
          <w:color w:val="auto"/>
        </w:rPr>
      </w:pPr>
    </w:p>
    <w:p>
      <w:pPr>
        <w:ind w:left="1040" w:right="320" w:hanging="519"/>
        <w:spacing w:after="0" w:line="277" w:lineRule="auto"/>
        <w:tabs>
          <w:tab w:leader="none" w:pos="10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continue our research and preclinical and clinical development of our product candidates either from our internal research efforts or through acquiring or in-licensing other product candidates or technologies;</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seek regulatory and marketing approvals for any of our product candidates that successfully complete clinical trials;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make milestone and other payments under our product acquisition and in-license agreements;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maintain, protect and expand our intellectual property portfolio;</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attract, hire and retain skilled personnel;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create additional infrastructure to support our operations and otherwise.</w:t>
      </w: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Operations Overview</w:t>
      </w:r>
    </w:p>
    <w:p>
      <w:pPr>
        <w:spacing w:after="0" w:line="121"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Revenue</w:t>
      </w:r>
    </w:p>
    <w:p>
      <w:pPr>
        <w:spacing w:after="0" w:line="117" w:lineRule="exact"/>
        <w:rPr>
          <w:sz w:val="20"/>
          <w:szCs w:val="20"/>
          <w:color w:val="auto"/>
        </w:rPr>
      </w:pPr>
    </w:p>
    <w:p>
      <w:pPr>
        <w:ind w:right="80" w:firstLine="518"/>
        <w:spacing w:after="0" w:line="257" w:lineRule="auto"/>
        <w:rPr>
          <w:sz w:val="20"/>
          <w:szCs w:val="20"/>
          <w:color w:val="auto"/>
        </w:rPr>
      </w:pPr>
      <w:r>
        <w:rPr>
          <w:rFonts w:ascii="Arial" w:cs="Arial" w:eastAsia="Arial" w:hAnsi="Arial"/>
          <w:sz w:val="18"/>
          <w:szCs w:val="18"/>
          <w:color w:val="auto"/>
        </w:rPr>
        <w:t>To date, our revenue has been primarily derived from collaboration and licensing agreements as well as, to a lesser extent, government funding. In addition, we have received nominal royalties from a diagnostic license and from sales of Glybera. Other than royalties we are eligible to receive from sales of Glybera under our license to uniQure, which have not been significant to date and which we expect to cease in October 2017 following expiration of Glybera’s marketing authorization, we have not generated any royalty revenue from product sales, and do not otherwise anticipate generating revenue from product sales for the foreseeable future, if ever.</w:t>
      </w:r>
    </w:p>
    <w:p>
      <w:pPr>
        <w:spacing w:after="0" w:line="188" w:lineRule="exact"/>
        <w:rPr>
          <w:sz w:val="20"/>
          <w:szCs w:val="20"/>
          <w:color w:val="auto"/>
        </w:rPr>
      </w:pPr>
    </w:p>
    <w:p>
      <w:pPr>
        <w:ind w:right="160" w:firstLine="518"/>
        <w:spacing w:after="0" w:line="258" w:lineRule="auto"/>
        <w:rPr>
          <w:sz w:val="20"/>
          <w:szCs w:val="20"/>
          <w:color w:val="auto"/>
        </w:rPr>
      </w:pPr>
      <w:r>
        <w:rPr>
          <w:rFonts w:ascii="Arial" w:cs="Arial" w:eastAsia="Arial" w:hAnsi="Arial"/>
          <w:sz w:val="18"/>
          <w:szCs w:val="18"/>
          <w:color w:val="auto"/>
        </w:rPr>
        <w:t>The following table is a summary of revenue recognized from our current collaboration agreements for the three and six months ended June 30, 2017 and 2016 (in thousands):</w:t>
      </w:r>
    </w:p>
    <w:tbl>
      <w:tblPr>
        <w:tblLayout w:type="fixed"/>
        <w:tblInd w:w="0" w:type="dxa"/>
        <w:tblCellMar>
          <w:top w:w="0" w:type="dxa"/>
          <w:left w:w="0" w:type="dxa"/>
          <w:bottom w:w="0" w:type="dxa"/>
          <w:right w:w="0" w:type="dxa"/>
        </w:tblCellMar>
      </w:tblPr>
      <w:tr>
        <w:trPr>
          <w:trHeight w:val="141"/>
        </w:trPr>
        <w:tc>
          <w:tcPr>
            <w:tcW w:w="172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00" w:type="dxa"/>
            <w:vAlign w:val="bottom"/>
            <w:gridSpan w:val="6"/>
          </w:tcPr>
          <w:p>
            <w:pPr>
              <w:ind w:left="260"/>
              <w:spacing w:after="0" w:line="141" w:lineRule="exact"/>
              <w:rPr>
                <w:sz w:val="20"/>
                <w:szCs w:val="20"/>
                <w:color w:val="auto"/>
              </w:rPr>
            </w:pPr>
            <w:r>
              <w:rPr>
                <w:rFonts w:ascii="Arial" w:cs="Arial" w:eastAsia="Arial" w:hAnsi="Arial"/>
                <w:sz w:val="14"/>
                <w:szCs w:val="14"/>
                <w:b w:val="1"/>
                <w:bCs w:val="1"/>
                <w:color w:val="auto"/>
              </w:rPr>
              <w:t>Three Months Ended</w:t>
            </w:r>
          </w:p>
        </w:tc>
        <w:tc>
          <w:tcPr>
            <w:tcW w:w="1900" w:type="dxa"/>
            <w:vAlign w:val="bottom"/>
            <w:gridSpan w:val="5"/>
            <w:vMerge w:val="restart"/>
          </w:tcPr>
          <w:p>
            <w:pPr>
              <w:jc w:val="right"/>
              <w:ind w:right="54"/>
              <w:spacing w:after="0"/>
              <w:rPr>
                <w:sz w:val="20"/>
                <w:szCs w:val="20"/>
                <w:color w:val="auto"/>
              </w:rPr>
            </w:pPr>
            <w:r>
              <w:rPr>
                <w:rFonts w:ascii="Arial" w:cs="Arial" w:eastAsia="Arial" w:hAnsi="Arial"/>
                <w:sz w:val="14"/>
                <w:szCs w:val="14"/>
                <w:b w:val="1"/>
                <w:bCs w:val="1"/>
                <w:color w:val="auto"/>
                <w:w w:val="95"/>
              </w:rPr>
              <w:t>Six Months Ended June 30,</w:t>
            </w:r>
          </w:p>
        </w:tc>
        <w:tc>
          <w:tcPr>
            <w:tcW w:w="1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1720" w:type="dxa"/>
            <w:vAlign w:val="bottom"/>
          </w:tcPr>
          <w:p>
            <w:pPr>
              <w:spacing w:after="0"/>
              <w:rPr>
                <w:sz w:val="14"/>
                <w:szCs w:val="14"/>
                <w:color w:val="auto"/>
              </w:rPr>
            </w:pPr>
          </w:p>
        </w:tc>
        <w:tc>
          <w:tcPr>
            <w:tcW w:w="32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20" w:type="dxa"/>
            <w:vAlign w:val="bottom"/>
            <w:gridSpan w:val="3"/>
          </w:tcPr>
          <w:p>
            <w:pPr>
              <w:ind w:left="60"/>
              <w:spacing w:after="0"/>
              <w:rPr>
                <w:sz w:val="20"/>
                <w:szCs w:val="20"/>
                <w:color w:val="auto"/>
              </w:rPr>
            </w:pPr>
            <w:r>
              <w:rPr>
                <w:rFonts w:ascii="Arial" w:cs="Arial" w:eastAsia="Arial" w:hAnsi="Arial"/>
                <w:sz w:val="14"/>
                <w:szCs w:val="14"/>
                <w:b w:val="1"/>
                <w:bCs w:val="1"/>
                <w:color w:val="auto"/>
                <w:w w:val="96"/>
              </w:rPr>
              <w:t>June 30,</w:t>
            </w: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900" w:type="dxa"/>
            <w:vAlign w:val="bottom"/>
            <w:gridSpan w:val="5"/>
            <w:vMerge w:val="continue"/>
          </w:tcPr>
          <w:p>
            <w:pPr>
              <w:spacing w:after="0"/>
              <w:rPr>
                <w:sz w:val="14"/>
                <w:szCs w:val="14"/>
                <w:color w:val="auto"/>
              </w:rPr>
            </w:pPr>
          </w:p>
        </w:tc>
        <w:tc>
          <w:tcPr>
            <w:tcW w:w="1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1720" w:type="dxa"/>
            <w:vAlign w:val="bottom"/>
          </w:tcPr>
          <w:p>
            <w:pPr>
              <w:spacing w:after="0"/>
              <w:rPr>
                <w:sz w:val="13"/>
                <w:szCs w:val="13"/>
                <w:color w:val="auto"/>
              </w:rPr>
            </w:pPr>
          </w:p>
        </w:tc>
        <w:tc>
          <w:tcPr>
            <w:tcW w:w="3200" w:type="dxa"/>
            <w:vAlign w:val="bottom"/>
            <w:tcBorders>
              <w:bottom w:val="single" w:sz="8" w:color="CFF0FC"/>
            </w:tcBorders>
          </w:tcPr>
          <w:p>
            <w:pPr>
              <w:spacing w:after="0"/>
              <w:rPr>
                <w:sz w:val="13"/>
                <w:szCs w:val="13"/>
                <w:color w:val="auto"/>
              </w:rPr>
            </w:pPr>
          </w:p>
        </w:tc>
        <w:tc>
          <w:tcPr>
            <w:tcW w:w="880" w:type="dxa"/>
            <w:vAlign w:val="bottom"/>
            <w:tcBorders>
              <w:bottom w:val="single" w:sz="8" w:color="CFF0FC"/>
            </w:tcBorders>
          </w:tcPr>
          <w:p>
            <w:pPr>
              <w:spacing w:after="0"/>
              <w:rPr>
                <w:sz w:val="13"/>
                <w:szCs w:val="13"/>
                <w:color w:val="auto"/>
              </w:rPr>
            </w:pPr>
          </w:p>
        </w:tc>
        <w:tc>
          <w:tcPr>
            <w:tcW w:w="6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2017</w:t>
            </w:r>
          </w:p>
        </w:tc>
        <w:tc>
          <w:tcPr>
            <w:tcW w:w="240" w:type="dxa"/>
            <w:vAlign w:val="bottom"/>
            <w:tcBorders>
              <w:top w:val="single" w:sz="8" w:color="auto"/>
              <w:bottom w:val="single" w:sz="8" w:color="auto"/>
            </w:tcBorders>
          </w:tcPr>
          <w:p>
            <w:pPr>
              <w:spacing w:after="0"/>
              <w:rPr>
                <w:sz w:val="13"/>
                <w:szCs w:val="13"/>
                <w:color w:val="auto"/>
              </w:rPr>
            </w:pPr>
          </w:p>
        </w:tc>
        <w:tc>
          <w:tcPr>
            <w:tcW w:w="160" w:type="dxa"/>
            <w:vAlign w:val="bottom"/>
            <w:tcBorders>
              <w:top w:val="single" w:sz="8" w:color="auto"/>
              <w:bottom w:val="single" w:sz="8" w:color="CFF0FC"/>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620" w:type="dxa"/>
            <w:vAlign w:val="bottom"/>
            <w:tcBorders>
              <w:top w:val="single" w:sz="8" w:color="auto"/>
              <w:bottom w:val="single" w:sz="8" w:color="auto"/>
            </w:tcBorders>
          </w:tcPr>
          <w:p>
            <w:pPr>
              <w:jc w:val="right"/>
              <w:ind w:right="194"/>
              <w:spacing w:after="0" w:line="155" w:lineRule="exact"/>
              <w:rPr>
                <w:sz w:val="20"/>
                <w:szCs w:val="20"/>
                <w:color w:val="auto"/>
              </w:rPr>
            </w:pPr>
            <w:r>
              <w:rPr>
                <w:rFonts w:ascii="Arial" w:cs="Arial" w:eastAsia="Arial" w:hAnsi="Arial"/>
                <w:sz w:val="14"/>
                <w:szCs w:val="14"/>
                <w:b w:val="1"/>
                <w:bCs w:val="1"/>
                <w:color w:val="auto"/>
              </w:rPr>
              <w:t>2016</w:t>
            </w:r>
          </w:p>
        </w:tc>
        <w:tc>
          <w:tcPr>
            <w:tcW w:w="160" w:type="dxa"/>
            <w:vAlign w:val="bottom"/>
            <w:tcBorders>
              <w:bottom w:val="single" w:sz="8" w:color="CFF0FC"/>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660" w:type="dxa"/>
            <w:vAlign w:val="bottom"/>
            <w:tcBorders>
              <w:top w:val="single" w:sz="8" w:color="auto"/>
              <w:bottom w:val="single" w:sz="8" w:color="auto"/>
            </w:tcBorders>
          </w:tcPr>
          <w:p>
            <w:pPr>
              <w:jc w:val="right"/>
              <w:ind w:right="194"/>
              <w:spacing w:after="0" w:line="155" w:lineRule="exact"/>
              <w:rPr>
                <w:sz w:val="20"/>
                <w:szCs w:val="20"/>
                <w:color w:val="auto"/>
              </w:rPr>
            </w:pPr>
            <w:r>
              <w:rPr>
                <w:rFonts w:ascii="Arial" w:cs="Arial" w:eastAsia="Arial" w:hAnsi="Arial"/>
                <w:sz w:val="14"/>
                <w:szCs w:val="14"/>
                <w:b w:val="1"/>
                <w:bCs w:val="1"/>
                <w:color w:val="auto"/>
              </w:rPr>
              <w:t>2017</w:t>
            </w:r>
          </w:p>
        </w:tc>
        <w:tc>
          <w:tcPr>
            <w:tcW w:w="160" w:type="dxa"/>
            <w:vAlign w:val="bottom"/>
            <w:tcBorders>
              <w:top w:val="single" w:sz="8" w:color="auto"/>
              <w:bottom w:val="single" w:sz="8" w:color="CFF0FC"/>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720" w:type="dxa"/>
            <w:vAlign w:val="bottom"/>
            <w:tcBorders>
              <w:top w:val="single" w:sz="8" w:color="auto"/>
              <w:bottom w:val="single" w:sz="8" w:color="auto"/>
            </w:tcBorders>
          </w:tcPr>
          <w:p>
            <w:pPr>
              <w:jc w:val="right"/>
              <w:ind w:right="254"/>
              <w:spacing w:after="0" w:line="155" w:lineRule="exact"/>
              <w:rPr>
                <w:sz w:val="20"/>
                <w:szCs w:val="20"/>
                <w:color w:val="auto"/>
              </w:rPr>
            </w:pPr>
            <w:r>
              <w:rPr>
                <w:rFonts w:ascii="Arial" w:cs="Arial" w:eastAsia="Arial" w:hAnsi="Arial"/>
                <w:sz w:val="14"/>
                <w:szCs w:val="14"/>
                <w:b w:val="1"/>
                <w:bCs w:val="1"/>
                <w:color w:val="auto"/>
              </w:rPr>
              <w:t>2016</w:t>
            </w:r>
          </w:p>
        </w:tc>
        <w:tc>
          <w:tcPr>
            <w:tcW w:w="1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1720" w:type="dxa"/>
            <w:vAlign w:val="bottom"/>
          </w:tcPr>
          <w:p>
            <w:pPr>
              <w:spacing w:after="0"/>
              <w:rPr>
                <w:sz w:val="19"/>
                <w:szCs w:val="19"/>
                <w:color w:val="auto"/>
              </w:rPr>
            </w:pPr>
          </w:p>
        </w:tc>
        <w:tc>
          <w:tcPr>
            <w:tcW w:w="3200" w:type="dxa"/>
            <w:vAlign w:val="bottom"/>
            <w:shd w:val="clear" w:color="auto" w:fill="CFF0FC"/>
          </w:tcPr>
          <w:p>
            <w:pPr>
              <w:spacing w:after="0"/>
              <w:rPr>
                <w:sz w:val="20"/>
                <w:szCs w:val="20"/>
                <w:color w:val="auto"/>
              </w:rPr>
            </w:pPr>
            <w:r>
              <w:rPr>
                <w:rFonts w:ascii="Arial" w:cs="Arial" w:eastAsia="Arial" w:hAnsi="Arial"/>
                <w:sz w:val="18"/>
                <w:szCs w:val="18"/>
                <w:color w:val="auto"/>
              </w:rPr>
              <w:t>Teva:</w:t>
            </w:r>
          </w:p>
        </w:tc>
        <w:tc>
          <w:tcPr>
            <w:tcW w:w="88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20" w:type="dxa"/>
            <w:vAlign w:val="bottom"/>
            <w:tcBorders>
              <w:right w:val="single" w:sz="8" w:color="CFF0FC"/>
            </w:tcBorders>
            <w:shd w:val="clear" w:color="auto" w:fill="CFF0FC"/>
          </w:tcPr>
          <w:p>
            <w:pPr>
              <w:spacing w:after="0"/>
              <w:rPr>
                <w:sz w:val="19"/>
                <w:szCs w:val="19"/>
                <w:color w:val="auto"/>
              </w:rPr>
            </w:pP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3200" w:type="dxa"/>
            <w:vAlign w:val="bottom"/>
          </w:tcPr>
          <w:p>
            <w:pPr>
              <w:ind w:left="240"/>
              <w:spacing w:after="0"/>
              <w:rPr>
                <w:sz w:val="20"/>
                <w:szCs w:val="20"/>
                <w:color w:val="auto"/>
              </w:rPr>
            </w:pPr>
            <w:r>
              <w:rPr>
                <w:rFonts w:ascii="Arial" w:cs="Arial" w:eastAsia="Arial" w:hAnsi="Arial"/>
                <w:sz w:val="18"/>
                <w:szCs w:val="18"/>
                <w:color w:val="auto"/>
              </w:rPr>
              <w:t>Research funding</w:t>
            </w:r>
          </w:p>
        </w:tc>
        <w:tc>
          <w:tcPr>
            <w:tcW w:w="1480" w:type="dxa"/>
            <w:vAlign w:val="bottom"/>
            <w:gridSpan w:val="2"/>
          </w:tcPr>
          <w:p>
            <w:pPr>
              <w:jc w:val="right"/>
              <w:ind w:right="422"/>
              <w:spacing w:after="0"/>
              <w:rPr>
                <w:sz w:val="20"/>
                <w:szCs w:val="20"/>
                <w:color w:val="auto"/>
              </w:rPr>
            </w:pPr>
            <w:r>
              <w:rPr>
                <w:rFonts w:ascii="Arial" w:cs="Arial" w:eastAsia="Arial" w:hAnsi="Arial"/>
                <w:sz w:val="18"/>
                <w:szCs w:val="18"/>
                <w:color w:val="auto"/>
              </w:rPr>
              <w:t>$</w:t>
            </w:r>
          </w:p>
        </w:tc>
        <w:tc>
          <w:tcPr>
            <w:tcW w:w="240" w:type="dxa"/>
            <w:vAlign w:val="bottom"/>
          </w:tcPr>
          <w:p>
            <w:pPr>
              <w:ind w:left="40"/>
              <w:spacing w:after="0"/>
              <w:rPr>
                <w:sz w:val="20"/>
                <w:szCs w:val="20"/>
                <w:color w:val="auto"/>
              </w:rPr>
            </w:pPr>
            <w:r>
              <w:rPr>
                <w:rFonts w:ascii="Arial" w:cs="Arial" w:eastAsia="Arial" w:hAnsi="Arial"/>
                <w:sz w:val="18"/>
                <w:szCs w:val="18"/>
                <w:color w:val="auto"/>
                <w:w w:val="89"/>
              </w:rPr>
              <w:t>15</w:t>
            </w:r>
          </w:p>
        </w:tc>
        <w:tc>
          <w:tcPr>
            <w:tcW w:w="16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29</w:t>
            </w:r>
          </w:p>
        </w:tc>
        <w:tc>
          <w:tcPr>
            <w:tcW w:w="16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30</w:t>
            </w:r>
          </w:p>
        </w:tc>
        <w:tc>
          <w:tcPr>
            <w:tcW w:w="16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58</w:t>
            </w: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3200" w:type="dxa"/>
            <w:vAlign w:val="bottom"/>
            <w:shd w:val="clear" w:color="auto" w:fill="CFF0FC"/>
          </w:tcPr>
          <w:p>
            <w:pPr>
              <w:spacing w:after="0"/>
              <w:rPr>
                <w:sz w:val="20"/>
                <w:szCs w:val="20"/>
                <w:color w:val="auto"/>
              </w:rPr>
            </w:pPr>
            <w:r>
              <w:rPr>
                <w:rFonts w:ascii="Arial" w:cs="Arial" w:eastAsia="Arial" w:hAnsi="Arial"/>
                <w:sz w:val="18"/>
                <w:szCs w:val="18"/>
                <w:color w:val="auto"/>
              </w:rPr>
              <w:t>Genentech:</w:t>
            </w:r>
          </w:p>
        </w:tc>
        <w:tc>
          <w:tcPr>
            <w:tcW w:w="88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20" w:type="dxa"/>
            <w:vAlign w:val="bottom"/>
            <w:tcBorders>
              <w:right w:val="single" w:sz="8" w:color="CFF0FC"/>
            </w:tcBorders>
            <w:shd w:val="clear" w:color="auto" w:fill="CFF0FC"/>
          </w:tcPr>
          <w:p>
            <w:pPr>
              <w:spacing w:after="0"/>
              <w:rPr>
                <w:sz w:val="19"/>
                <w:szCs w:val="19"/>
                <w:color w:val="auto"/>
              </w:rPr>
            </w:pP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3200" w:type="dxa"/>
            <w:vAlign w:val="bottom"/>
          </w:tcPr>
          <w:p>
            <w:pPr>
              <w:ind w:left="240"/>
              <w:spacing w:after="0"/>
              <w:rPr>
                <w:sz w:val="20"/>
                <w:szCs w:val="20"/>
                <w:color w:val="auto"/>
              </w:rPr>
            </w:pPr>
            <w:r>
              <w:rPr>
                <w:rFonts w:ascii="Arial" w:cs="Arial" w:eastAsia="Arial" w:hAnsi="Arial"/>
                <w:sz w:val="18"/>
                <w:szCs w:val="18"/>
                <w:color w:val="auto"/>
              </w:rPr>
              <w:t>Recognition of upfront payment</w:t>
            </w:r>
          </w:p>
        </w:tc>
        <w:tc>
          <w:tcPr>
            <w:tcW w:w="8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0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157</w:t>
            </w: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32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Research funding</w:t>
            </w:r>
          </w:p>
        </w:tc>
        <w:tc>
          <w:tcPr>
            <w:tcW w:w="88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400" w:type="dxa"/>
            <w:vAlign w:val="bottom"/>
            <w:gridSpan w:val="2"/>
            <w:shd w:val="clear" w:color="auto" w:fill="CFF0FC"/>
          </w:tcPr>
          <w:p>
            <w:pPr>
              <w:ind w:left="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383</w:t>
            </w:r>
          </w:p>
        </w:tc>
        <w:tc>
          <w:tcPr>
            <w:tcW w:w="1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72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766</w:t>
            </w: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920" w:type="dxa"/>
            <w:vAlign w:val="bottom"/>
            <w:gridSpan w:val="2"/>
          </w:tcPr>
          <w:p>
            <w:pPr>
              <w:ind w:left="1720"/>
              <w:spacing w:after="0"/>
              <w:rPr>
                <w:sz w:val="20"/>
                <w:szCs w:val="20"/>
                <w:color w:val="auto"/>
              </w:rPr>
            </w:pPr>
            <w:r>
              <w:rPr>
                <w:rFonts w:ascii="Arial" w:cs="Arial" w:eastAsia="Arial" w:hAnsi="Arial"/>
                <w:sz w:val="18"/>
                <w:szCs w:val="18"/>
                <w:color w:val="auto"/>
              </w:rPr>
              <w:t>Total collaboration revenue</w:t>
            </w:r>
          </w:p>
        </w:tc>
        <w:tc>
          <w:tcPr>
            <w:tcW w:w="880" w:type="dxa"/>
            <w:vAlign w:val="bottom"/>
          </w:tcPr>
          <w:p>
            <w:pPr>
              <w:spacing w:after="0"/>
              <w:rPr>
                <w:sz w:val="19"/>
                <w:szCs w:val="19"/>
                <w:color w:val="auto"/>
              </w:rPr>
            </w:pPr>
          </w:p>
        </w:tc>
        <w:tc>
          <w:tcPr>
            <w:tcW w:w="600" w:type="dxa"/>
            <w:vAlign w:val="bottom"/>
            <w:tcBorders>
              <w:top w:val="single" w:sz="8" w:color="auto"/>
              <w:bottom w:val="single" w:sz="8" w:color="auto"/>
            </w:tcBorders>
          </w:tcPr>
          <w:p>
            <w:pPr>
              <w:jc w:val="right"/>
              <w:ind w:right="422"/>
              <w:spacing w:after="0"/>
              <w:rPr>
                <w:sz w:val="20"/>
                <w:szCs w:val="20"/>
                <w:color w:val="auto"/>
              </w:rPr>
            </w:pPr>
            <w:r>
              <w:rPr>
                <w:rFonts w:ascii="Arial" w:cs="Arial" w:eastAsia="Arial" w:hAnsi="Arial"/>
                <w:sz w:val="18"/>
                <w:szCs w:val="18"/>
                <w:color w:val="auto"/>
                <w:w w:val="79"/>
              </w:rPr>
              <w:t>$</w:t>
            </w:r>
          </w:p>
        </w:tc>
        <w:tc>
          <w:tcPr>
            <w:tcW w:w="24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8"/>
                <w:szCs w:val="18"/>
                <w:color w:val="auto"/>
                <w:w w:val="89"/>
              </w:rPr>
              <w:t>15</w:t>
            </w:r>
          </w:p>
        </w:tc>
        <w:tc>
          <w:tcPr>
            <w:tcW w:w="16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412</w:t>
            </w:r>
          </w:p>
        </w:tc>
        <w:tc>
          <w:tcPr>
            <w:tcW w:w="16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w:t>
            </w:r>
          </w:p>
        </w:tc>
        <w:tc>
          <w:tcPr>
            <w:tcW w:w="16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981</w:t>
            </w: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172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1480" w:type="dxa"/>
            <w:vAlign w:val="bottom"/>
            <w:gridSpan w:val="2"/>
          </w:tcPr>
          <w:p>
            <w:pPr>
              <w:jc w:val="right"/>
              <w:ind w:right="462"/>
              <w:spacing w:after="0"/>
              <w:rPr>
                <w:sz w:val="20"/>
                <w:szCs w:val="20"/>
                <w:color w:val="auto"/>
              </w:rPr>
            </w:pPr>
            <w:r>
              <w:rPr>
                <w:rFonts w:ascii="Arial" w:cs="Arial" w:eastAsia="Arial" w:hAnsi="Arial"/>
                <w:sz w:val="18"/>
                <w:szCs w:val="18"/>
                <w:color w:val="auto"/>
              </w:rPr>
              <w:t>-12-</w:t>
            </w: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720" w:type="dxa"/>
            <w:vAlign w:val="bottom"/>
            <w:tcBorders>
              <w:bottom w:val="single" w:sz="8" w:color="9A9A9A"/>
            </w:tcBorders>
          </w:tcPr>
          <w:p>
            <w:pPr>
              <w:spacing w:after="0"/>
              <w:rPr>
                <w:sz w:val="10"/>
                <w:szCs w:val="10"/>
                <w:color w:val="auto"/>
              </w:rPr>
            </w:pPr>
          </w:p>
        </w:tc>
        <w:tc>
          <w:tcPr>
            <w:tcW w:w="320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66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17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247" w:right="219" w:bottom="1440" w:gutter="0" w:footer="0" w:header="0"/>
        </w:sectPr>
      </w:pPr>
    </w:p>
    <w:bookmarkStart w:id="14" w:name="page15"/>
    <w:bookmarkEnd w:id="14"/>
    <w:p>
      <w:pPr>
        <w:ind w:right="100" w:firstLine="518"/>
        <w:spacing w:after="0" w:line="312" w:lineRule="auto"/>
        <w:rPr>
          <w:sz w:val="20"/>
          <w:szCs w:val="20"/>
          <w:color w:val="auto"/>
        </w:rPr>
      </w:pPr>
      <w:r>
        <w:rPr>
          <w:rFonts w:ascii="Arial" w:cs="Arial" w:eastAsia="Arial" w:hAnsi="Arial"/>
          <w:sz w:val="16"/>
          <w:szCs w:val="16"/>
          <w:color w:val="auto"/>
        </w:rPr>
        <w:t>Pursuant to the terms of our March 2014 genetics collaborative agreement with Genentech, we received an upfront payment of $1.5 million. We determined that the various deliverables under this agreement should be considered as a single unit of accounting. As such, the $1.5 million upfront payment was recognized as revenue ratably over the expected period of research performance, which was the two-year period from March 2014 to March 2016.</w:t>
      </w:r>
    </w:p>
    <w:p>
      <w:pPr>
        <w:spacing w:after="0" w:line="147" w:lineRule="exact"/>
        <w:rPr>
          <w:sz w:val="20"/>
          <w:szCs w:val="20"/>
          <w:color w:val="auto"/>
        </w:rPr>
      </w:pPr>
    </w:p>
    <w:p>
      <w:pPr>
        <w:ind w:right="20" w:firstLine="518"/>
        <w:spacing w:after="0" w:line="255" w:lineRule="auto"/>
        <w:rPr>
          <w:sz w:val="20"/>
          <w:szCs w:val="20"/>
          <w:color w:val="auto"/>
        </w:rPr>
      </w:pPr>
      <w:r>
        <w:rPr>
          <w:rFonts w:ascii="Arial" w:cs="Arial" w:eastAsia="Arial" w:hAnsi="Arial"/>
          <w:sz w:val="18"/>
          <w:szCs w:val="18"/>
          <w:color w:val="auto"/>
        </w:rPr>
        <w:t>As our other internal and partnered products are in various stages of clinical and preclinical development, we do not expect to generate any revenue from product sales other than from royalties related to our agreement with uniQure, which have not been significant to date and which we expect will cease in October 2017 following expiration of Glybera’s marketing authorization, for at least the next several years. We expect that revenue for the next several years will be derived from milestone payments under our current collaboration agreements and any additional collaboration agreements that we may enter into in the future. We cannot provide any assurance as to the extent or timing of future milestone payments or royalty payments or that we will receive any future payments at all.</w:t>
      </w:r>
    </w:p>
    <w:p>
      <w:pPr>
        <w:spacing w:after="0" w:line="193" w:lineRule="exact"/>
        <w:rPr>
          <w:sz w:val="20"/>
          <w:szCs w:val="20"/>
          <w:color w:val="auto"/>
        </w:rPr>
      </w:pPr>
    </w:p>
    <w:p>
      <w:pPr>
        <w:jc w:val="both"/>
        <w:ind w:firstLine="518"/>
        <w:spacing w:after="0" w:line="277" w:lineRule="auto"/>
        <w:rPr>
          <w:sz w:val="20"/>
          <w:szCs w:val="20"/>
          <w:color w:val="auto"/>
        </w:rPr>
      </w:pPr>
      <w:r>
        <w:rPr>
          <w:rFonts w:ascii="Arial" w:cs="Arial" w:eastAsia="Arial" w:hAnsi="Arial"/>
          <w:sz w:val="18"/>
          <w:szCs w:val="18"/>
          <w:color w:val="auto"/>
        </w:rPr>
        <w:t>We expect that any revenue we generate will fluctuate quarter to quarter as a function of the timing and amount of milestones and other payments from our existing collaborations and any future collaborations.</w:t>
      </w:r>
    </w:p>
    <w:p>
      <w:pPr>
        <w:spacing w:after="0" w:line="170" w:lineRule="exact"/>
        <w:rPr>
          <w:sz w:val="20"/>
          <w:szCs w:val="20"/>
          <w:color w:val="auto"/>
        </w:rPr>
      </w:pPr>
    </w:p>
    <w:p>
      <w:pPr>
        <w:ind w:right="720" w:firstLine="518"/>
        <w:spacing w:after="0" w:line="277" w:lineRule="auto"/>
        <w:rPr>
          <w:sz w:val="20"/>
          <w:szCs w:val="20"/>
          <w:color w:val="auto"/>
        </w:rPr>
      </w:pPr>
      <w:r>
        <w:rPr>
          <w:rFonts w:ascii="Arial" w:cs="Arial" w:eastAsia="Arial" w:hAnsi="Arial"/>
          <w:sz w:val="18"/>
          <w:szCs w:val="18"/>
          <w:color w:val="auto"/>
        </w:rPr>
        <w:t>As of June 30, 2017, we have recognized all deferred revenue from upfront payments received under our existing collaboration and licensing agreements.</w:t>
      </w:r>
    </w:p>
    <w:p>
      <w:pPr>
        <w:spacing w:after="0" w:line="27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our operating expenses for the three and six months ended June 30, 2017 and 2016 (in thousands):</w:t>
      </w:r>
    </w:p>
    <w:p>
      <w:pPr>
        <w:spacing w:after="0" w:line="2"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40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20" w:type="dxa"/>
            <w:vAlign w:val="bottom"/>
            <w:gridSpan w:val="5"/>
          </w:tcPr>
          <w:p>
            <w:pPr>
              <w:ind w:left="80"/>
              <w:spacing w:after="0"/>
              <w:rPr>
                <w:sz w:val="20"/>
                <w:szCs w:val="20"/>
                <w:color w:val="auto"/>
              </w:rPr>
            </w:pPr>
            <w:r>
              <w:rPr>
                <w:rFonts w:ascii="Arial" w:cs="Arial" w:eastAsia="Arial" w:hAnsi="Arial"/>
                <w:sz w:val="14"/>
                <w:szCs w:val="14"/>
                <w:b w:val="1"/>
                <w:bCs w:val="1"/>
                <w:color w:val="auto"/>
              </w:rPr>
              <w:t>Three Months Ended</w:t>
            </w:r>
          </w:p>
        </w:tc>
        <w:tc>
          <w:tcPr>
            <w:tcW w:w="1900" w:type="dxa"/>
            <w:vAlign w:val="bottom"/>
            <w:gridSpan w:val="6"/>
            <w:vMerge w:val="restart"/>
          </w:tcPr>
          <w:p>
            <w:pPr>
              <w:ind w:left="80"/>
              <w:spacing w:after="0"/>
              <w:rPr>
                <w:sz w:val="20"/>
                <w:szCs w:val="20"/>
                <w:color w:val="auto"/>
              </w:rPr>
            </w:pPr>
            <w:r>
              <w:rPr>
                <w:rFonts w:ascii="Arial" w:cs="Arial" w:eastAsia="Arial" w:hAnsi="Arial"/>
                <w:sz w:val="14"/>
                <w:szCs w:val="14"/>
                <w:b w:val="1"/>
                <w:bCs w:val="1"/>
                <w:color w:val="auto"/>
                <w:w w:val="99"/>
              </w:rPr>
              <w:t>Six Months Ended June 30,</w:t>
            </w:r>
          </w:p>
        </w:tc>
        <w:tc>
          <w:tcPr>
            <w:tcW w:w="0" w:type="dxa"/>
            <w:vAlign w:val="bottom"/>
          </w:tcPr>
          <w:p>
            <w:pPr>
              <w:spacing w:after="0"/>
              <w:rPr>
                <w:sz w:val="1"/>
                <w:szCs w:val="1"/>
                <w:color w:val="auto"/>
              </w:rPr>
            </w:pPr>
          </w:p>
        </w:tc>
      </w:tr>
      <w:tr>
        <w:trPr>
          <w:trHeight w:val="171"/>
        </w:trPr>
        <w:tc>
          <w:tcPr>
            <w:tcW w:w="40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900" w:type="dxa"/>
            <w:vAlign w:val="bottom"/>
            <w:gridSpan w:val="6"/>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4080" w:type="dxa"/>
            <w:vAlign w:val="bottom"/>
            <w:tcBorders>
              <w:bottom w:val="single" w:sz="8" w:color="CFF0FC"/>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660" w:type="dxa"/>
            <w:vAlign w:val="bottom"/>
            <w:tcBorders>
              <w:top w:val="single" w:sz="8" w:color="auto"/>
              <w:bottom w:val="single" w:sz="8" w:color="auto"/>
            </w:tcBorders>
          </w:tcPr>
          <w:p>
            <w:pPr>
              <w:jc w:val="right"/>
              <w:ind w:right="199"/>
              <w:spacing w:after="0" w:line="155" w:lineRule="exact"/>
              <w:rPr>
                <w:sz w:val="20"/>
                <w:szCs w:val="20"/>
                <w:color w:val="auto"/>
              </w:rPr>
            </w:pPr>
            <w:r>
              <w:rPr>
                <w:rFonts w:ascii="Arial" w:cs="Arial" w:eastAsia="Arial" w:hAnsi="Arial"/>
                <w:sz w:val="14"/>
                <w:szCs w:val="14"/>
                <w:b w:val="1"/>
                <w:bCs w:val="1"/>
                <w:color w:val="auto"/>
              </w:rPr>
              <w:t>2017</w:t>
            </w:r>
          </w:p>
        </w:tc>
        <w:tc>
          <w:tcPr>
            <w:tcW w:w="160" w:type="dxa"/>
            <w:vAlign w:val="bottom"/>
            <w:tcBorders>
              <w:top w:val="single" w:sz="8" w:color="auto"/>
              <w:bottom w:val="single" w:sz="8" w:color="CFF0FC"/>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620" w:type="dxa"/>
            <w:vAlign w:val="bottom"/>
            <w:tcBorders>
              <w:top w:val="single" w:sz="8" w:color="auto"/>
              <w:bottom w:val="single" w:sz="8" w:color="auto"/>
            </w:tcBorders>
          </w:tcPr>
          <w:p>
            <w:pPr>
              <w:jc w:val="right"/>
              <w:ind w:right="194"/>
              <w:spacing w:after="0" w:line="155" w:lineRule="exact"/>
              <w:rPr>
                <w:sz w:val="20"/>
                <w:szCs w:val="20"/>
                <w:color w:val="auto"/>
              </w:rPr>
            </w:pPr>
            <w:r>
              <w:rPr>
                <w:rFonts w:ascii="Arial" w:cs="Arial" w:eastAsia="Arial" w:hAnsi="Arial"/>
                <w:sz w:val="14"/>
                <w:szCs w:val="14"/>
                <w:b w:val="1"/>
                <w:bCs w:val="1"/>
                <w:color w:val="auto"/>
              </w:rPr>
              <w:t>2016</w:t>
            </w:r>
          </w:p>
        </w:tc>
        <w:tc>
          <w:tcPr>
            <w:tcW w:w="160" w:type="dxa"/>
            <w:vAlign w:val="bottom"/>
            <w:tcBorders>
              <w:bottom w:val="single" w:sz="8" w:color="CFF0FC"/>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660" w:type="dxa"/>
            <w:vAlign w:val="bottom"/>
            <w:tcBorders>
              <w:top w:val="single" w:sz="8" w:color="auto"/>
              <w:bottom w:val="single" w:sz="8" w:color="auto"/>
            </w:tcBorders>
          </w:tcPr>
          <w:p>
            <w:pPr>
              <w:jc w:val="right"/>
              <w:ind w:right="194"/>
              <w:spacing w:after="0" w:line="155" w:lineRule="exact"/>
              <w:rPr>
                <w:sz w:val="20"/>
                <w:szCs w:val="20"/>
                <w:color w:val="auto"/>
              </w:rPr>
            </w:pPr>
            <w:r>
              <w:rPr>
                <w:rFonts w:ascii="Arial" w:cs="Arial" w:eastAsia="Arial" w:hAnsi="Arial"/>
                <w:sz w:val="14"/>
                <w:szCs w:val="14"/>
                <w:b w:val="1"/>
                <w:bCs w:val="1"/>
                <w:color w:val="auto"/>
              </w:rPr>
              <w:t>2017</w:t>
            </w:r>
          </w:p>
        </w:tc>
        <w:tc>
          <w:tcPr>
            <w:tcW w:w="160" w:type="dxa"/>
            <w:vAlign w:val="bottom"/>
            <w:tcBorders>
              <w:top w:val="single" w:sz="8" w:color="auto"/>
              <w:bottom w:val="single" w:sz="8" w:color="CFF0FC"/>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660" w:type="dxa"/>
            <w:vAlign w:val="bottom"/>
            <w:tcBorders>
              <w:top w:val="single" w:sz="8" w:color="auto"/>
              <w:bottom w:val="single" w:sz="8" w:color="auto"/>
            </w:tcBorders>
          </w:tcPr>
          <w:p>
            <w:pPr>
              <w:jc w:val="right"/>
              <w:ind w:right="194"/>
              <w:spacing w:after="0" w:line="155" w:lineRule="exact"/>
              <w:rPr>
                <w:sz w:val="20"/>
                <w:szCs w:val="20"/>
                <w:color w:val="auto"/>
              </w:rPr>
            </w:pPr>
            <w:r>
              <w:rPr>
                <w:rFonts w:ascii="Arial" w:cs="Arial" w:eastAsia="Arial" w:hAnsi="Arial"/>
                <w:sz w:val="14"/>
                <w:szCs w:val="14"/>
                <w:b w:val="1"/>
                <w:bCs w:val="1"/>
                <w:color w:val="auto"/>
              </w:rPr>
              <w:t>2016</w:t>
            </w:r>
          </w:p>
        </w:tc>
        <w:tc>
          <w:tcPr>
            <w:tcW w:w="6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4080" w:type="dxa"/>
            <w:vAlign w:val="bottom"/>
            <w:shd w:val="clear" w:color="auto" w:fill="CFF0FC"/>
          </w:tcPr>
          <w:p>
            <w:pPr>
              <w:spacing w:after="0"/>
              <w:rPr>
                <w:sz w:val="20"/>
                <w:szCs w:val="20"/>
                <w:color w:val="auto"/>
              </w:rPr>
            </w:pPr>
            <w:r>
              <w:rPr>
                <w:rFonts w:ascii="Arial" w:cs="Arial" w:eastAsia="Arial" w:hAnsi="Arial"/>
                <w:sz w:val="18"/>
                <w:szCs w:val="18"/>
                <w:color w:val="auto"/>
              </w:rPr>
              <w:t>Research and development</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6,109</w:t>
            </w:r>
          </w:p>
        </w:tc>
        <w:tc>
          <w:tcPr>
            <w:tcW w:w="16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5,103</w:t>
            </w:r>
          </w:p>
        </w:tc>
        <w:tc>
          <w:tcPr>
            <w:tcW w:w="16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12,012</w:t>
            </w:r>
          </w:p>
        </w:tc>
        <w:tc>
          <w:tcPr>
            <w:tcW w:w="16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9,467</w:t>
            </w: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General and administrative</w:t>
            </w: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1,799</w:t>
            </w:r>
          </w:p>
        </w:tc>
        <w:tc>
          <w:tcPr>
            <w:tcW w:w="16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1,676</w:t>
            </w:r>
          </w:p>
        </w:tc>
        <w:tc>
          <w:tcPr>
            <w:tcW w:w="16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3,899</w:t>
            </w:r>
          </w:p>
        </w:tc>
        <w:tc>
          <w:tcPr>
            <w:tcW w:w="16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3,571</w:t>
            </w:r>
          </w:p>
        </w:tc>
        <w:tc>
          <w:tcPr>
            <w:tcW w:w="6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80" w:type="dxa"/>
            <w:vAlign w:val="bottom"/>
            <w:tcBorders>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Total operating expenses</w:t>
            </w: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7,908</w:t>
            </w:r>
          </w:p>
        </w:tc>
        <w:tc>
          <w:tcPr>
            <w:tcW w:w="16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6,779</w:t>
            </w:r>
          </w:p>
        </w:tc>
        <w:tc>
          <w:tcPr>
            <w:tcW w:w="16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15,911</w:t>
            </w:r>
          </w:p>
        </w:tc>
        <w:tc>
          <w:tcPr>
            <w:tcW w:w="16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13,038</w:t>
            </w:r>
          </w:p>
        </w:tc>
        <w:tc>
          <w:tcPr>
            <w:tcW w:w="6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117" w:lineRule="exact"/>
        <w:rPr>
          <w:sz w:val="20"/>
          <w:szCs w:val="20"/>
          <w:color w:val="auto"/>
        </w:rPr>
      </w:pPr>
    </w:p>
    <w:p>
      <w:pPr>
        <w:jc w:val="both"/>
        <w:ind w:firstLine="518"/>
        <w:spacing w:after="0" w:line="264" w:lineRule="auto"/>
        <w:rPr>
          <w:sz w:val="20"/>
          <w:szCs w:val="20"/>
          <w:color w:val="auto"/>
        </w:rPr>
      </w:pPr>
      <w:r>
        <w:rPr>
          <w:rFonts w:ascii="Arial" w:cs="Arial" w:eastAsia="Arial" w:hAnsi="Arial"/>
          <w:sz w:val="18"/>
          <w:szCs w:val="18"/>
          <w:color w:val="auto"/>
        </w:rPr>
        <w:t>Research and development expenses represent costs incurred to conduct research and development of our proprietary product candidates including any acquired or in-licensed product candidates or technology, as well as to support research and development of our product candidates in collaboration with Teva and Genentech.</w:t>
      </w:r>
    </w:p>
    <w:p>
      <w:pPr>
        <w:spacing w:after="0" w:line="181" w:lineRule="exact"/>
        <w:rPr>
          <w:sz w:val="20"/>
          <w:szCs w:val="20"/>
          <w:color w:val="auto"/>
        </w:rPr>
      </w:pPr>
    </w:p>
    <w:p>
      <w:pPr>
        <w:ind w:right="60" w:firstLine="518"/>
        <w:spacing w:after="0" w:line="259" w:lineRule="auto"/>
        <w:rPr>
          <w:sz w:val="20"/>
          <w:szCs w:val="20"/>
          <w:color w:val="auto"/>
        </w:rPr>
      </w:pPr>
      <w:r>
        <w:rPr>
          <w:rFonts w:ascii="Arial" w:cs="Arial" w:eastAsia="Arial" w:hAnsi="Arial"/>
          <w:sz w:val="18"/>
          <w:szCs w:val="18"/>
          <w:color w:val="auto"/>
        </w:rPr>
        <w:t>Research and development expenses consist of costs incurred in performing research and development activities, including salary, related benefits and stock-based compensation for employees engaged in scientific research and development, third-party contract costs relating to research, formulation, manufacturing, preclinical studies and clinical trial activities, third-party acquisition, license and collaboration fees, laboratory consumables and allocated facility-related and information technology costs.</w:t>
      </w:r>
    </w:p>
    <w:p>
      <w:pPr>
        <w:spacing w:after="0" w:line="187" w:lineRule="exact"/>
        <w:rPr>
          <w:sz w:val="20"/>
          <w:szCs w:val="20"/>
          <w:color w:val="auto"/>
        </w:rPr>
      </w:pPr>
    </w:p>
    <w:p>
      <w:pPr>
        <w:ind w:right="160" w:firstLine="518"/>
        <w:spacing w:after="0" w:line="255" w:lineRule="auto"/>
        <w:rPr>
          <w:sz w:val="20"/>
          <w:szCs w:val="20"/>
          <w:color w:val="auto"/>
        </w:rPr>
      </w:pPr>
      <w:r>
        <w:rPr>
          <w:rFonts w:ascii="Arial" w:cs="Arial" w:eastAsia="Arial" w:hAnsi="Arial"/>
          <w:sz w:val="18"/>
          <w:szCs w:val="18"/>
          <w:color w:val="auto"/>
        </w:rPr>
        <w:t>Project-specific expenses reflect costs directly attributable to our clinical development candidates and our preclinical candidates once nominated and selected for further development including preclinical and discovery costs supporting a development candidate. All remaining research and development expenses are reflected in preclinical and discovery program expenses. At any given time, we have several active early-stage research and drug discovery programs. Our personnel and infrastructure are typically deployed over multiple projects and are not directly linked to any individual internal early-stage research or drug discovery program. Therefore, we do not maintain financial information for our internal early-stage research and internal drug discovery programs on a project-specific basis.</w:t>
      </w:r>
    </w:p>
    <w:p>
      <w:pPr>
        <w:spacing w:after="0" w:line="193" w:lineRule="exact"/>
        <w:rPr>
          <w:sz w:val="20"/>
          <w:szCs w:val="20"/>
          <w:color w:val="auto"/>
        </w:rPr>
      </w:pPr>
    </w:p>
    <w:p>
      <w:pPr>
        <w:ind w:right="220" w:firstLine="518"/>
        <w:spacing w:after="0" w:line="302" w:lineRule="auto"/>
        <w:rPr>
          <w:sz w:val="20"/>
          <w:szCs w:val="20"/>
          <w:color w:val="auto"/>
        </w:rPr>
      </w:pPr>
      <w:r>
        <w:rPr>
          <w:rFonts w:ascii="Arial" w:cs="Arial" w:eastAsia="Arial" w:hAnsi="Arial"/>
          <w:sz w:val="16"/>
          <w:szCs w:val="16"/>
          <w:color w:val="auto"/>
        </w:rPr>
        <w:t>We expense all research and development costs as incurred. We expect that our research and development expenses will increase in the future as we advance our proprietary product candidates through clinical development, advance our internal drug discovery programs into preclinical development and continue our early-stage research. The increase in expense will likely include added personnel and third-party contracts related to research, formulation, manufacturing, preclinical studies and clinical trial activities as well as third-party acquisition, license and collaboration fees and laboratory consumables.</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55" w:right="259" w:bottom="1440" w:gutter="0" w:footer="0" w:header="0"/>
        </w:sectPr>
      </w:pPr>
    </w:p>
    <w:bookmarkStart w:id="15" w:name="page16"/>
    <w:bookmarkEnd w:id="15"/>
    <w:p>
      <w:pPr>
        <w:ind w:right="20" w:firstLine="518"/>
        <w:spacing w:after="0" w:line="302" w:lineRule="auto"/>
        <w:rPr>
          <w:sz w:val="20"/>
          <w:szCs w:val="20"/>
          <w:color w:val="auto"/>
        </w:rPr>
      </w:pPr>
      <w:r>
        <w:rPr>
          <w:rFonts w:ascii="Arial" w:cs="Arial" w:eastAsia="Arial" w:hAnsi="Arial"/>
          <w:sz w:val="16"/>
          <w:szCs w:val="16"/>
          <w:color w:val="auto"/>
        </w:rPr>
        <w:t>Clinical development timelines, likelihood of regulatory approval and commercialization and associated costs are uncertain and difficult to estimate and can vary significantly. We anticipate determining which research and development projects to pursue as well as the level of funding available for each project based on the scientific research and preclinical and clinical results of each product candidate and related regulatory action. We expect our research and development expenses to continue to represent our largest category of operating expense for at least the next 12 to 24 months.</w:t>
      </w:r>
    </w:p>
    <w:p>
      <w:pPr>
        <w:spacing w:after="0" w:line="262"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117" w:lineRule="exact"/>
        <w:rPr>
          <w:sz w:val="20"/>
          <w:szCs w:val="20"/>
          <w:color w:val="auto"/>
        </w:rPr>
      </w:pPr>
    </w:p>
    <w:p>
      <w:pPr>
        <w:ind w:right="340" w:firstLine="518"/>
        <w:spacing w:after="0" w:line="257" w:lineRule="auto"/>
        <w:rPr>
          <w:sz w:val="20"/>
          <w:szCs w:val="20"/>
          <w:color w:val="auto"/>
        </w:rPr>
      </w:pPr>
      <w:r>
        <w:rPr>
          <w:rFonts w:ascii="Arial" w:cs="Arial" w:eastAsia="Arial" w:hAnsi="Arial"/>
          <w:sz w:val="18"/>
          <w:szCs w:val="18"/>
          <w:color w:val="auto"/>
        </w:rPr>
        <w:t>General and administrative expenses consist primarily of salary, related benefits and stock-based compensation of our executive, finance, legal, business development and administrative functions, travel expenses, allocated facility-related and information technology costs not otherwise included in research and development expenses, director compensation, director’s and officer’s insurance premiums, investor relations costs and professional fees for auditing, tax and legal services, including legal expenses for intellectual property protection. General and administrative expenses also include fair value adjustments of certain liability classified stock option awards.</w:t>
      </w:r>
    </w:p>
    <w:p>
      <w:pPr>
        <w:spacing w:after="0" w:line="188" w:lineRule="exact"/>
        <w:rPr>
          <w:sz w:val="20"/>
          <w:szCs w:val="20"/>
          <w:color w:val="auto"/>
        </w:rPr>
      </w:pPr>
    </w:p>
    <w:p>
      <w:pPr>
        <w:jc w:val="both"/>
        <w:ind w:right="120" w:firstLine="518"/>
        <w:spacing w:after="0" w:line="264" w:lineRule="auto"/>
        <w:rPr>
          <w:sz w:val="20"/>
          <w:szCs w:val="20"/>
          <w:color w:val="auto"/>
        </w:rPr>
      </w:pPr>
      <w:r>
        <w:rPr>
          <w:rFonts w:ascii="Arial" w:cs="Arial" w:eastAsia="Arial" w:hAnsi="Arial"/>
          <w:sz w:val="18"/>
          <w:szCs w:val="18"/>
          <w:color w:val="auto"/>
        </w:rPr>
        <w:t>We expect that general and administrative expenses will increase in the future as we expand our operating activities to support increased research and development activities, and the potential build of commercial infrastructure for our option for co-promotion of TV-45070 in the U.S., if and when regulatory approval is received.</w:t>
      </w:r>
    </w:p>
    <w:p>
      <w:pPr>
        <w:spacing w:after="0" w:line="28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Other Income (Expense)</w:t>
      </w:r>
    </w:p>
    <w:p>
      <w:pPr>
        <w:spacing w:after="0" w:line="117" w:lineRule="exact"/>
        <w:rPr>
          <w:sz w:val="20"/>
          <w:szCs w:val="20"/>
          <w:color w:val="auto"/>
        </w:rPr>
      </w:pPr>
    </w:p>
    <w:p>
      <w:pPr>
        <w:ind w:right="200" w:firstLine="518"/>
        <w:spacing w:after="0" w:line="286" w:lineRule="auto"/>
        <w:rPr>
          <w:sz w:val="20"/>
          <w:szCs w:val="20"/>
          <w:color w:val="auto"/>
        </w:rPr>
      </w:pPr>
      <w:r>
        <w:rPr>
          <w:rFonts w:ascii="Arial" w:cs="Arial" w:eastAsia="Arial" w:hAnsi="Arial"/>
          <w:sz w:val="17"/>
          <w:szCs w:val="17"/>
          <w:i w:val="1"/>
          <w:iCs w:val="1"/>
          <w:color w:val="auto"/>
        </w:rPr>
        <w:t xml:space="preserve">Interest Income. </w:t>
      </w:r>
      <w:r>
        <w:rPr>
          <w:rFonts w:ascii="Arial" w:cs="Arial" w:eastAsia="Arial" w:hAnsi="Arial"/>
          <w:sz w:val="17"/>
          <w:szCs w:val="17"/>
          <w:color w:val="auto"/>
        </w:rPr>
        <w:t>Interest income consists of income earned on our cash and investment balances. Our interest income has not been significant due to</w:t>
      </w:r>
      <w:r>
        <w:rPr>
          <w:rFonts w:ascii="Arial" w:cs="Arial" w:eastAsia="Arial" w:hAnsi="Arial"/>
          <w:sz w:val="17"/>
          <w:szCs w:val="17"/>
          <w:i w:val="1"/>
          <w:iCs w:val="1"/>
          <w:color w:val="auto"/>
        </w:rPr>
        <w:t xml:space="preserve"> </w:t>
      </w:r>
      <w:r>
        <w:rPr>
          <w:rFonts w:ascii="Arial" w:cs="Arial" w:eastAsia="Arial" w:hAnsi="Arial"/>
          <w:sz w:val="17"/>
          <w:szCs w:val="17"/>
          <w:color w:val="auto"/>
        </w:rPr>
        <w:t>the levels of cash and investment balances and low interest earned on such balances. We anticipate that our interest income will continue to fluctuate depending on timing of payments from collaborative partners, our cash and investment balances, and interest rates.</w:t>
      </w:r>
    </w:p>
    <w:p>
      <w:pPr>
        <w:spacing w:after="0" w:line="166" w:lineRule="exact"/>
        <w:rPr>
          <w:sz w:val="20"/>
          <w:szCs w:val="20"/>
          <w:color w:val="auto"/>
        </w:rPr>
      </w:pPr>
    </w:p>
    <w:p>
      <w:pPr>
        <w:ind w:right="60" w:firstLine="518"/>
        <w:spacing w:after="0" w:line="264" w:lineRule="auto"/>
        <w:rPr>
          <w:sz w:val="20"/>
          <w:szCs w:val="20"/>
          <w:color w:val="auto"/>
        </w:rPr>
      </w:pPr>
      <w:r>
        <w:rPr>
          <w:rFonts w:ascii="Arial" w:cs="Arial" w:eastAsia="Arial" w:hAnsi="Arial"/>
          <w:sz w:val="18"/>
          <w:szCs w:val="18"/>
          <w:i w:val="1"/>
          <w:iCs w:val="1"/>
          <w:color w:val="auto"/>
        </w:rPr>
        <w:t xml:space="preserve">Foreign Exchange Gain (Loss). </w:t>
      </w:r>
      <w:r>
        <w:rPr>
          <w:rFonts w:ascii="Arial" w:cs="Arial" w:eastAsia="Arial" w:hAnsi="Arial"/>
          <w:sz w:val="18"/>
          <w:szCs w:val="18"/>
          <w:color w:val="auto"/>
        </w:rPr>
        <w:t>Net foreign exchange gains and losses consist of gains and losses from the impact of foreign exchange fluctuations on</w:t>
      </w:r>
      <w:r>
        <w:rPr>
          <w:rFonts w:ascii="Arial" w:cs="Arial" w:eastAsia="Arial" w:hAnsi="Arial"/>
          <w:sz w:val="18"/>
          <w:szCs w:val="18"/>
          <w:i w:val="1"/>
          <w:iCs w:val="1"/>
          <w:color w:val="auto"/>
        </w:rPr>
        <w:t xml:space="preserve"> </w:t>
      </w:r>
      <w:r>
        <w:rPr>
          <w:rFonts w:ascii="Arial" w:cs="Arial" w:eastAsia="Arial" w:hAnsi="Arial"/>
          <w:sz w:val="18"/>
          <w:szCs w:val="18"/>
          <w:color w:val="auto"/>
        </w:rPr>
        <w:t>our monetary assets and liabilities that are denominated in currencies other than the U.S. dollar (principally the Canadian dollar). See “Quantitative and Qualitative Disclosures About Market Risk – Foreign Currency Exchange Risk” below for additional information.</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Significant Judgments and Estimates</w:t>
      </w:r>
    </w:p>
    <w:p>
      <w:pPr>
        <w:spacing w:after="0" w:line="121" w:lineRule="exact"/>
        <w:rPr>
          <w:sz w:val="20"/>
          <w:szCs w:val="20"/>
          <w:color w:val="auto"/>
        </w:rPr>
      </w:pPr>
    </w:p>
    <w:p>
      <w:pPr>
        <w:ind w:firstLine="518"/>
        <w:spacing w:after="0" w:line="273" w:lineRule="auto"/>
        <w:rPr>
          <w:sz w:val="20"/>
          <w:szCs w:val="20"/>
          <w:color w:val="auto"/>
        </w:rPr>
      </w:pPr>
      <w:r>
        <w:rPr>
          <w:rFonts w:ascii="Arial" w:cs="Arial" w:eastAsia="Arial" w:hAnsi="Arial"/>
          <w:sz w:val="17"/>
          <w:szCs w:val="17"/>
          <w:color w:val="auto"/>
        </w:rPr>
        <w:t>Our management’s discussion and analysis of our financial condition and results of operations is based on our consolidated financial statements, which have been prepared in conformity with generally accepted accounting principles in the U.S., or U.S. GAAP. The preparation of our consolidated financial statements requires us to make estimates and assumptions that affect the reported amounts of assets and liabilities and the revenue and expenses incurred during the reported periods. We base estimates on our historical experience, known trends and various other factors that we believe are reasonable under the circumstances, the results of which form the basis for making judgments about the carrying value of assets and liabilities that are not apparent from other sources. Actual results may differ from these estimates under different assumptions or conditions.</w:t>
      </w:r>
    </w:p>
    <w:p>
      <w:pPr>
        <w:spacing w:after="0" w:line="178" w:lineRule="exact"/>
        <w:rPr>
          <w:sz w:val="20"/>
          <w:szCs w:val="20"/>
          <w:color w:val="auto"/>
        </w:rPr>
      </w:pPr>
    </w:p>
    <w:p>
      <w:pPr>
        <w:ind w:right="200" w:firstLine="518"/>
        <w:spacing w:after="0" w:line="312" w:lineRule="auto"/>
        <w:rPr>
          <w:sz w:val="20"/>
          <w:szCs w:val="20"/>
          <w:color w:val="auto"/>
        </w:rPr>
      </w:pPr>
      <w:r>
        <w:rPr>
          <w:rFonts w:ascii="Arial" w:cs="Arial" w:eastAsia="Arial" w:hAnsi="Arial"/>
          <w:sz w:val="16"/>
          <w:szCs w:val="16"/>
          <w:color w:val="auto"/>
        </w:rPr>
        <w:t>Critical accounting policies and significant judgments and estimates are those that we consider the most important to the portrayal of our financial condition and results of operations because they require our most difficult, subjective or complex judgments, often as a result of the need to make estimates about the effect of matters that are inherently uncertain. Our critical accounting policies and significant estimates include those related to:</w:t>
      </w:r>
    </w:p>
    <w:p>
      <w:pPr>
        <w:spacing w:after="0" w:line="39" w:lineRule="exact"/>
        <w:rPr>
          <w:sz w:val="20"/>
          <w:szCs w:val="20"/>
          <w:color w:val="auto"/>
        </w:rPr>
      </w:pPr>
    </w:p>
    <w:p>
      <w:pPr>
        <w:ind w:left="1040" w:hanging="519"/>
        <w:spacing w:after="0"/>
        <w:tabs>
          <w:tab w:leader="none" w:pos="10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revenue recognition;</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research and development costs;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stock-based compensation.</w:t>
      </w:r>
    </w:p>
    <w:p>
      <w:pPr>
        <w:spacing w:after="0" w:line="225" w:lineRule="exact"/>
        <w:rPr>
          <w:sz w:val="20"/>
          <w:szCs w:val="20"/>
          <w:color w:val="auto"/>
        </w:rPr>
      </w:pPr>
    </w:p>
    <w:p>
      <w:pPr>
        <w:ind w:right="20" w:firstLine="518"/>
        <w:spacing w:after="0" w:line="273" w:lineRule="auto"/>
        <w:rPr>
          <w:sz w:val="20"/>
          <w:szCs w:val="20"/>
          <w:color w:val="auto"/>
        </w:rPr>
      </w:pPr>
      <w:r>
        <w:rPr>
          <w:rFonts w:ascii="Arial" w:cs="Arial" w:eastAsia="Arial" w:hAnsi="Arial"/>
          <w:sz w:val="17"/>
          <w:szCs w:val="17"/>
          <w:color w:val="auto"/>
        </w:rPr>
        <w:t>There have been no material changes in our critical accounting policies and significant judgements and estimates during the six months ended June 30, 2017, as compared to those disclosed in “Management’s Discussion and Analysis of Financial Conditions and Results of Operations - Critical Accounting Policies and Significant Judgments and Estimates” included in our 2016 Annual Report on Form 10-K filed with the U.S. Securities and Exchange Commission, or SEC, and with the securities commissions in British Columbia, Alberta and Ontario, or the Canadian Securities Commissions, on March 8, 2017. We believe that the accounting policies discussed in the Annual Report are critical to understanding our historical and future performance, as these policies relate to the more significant areas involving management’s judgments and estimates.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55" w:right="25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Comparison of Three and Six Months Ended June 30, 2017 and 2016</w:t>
      </w:r>
    </w:p>
    <w:p>
      <w:pPr>
        <w:spacing w:after="0" w:line="117" w:lineRule="exact"/>
        <w:rPr>
          <w:sz w:val="20"/>
          <w:szCs w:val="20"/>
          <w:color w:val="auto"/>
        </w:rPr>
      </w:pPr>
    </w:p>
    <w:p>
      <w:pPr>
        <w:ind w:right="420" w:firstLine="518"/>
        <w:spacing w:after="0" w:line="277" w:lineRule="auto"/>
        <w:rPr>
          <w:sz w:val="20"/>
          <w:szCs w:val="20"/>
          <w:color w:val="auto"/>
        </w:rPr>
      </w:pPr>
      <w:r>
        <w:rPr>
          <w:rFonts w:ascii="Arial" w:cs="Arial" w:eastAsia="Arial" w:hAnsi="Arial"/>
          <w:sz w:val="18"/>
          <w:szCs w:val="18"/>
          <w:color w:val="auto"/>
        </w:rPr>
        <w:t>The following table summarizes the results of our operations for the three and six months ended June 30, 2017 and 2016 together with changes in those items (in thousands):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40" w:type="dxa"/>
            <w:vAlign w:val="bottom"/>
          </w:tcPr>
          <w:p>
            <w:pPr>
              <w:spacing w:after="0"/>
              <w:rPr>
                <w:sz w:val="14"/>
                <w:szCs w:val="14"/>
                <w:color w:val="auto"/>
              </w:rPr>
            </w:pPr>
          </w:p>
        </w:tc>
        <w:tc>
          <w:tcPr>
            <w:tcW w:w="2080" w:type="dxa"/>
            <w:vAlign w:val="bottom"/>
            <w:gridSpan w:val="7"/>
            <w:vMerge w:val="restart"/>
          </w:tcPr>
          <w:p>
            <w:pPr>
              <w:jc w:val="right"/>
              <w:ind w:right="100"/>
              <w:spacing w:after="0"/>
              <w:rPr>
                <w:sz w:val="20"/>
                <w:szCs w:val="20"/>
                <w:color w:val="auto"/>
              </w:rPr>
            </w:pPr>
            <w:r>
              <w:rPr>
                <w:rFonts w:ascii="Arial" w:cs="Arial" w:eastAsia="Arial" w:hAnsi="Arial"/>
                <w:sz w:val="14"/>
                <w:szCs w:val="14"/>
                <w:b w:val="1"/>
                <w:bCs w:val="1"/>
                <w:color w:val="auto"/>
                <w:w w:val="94"/>
              </w:rPr>
              <w:t>Three Months Ended June 30,</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8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Change</w:t>
            </w:r>
          </w:p>
        </w:tc>
        <w:tc>
          <w:tcPr>
            <w:tcW w:w="120" w:type="dxa"/>
            <w:vAlign w:val="bottom"/>
          </w:tcPr>
          <w:p>
            <w:pPr>
              <w:spacing w:after="0"/>
              <w:rPr>
                <w:sz w:val="14"/>
                <w:szCs w:val="14"/>
                <w:color w:val="auto"/>
              </w:rPr>
            </w:pPr>
          </w:p>
        </w:tc>
        <w:tc>
          <w:tcPr>
            <w:tcW w:w="2060" w:type="dxa"/>
            <w:vAlign w:val="bottom"/>
            <w:gridSpan w:val="6"/>
            <w:vMerge w:val="restart"/>
          </w:tcPr>
          <w:p>
            <w:pPr>
              <w:jc w:val="right"/>
              <w:ind w:right="280"/>
              <w:spacing w:after="0"/>
              <w:rPr>
                <w:sz w:val="20"/>
                <w:szCs w:val="20"/>
                <w:color w:val="auto"/>
              </w:rPr>
            </w:pPr>
            <w:r>
              <w:rPr>
                <w:rFonts w:ascii="Arial" w:cs="Arial" w:eastAsia="Arial" w:hAnsi="Arial"/>
                <w:sz w:val="14"/>
                <w:szCs w:val="14"/>
                <w:b w:val="1"/>
                <w:bCs w:val="1"/>
                <w:color w:val="auto"/>
                <w:w w:val="92"/>
              </w:rPr>
              <w:t>Six Months Ended June 30,</w:t>
            </w:r>
          </w:p>
        </w:tc>
        <w:tc>
          <w:tcPr>
            <w:tcW w:w="140" w:type="dxa"/>
            <w:vAlign w:val="bottom"/>
          </w:tcPr>
          <w:p>
            <w:pPr>
              <w:spacing w:after="0"/>
              <w:rPr>
                <w:sz w:val="14"/>
                <w:szCs w:val="14"/>
                <w:color w:val="auto"/>
              </w:rPr>
            </w:pPr>
          </w:p>
        </w:tc>
        <w:tc>
          <w:tcPr>
            <w:tcW w:w="118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71"/>
        </w:trPr>
        <w:tc>
          <w:tcPr>
            <w:tcW w:w="4340" w:type="dxa"/>
            <w:vAlign w:val="bottom"/>
          </w:tcPr>
          <w:p>
            <w:pPr>
              <w:spacing w:after="0"/>
              <w:rPr>
                <w:sz w:val="14"/>
                <w:szCs w:val="14"/>
                <w:color w:val="auto"/>
              </w:rPr>
            </w:pPr>
          </w:p>
        </w:tc>
        <w:tc>
          <w:tcPr>
            <w:tcW w:w="2080" w:type="dxa"/>
            <w:vAlign w:val="bottom"/>
            <w:gridSpan w:val="7"/>
            <w:vMerge w:val="continue"/>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8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w w:val="93"/>
              </w:rPr>
              <w:t>2017 vs. 2016</w:t>
            </w:r>
          </w:p>
        </w:tc>
        <w:tc>
          <w:tcPr>
            <w:tcW w:w="120" w:type="dxa"/>
            <w:vAlign w:val="bottom"/>
          </w:tcPr>
          <w:p>
            <w:pPr>
              <w:spacing w:after="0"/>
              <w:rPr>
                <w:sz w:val="14"/>
                <w:szCs w:val="14"/>
                <w:color w:val="auto"/>
              </w:rPr>
            </w:pPr>
          </w:p>
        </w:tc>
        <w:tc>
          <w:tcPr>
            <w:tcW w:w="2060" w:type="dxa"/>
            <w:vAlign w:val="bottom"/>
            <w:gridSpan w:val="6"/>
            <w:vMerge w:val="continue"/>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96"/>
              </w:rPr>
              <w:t>2017 vs. 2016</w:t>
            </w:r>
          </w:p>
        </w:tc>
        <w:tc>
          <w:tcPr>
            <w:tcW w:w="0" w:type="dxa"/>
            <w:vAlign w:val="bottom"/>
          </w:tcPr>
          <w:p>
            <w:pPr>
              <w:spacing w:after="0"/>
              <w:rPr>
                <w:sz w:val="1"/>
                <w:szCs w:val="1"/>
                <w:color w:val="auto"/>
              </w:rPr>
            </w:pPr>
          </w:p>
        </w:tc>
      </w:tr>
      <w:tr>
        <w:trPr>
          <w:trHeight w:val="156"/>
        </w:trPr>
        <w:tc>
          <w:tcPr>
            <w:tcW w:w="434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jc w:val="right"/>
              <w:ind w:right="192"/>
              <w:spacing w:after="0" w:line="155" w:lineRule="exact"/>
              <w:rPr>
                <w:sz w:val="20"/>
                <w:szCs w:val="20"/>
                <w:color w:val="auto"/>
              </w:rPr>
            </w:pPr>
            <w:r>
              <w:rPr>
                <w:rFonts w:ascii="Arial" w:cs="Arial" w:eastAsia="Arial" w:hAnsi="Arial"/>
                <w:sz w:val="14"/>
                <w:szCs w:val="14"/>
                <w:b w:val="1"/>
                <w:bCs w:val="1"/>
                <w:color w:val="auto"/>
              </w:rPr>
              <w:t>2017</w:t>
            </w:r>
          </w:p>
        </w:tc>
        <w:tc>
          <w:tcPr>
            <w:tcW w:w="14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jc w:val="right"/>
              <w:ind w:right="192"/>
              <w:spacing w:after="0" w:line="155" w:lineRule="exact"/>
              <w:rPr>
                <w:sz w:val="20"/>
                <w:szCs w:val="20"/>
                <w:color w:val="auto"/>
              </w:rPr>
            </w:pPr>
            <w:r>
              <w:rPr>
                <w:rFonts w:ascii="Arial" w:cs="Arial" w:eastAsia="Arial" w:hAnsi="Arial"/>
                <w:sz w:val="14"/>
                <w:szCs w:val="14"/>
                <w:b w:val="1"/>
                <w:bCs w:val="1"/>
                <w:color w:val="auto"/>
              </w:rPr>
              <w:t>2016</w:t>
            </w:r>
          </w:p>
        </w:tc>
        <w:tc>
          <w:tcPr>
            <w:tcW w:w="140" w:type="dxa"/>
            <w:vAlign w:val="bottom"/>
          </w:tcPr>
          <w:p>
            <w:pPr>
              <w:spacing w:after="0"/>
              <w:rPr>
                <w:sz w:val="13"/>
                <w:szCs w:val="13"/>
                <w:color w:val="auto"/>
              </w:rPr>
            </w:pPr>
          </w:p>
        </w:tc>
        <w:tc>
          <w:tcPr>
            <w:tcW w:w="1500" w:type="dxa"/>
            <w:vAlign w:val="bottom"/>
            <w:gridSpan w:val="4"/>
          </w:tcPr>
          <w:p>
            <w:pPr>
              <w:ind w:left="80"/>
              <w:spacing w:after="0" w:line="155" w:lineRule="exact"/>
              <w:rPr>
                <w:sz w:val="20"/>
                <w:szCs w:val="20"/>
                <w:color w:val="auto"/>
              </w:rPr>
            </w:pPr>
            <w:r>
              <w:rPr>
                <w:rFonts w:ascii="Arial" w:cs="Arial" w:eastAsia="Arial" w:hAnsi="Arial"/>
                <w:sz w:val="14"/>
                <w:szCs w:val="14"/>
                <w:b w:val="1"/>
                <w:bCs w:val="1"/>
                <w:color w:val="auto"/>
              </w:rPr>
              <w:t>Increase/(Decrease)</w:t>
            </w:r>
          </w:p>
        </w:tc>
        <w:tc>
          <w:tcPr>
            <w:tcW w:w="12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jc w:val="right"/>
              <w:ind w:right="214"/>
              <w:spacing w:after="0" w:line="155" w:lineRule="exact"/>
              <w:rPr>
                <w:sz w:val="20"/>
                <w:szCs w:val="20"/>
                <w:color w:val="auto"/>
              </w:rPr>
            </w:pPr>
            <w:r>
              <w:rPr>
                <w:rFonts w:ascii="Arial" w:cs="Arial" w:eastAsia="Arial" w:hAnsi="Arial"/>
                <w:sz w:val="14"/>
                <w:szCs w:val="14"/>
                <w:b w:val="1"/>
                <w:bCs w:val="1"/>
                <w:color w:val="auto"/>
              </w:rPr>
              <w:t>2017</w:t>
            </w:r>
          </w:p>
        </w:tc>
        <w:tc>
          <w:tcPr>
            <w:tcW w:w="14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jc w:val="right"/>
              <w:ind w:right="212"/>
              <w:spacing w:after="0" w:line="155" w:lineRule="exact"/>
              <w:rPr>
                <w:sz w:val="20"/>
                <w:szCs w:val="20"/>
                <w:color w:val="auto"/>
              </w:rPr>
            </w:pPr>
            <w:r>
              <w:rPr>
                <w:rFonts w:ascii="Arial" w:cs="Arial" w:eastAsia="Arial" w:hAnsi="Arial"/>
                <w:sz w:val="14"/>
                <w:szCs w:val="14"/>
                <w:b w:val="1"/>
                <w:bCs w:val="1"/>
                <w:color w:val="auto"/>
              </w:rPr>
              <w:t>2016</w:t>
            </w:r>
          </w:p>
        </w:tc>
        <w:tc>
          <w:tcPr>
            <w:tcW w:w="200" w:type="dxa"/>
            <w:vAlign w:val="bottom"/>
          </w:tcPr>
          <w:p>
            <w:pPr>
              <w:spacing w:after="0"/>
              <w:rPr>
                <w:sz w:val="13"/>
                <w:szCs w:val="13"/>
                <w:color w:val="auto"/>
              </w:rPr>
            </w:pPr>
          </w:p>
        </w:tc>
        <w:tc>
          <w:tcPr>
            <w:tcW w:w="1320" w:type="dxa"/>
            <w:vAlign w:val="bottom"/>
            <w:gridSpan w:val="3"/>
          </w:tcPr>
          <w:p>
            <w:pPr>
              <w:ind w:left="20"/>
              <w:spacing w:after="0" w:line="155" w:lineRule="exact"/>
              <w:rPr>
                <w:sz w:val="20"/>
                <w:szCs w:val="20"/>
                <w:color w:val="auto"/>
              </w:rPr>
            </w:pPr>
            <w:r>
              <w:rPr>
                <w:rFonts w:ascii="Arial" w:cs="Arial" w:eastAsia="Arial" w:hAnsi="Arial"/>
                <w:sz w:val="14"/>
                <w:szCs w:val="14"/>
                <w:b w:val="1"/>
                <w:bCs w:val="1"/>
                <w:color w:val="auto"/>
                <w:w w:val="96"/>
              </w:rPr>
              <w:t>Increase/(Decrease)</w:t>
            </w:r>
          </w:p>
        </w:tc>
        <w:tc>
          <w:tcPr>
            <w:tcW w:w="0" w:type="dxa"/>
            <w:vAlign w:val="bottom"/>
          </w:tcPr>
          <w:p>
            <w:pPr>
              <w:spacing w:after="0"/>
              <w:rPr>
                <w:sz w:val="1"/>
                <w:szCs w:val="1"/>
                <w:color w:val="auto"/>
              </w:rPr>
            </w:pPr>
          </w:p>
        </w:tc>
      </w:tr>
      <w:tr>
        <w:trPr>
          <w:trHeight w:val="223"/>
        </w:trPr>
        <w:tc>
          <w:tcPr>
            <w:tcW w:w="43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Collaboration revenue</w:t>
            </w: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412</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1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(397)</w:t>
            </w:r>
          </w:p>
        </w:tc>
        <w:tc>
          <w:tcPr>
            <w:tcW w:w="2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981</w:t>
            </w:r>
          </w:p>
        </w:tc>
        <w:tc>
          <w:tcPr>
            <w:tcW w:w="2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(951)</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40" w:type="dxa"/>
            <w:vAlign w:val="bottom"/>
          </w:tcPr>
          <w:p>
            <w:pPr>
              <w:spacing w:after="0"/>
              <w:rPr>
                <w:sz w:val="20"/>
                <w:szCs w:val="20"/>
                <w:color w:val="auto"/>
              </w:rPr>
            </w:pPr>
            <w:r>
              <w:rPr>
                <w:rFonts w:ascii="Arial" w:cs="Arial" w:eastAsia="Arial" w:hAnsi="Arial"/>
                <w:sz w:val="18"/>
                <w:szCs w:val="18"/>
                <w:color w:val="auto"/>
              </w:rPr>
              <w:t>Royalties</w:t>
            </w:r>
          </w:p>
        </w:tc>
        <w:tc>
          <w:tcPr>
            <w:tcW w:w="180" w:type="dxa"/>
            <w:vAlign w:val="bottom"/>
          </w:tcPr>
          <w:p>
            <w:pPr>
              <w:spacing w:after="0"/>
              <w:rPr>
                <w:sz w:val="19"/>
                <w:szCs w:val="19"/>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33</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30"/>
        </w:trPr>
        <w:tc>
          <w:tcPr>
            <w:tcW w:w="4340" w:type="dxa"/>
            <w:vAlign w:val="bottom"/>
            <w:shd w:val="clear" w:color="auto" w:fill="CFF0FC"/>
          </w:tcPr>
          <w:p>
            <w:pPr>
              <w:spacing w:after="0"/>
              <w:rPr>
                <w:sz w:val="20"/>
                <w:szCs w:val="20"/>
                <w:color w:val="auto"/>
              </w:rPr>
            </w:pPr>
            <w:r>
              <w:rPr>
                <w:rFonts w:ascii="Arial" w:cs="Arial" w:eastAsia="Arial" w:hAnsi="Arial"/>
                <w:sz w:val="18"/>
                <w:szCs w:val="18"/>
                <w:color w:val="auto"/>
              </w:rPr>
              <w:t>Research and development expenses</w:t>
            </w:r>
          </w:p>
        </w:tc>
        <w:tc>
          <w:tcPr>
            <w:tcW w:w="18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6,109</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5,103</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1,006</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12,012</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9,467</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2,545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40" w:type="dxa"/>
            <w:vAlign w:val="bottom"/>
          </w:tcPr>
          <w:p>
            <w:pPr>
              <w:spacing w:after="0"/>
              <w:rPr>
                <w:sz w:val="20"/>
                <w:szCs w:val="20"/>
                <w:color w:val="auto"/>
              </w:rPr>
            </w:pPr>
            <w:r>
              <w:rPr>
                <w:rFonts w:ascii="Arial" w:cs="Arial" w:eastAsia="Arial" w:hAnsi="Arial"/>
                <w:sz w:val="18"/>
                <w:szCs w:val="18"/>
                <w:color w:val="auto"/>
              </w:rPr>
              <w:t>General and administrative expenses</w:t>
            </w:r>
          </w:p>
        </w:tc>
        <w:tc>
          <w:tcPr>
            <w:tcW w:w="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1,799</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1,676</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123</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3,899</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3,571</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328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40" w:type="dxa"/>
            <w:vAlign w:val="bottom"/>
            <w:shd w:val="clear" w:color="auto" w:fill="CFF0FC"/>
          </w:tcPr>
          <w:p>
            <w:pPr>
              <w:spacing w:after="0"/>
              <w:rPr>
                <w:sz w:val="20"/>
                <w:szCs w:val="20"/>
                <w:color w:val="auto"/>
              </w:rPr>
            </w:pPr>
            <w:r>
              <w:rPr>
                <w:rFonts w:ascii="Arial" w:cs="Arial" w:eastAsia="Arial" w:hAnsi="Arial"/>
                <w:sz w:val="18"/>
                <w:szCs w:val="18"/>
                <w:color w:val="auto"/>
              </w:rPr>
              <w:t>Other:</w:t>
            </w:r>
          </w:p>
        </w:tc>
        <w:tc>
          <w:tcPr>
            <w:tcW w:w="18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40" w:type="dxa"/>
            <w:vAlign w:val="bottom"/>
          </w:tcPr>
          <w:p>
            <w:pPr>
              <w:ind w:left="260"/>
              <w:spacing w:after="0"/>
              <w:rPr>
                <w:sz w:val="20"/>
                <w:szCs w:val="20"/>
                <w:color w:val="auto"/>
              </w:rPr>
            </w:pPr>
            <w:r>
              <w:rPr>
                <w:rFonts w:ascii="Arial" w:cs="Arial" w:eastAsia="Arial" w:hAnsi="Arial"/>
                <w:sz w:val="18"/>
                <w:szCs w:val="18"/>
                <w:color w:val="auto"/>
              </w:rPr>
              <w:t>Interest income</w:t>
            </w:r>
          </w:p>
        </w:tc>
        <w:tc>
          <w:tcPr>
            <w:tcW w:w="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109</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123</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258</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222</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Foreign exchange gain</w:t>
            </w:r>
          </w:p>
        </w:tc>
        <w:tc>
          <w:tcPr>
            <w:tcW w:w="18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404</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227</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177</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725</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2,523</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(1,798)</w:t>
            </w:r>
          </w:p>
        </w:tc>
        <w:tc>
          <w:tcPr>
            <w:tcW w:w="0" w:type="dxa"/>
            <w:vAlign w:val="bottom"/>
          </w:tcPr>
          <w:p>
            <w:pPr>
              <w:spacing w:after="0"/>
              <w:rPr>
                <w:sz w:val="1"/>
                <w:szCs w:val="1"/>
                <w:color w:val="auto"/>
              </w:rPr>
            </w:pPr>
          </w:p>
        </w:tc>
      </w:tr>
      <w:tr>
        <w:trPr>
          <w:trHeight w:val="223"/>
        </w:trPr>
        <w:tc>
          <w:tcPr>
            <w:tcW w:w="4340" w:type="dxa"/>
            <w:vAlign w:val="bottom"/>
          </w:tcPr>
          <w:p>
            <w:pPr>
              <w:spacing w:after="0"/>
              <w:rPr>
                <w:sz w:val="20"/>
                <w:szCs w:val="20"/>
                <w:color w:val="auto"/>
              </w:rPr>
            </w:pPr>
            <w:r>
              <w:rPr>
                <w:rFonts w:ascii="Arial" w:cs="Arial" w:eastAsia="Arial" w:hAnsi="Arial"/>
                <w:sz w:val="18"/>
                <w:szCs w:val="18"/>
                <w:color w:val="auto"/>
              </w:rPr>
              <w:t>Net loss</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(7,380</w:t>
            </w:r>
          </w:p>
        </w:tc>
        <w:tc>
          <w:tcPr>
            <w:tcW w:w="14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(6,016</w:t>
            </w:r>
          </w:p>
        </w:tc>
        <w:tc>
          <w:tcPr>
            <w:tcW w:w="14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(1,364)</w:t>
            </w:r>
          </w:p>
        </w:tc>
        <w:tc>
          <w:tcPr>
            <w:tcW w:w="2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(14,897</w:t>
            </w:r>
          </w:p>
        </w:tc>
        <w:tc>
          <w:tcPr>
            <w:tcW w:w="14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(9,279</w:t>
            </w:r>
          </w:p>
        </w:tc>
        <w:tc>
          <w:tcPr>
            <w:tcW w:w="200" w:type="dxa"/>
            <w:vAlign w:val="bottom"/>
          </w:tcPr>
          <w:p>
            <w:pPr>
              <w:jc w:val="right"/>
              <w:ind w:right="60"/>
              <w:spacing w:after="0"/>
              <w:rPr>
                <w:sz w:val="20"/>
                <w:szCs w:val="20"/>
                <w:color w:val="auto"/>
              </w:rPr>
            </w:pPr>
            <w:r>
              <w:rPr>
                <w:rFonts w:ascii="Arial" w:cs="Arial" w:eastAsia="Arial" w:hAnsi="Arial"/>
                <w:sz w:val="16"/>
                <w:szCs w:val="16"/>
                <w:color w:val="auto"/>
                <w:w w:val="74"/>
              </w:rPr>
              <w:t>)</w:t>
            </w:r>
          </w:p>
        </w:tc>
        <w:tc>
          <w:tcPr>
            <w:tcW w:w="1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(5,618)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3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0"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Revenue</w:t>
      </w:r>
    </w:p>
    <w:p>
      <w:pPr>
        <w:spacing w:after="0" w:line="117" w:lineRule="exact"/>
        <w:rPr>
          <w:sz w:val="20"/>
          <w:szCs w:val="20"/>
          <w:color w:val="auto"/>
        </w:rPr>
      </w:pPr>
    </w:p>
    <w:p>
      <w:pPr>
        <w:ind w:right="80" w:firstLine="518"/>
        <w:spacing w:after="0" w:line="279" w:lineRule="auto"/>
        <w:rPr>
          <w:sz w:val="20"/>
          <w:szCs w:val="20"/>
          <w:color w:val="auto"/>
        </w:rPr>
      </w:pPr>
      <w:r>
        <w:rPr>
          <w:rFonts w:ascii="Arial" w:cs="Arial" w:eastAsia="Arial" w:hAnsi="Arial"/>
          <w:sz w:val="17"/>
          <w:szCs w:val="17"/>
          <w:color w:val="auto"/>
        </w:rPr>
        <w:t>Revenue decreased by $0.4 million and $1.0 million in the three and six months ended June 30, 2017 as compared to the three and six months ended June 30, 2016, respectively. In 2016, we recognized revenue related to the upfront payment from the March 2014 genetics collaborative agreement with Genentech which was fully recognized by March 2016. The remaining decrease as compared to the same periods in 2016 was mainly due to the expiration of FTE funding from Genentech in 2017 as we shifted resources from supporting our collaborations to our proprietary programs.</w:t>
      </w:r>
    </w:p>
    <w:p>
      <w:pPr>
        <w:spacing w:after="0" w:line="280"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Research and Development Expenses</w:t>
      </w:r>
    </w:p>
    <w:p>
      <w:pPr>
        <w:spacing w:after="0" w:line="117" w:lineRule="exact"/>
        <w:rPr>
          <w:sz w:val="20"/>
          <w:szCs w:val="20"/>
          <w:color w:val="auto"/>
        </w:rPr>
      </w:pPr>
    </w:p>
    <w:p>
      <w:pPr>
        <w:ind w:right="40" w:firstLine="518"/>
        <w:spacing w:after="0" w:line="258" w:lineRule="auto"/>
        <w:rPr>
          <w:sz w:val="20"/>
          <w:szCs w:val="20"/>
          <w:color w:val="auto"/>
        </w:rPr>
      </w:pPr>
      <w:r>
        <w:rPr>
          <w:rFonts w:ascii="Arial" w:cs="Arial" w:eastAsia="Arial" w:hAnsi="Arial"/>
          <w:sz w:val="18"/>
          <w:szCs w:val="18"/>
          <w:color w:val="auto"/>
        </w:rPr>
        <w:t>The following table summarizes research and development expenses for the three and six months ended June 30, 2017 and 2016 together with changes in those items (in thousands):</w:t>
      </w:r>
    </w:p>
    <w:tbl>
      <w:tblPr>
        <w:tblLayout w:type="fixed"/>
        <w:tblInd w:w="0" w:type="dxa"/>
        <w:tblCellMar>
          <w:top w:w="0" w:type="dxa"/>
          <w:left w:w="0" w:type="dxa"/>
          <w:bottom w:w="0" w:type="dxa"/>
          <w:right w:w="0" w:type="dxa"/>
        </w:tblCellMar>
      </w:tblPr>
      <w:tr>
        <w:trPr>
          <w:trHeight w:val="141"/>
        </w:trPr>
        <w:tc>
          <w:tcPr>
            <w:tcW w:w="4400" w:type="dxa"/>
            <w:vAlign w:val="bottom"/>
          </w:tcPr>
          <w:p>
            <w:pPr>
              <w:spacing w:after="0"/>
              <w:rPr>
                <w:sz w:val="12"/>
                <w:szCs w:val="12"/>
                <w:color w:val="auto"/>
              </w:rPr>
            </w:pPr>
          </w:p>
        </w:tc>
        <w:tc>
          <w:tcPr>
            <w:tcW w:w="1960" w:type="dxa"/>
            <w:vAlign w:val="bottom"/>
            <w:gridSpan w:val="5"/>
            <w:vMerge w:val="restart"/>
          </w:tcPr>
          <w:p>
            <w:pPr>
              <w:jc w:val="right"/>
              <w:spacing w:after="0"/>
              <w:rPr>
                <w:sz w:val="20"/>
                <w:szCs w:val="20"/>
                <w:color w:val="auto"/>
              </w:rPr>
            </w:pPr>
            <w:r>
              <w:rPr>
                <w:rFonts w:ascii="Arial" w:cs="Arial" w:eastAsia="Arial" w:hAnsi="Arial"/>
                <w:sz w:val="14"/>
                <w:szCs w:val="14"/>
                <w:b w:val="1"/>
                <w:bCs w:val="1"/>
                <w:color w:val="auto"/>
                <w:w w:val="94"/>
              </w:rPr>
              <w:t>Three Months Ended June 30,</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gridSpan w:val="2"/>
          </w:tcPr>
          <w:p>
            <w:pPr>
              <w:jc w:val="right"/>
              <w:ind w:right="520"/>
              <w:spacing w:after="0" w:line="141" w:lineRule="exact"/>
              <w:rPr>
                <w:sz w:val="20"/>
                <w:szCs w:val="20"/>
                <w:color w:val="auto"/>
              </w:rPr>
            </w:pPr>
            <w:r>
              <w:rPr>
                <w:rFonts w:ascii="Arial" w:cs="Arial" w:eastAsia="Arial" w:hAnsi="Arial"/>
                <w:sz w:val="14"/>
                <w:szCs w:val="14"/>
                <w:b w:val="1"/>
                <w:bCs w:val="1"/>
                <w:color w:val="auto"/>
              </w:rPr>
              <w:t>Change</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40" w:type="dxa"/>
            <w:vAlign w:val="bottom"/>
            <w:gridSpan w:val="5"/>
            <w:vMerge w:val="restart"/>
          </w:tcPr>
          <w:p>
            <w:pPr>
              <w:ind w:left="20"/>
              <w:spacing w:after="0"/>
              <w:rPr>
                <w:sz w:val="20"/>
                <w:szCs w:val="20"/>
                <w:color w:val="auto"/>
              </w:rPr>
            </w:pPr>
            <w:r>
              <w:rPr>
                <w:rFonts w:ascii="Arial" w:cs="Arial" w:eastAsia="Arial" w:hAnsi="Arial"/>
                <w:sz w:val="14"/>
                <w:szCs w:val="14"/>
                <w:b w:val="1"/>
                <w:bCs w:val="1"/>
                <w:color w:val="auto"/>
              </w:rPr>
              <w:t>Six Months Ended June 30,</w:t>
            </w:r>
          </w:p>
        </w:tc>
        <w:tc>
          <w:tcPr>
            <w:tcW w:w="140" w:type="dxa"/>
            <w:vAlign w:val="bottom"/>
          </w:tcPr>
          <w:p>
            <w:pPr>
              <w:spacing w:after="0"/>
              <w:rPr>
                <w:sz w:val="12"/>
                <w:szCs w:val="12"/>
                <w:color w:val="auto"/>
              </w:rPr>
            </w:pPr>
          </w:p>
        </w:tc>
        <w:tc>
          <w:tcPr>
            <w:tcW w:w="1180" w:type="dxa"/>
            <w:vAlign w:val="bottom"/>
            <w:gridSpan w:val="2"/>
          </w:tcPr>
          <w:p>
            <w:pPr>
              <w:jc w:val="right"/>
              <w:ind w:right="480"/>
              <w:spacing w:after="0" w:line="141" w:lineRule="exact"/>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71"/>
        </w:trPr>
        <w:tc>
          <w:tcPr>
            <w:tcW w:w="4400" w:type="dxa"/>
            <w:vAlign w:val="bottom"/>
          </w:tcPr>
          <w:p>
            <w:pPr>
              <w:spacing w:after="0"/>
              <w:rPr>
                <w:sz w:val="14"/>
                <w:szCs w:val="14"/>
                <w:color w:val="auto"/>
              </w:rPr>
            </w:pPr>
          </w:p>
        </w:tc>
        <w:tc>
          <w:tcPr>
            <w:tcW w:w="1960" w:type="dxa"/>
            <w:vAlign w:val="bottom"/>
            <w:gridSpan w:val="5"/>
            <w:vMerge w:val="continue"/>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93"/>
              </w:rPr>
              <w:t>2017 vs. 2016</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40" w:type="dxa"/>
            <w:vAlign w:val="bottom"/>
            <w:gridSpan w:val="5"/>
            <w:vMerge w:val="continue"/>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96"/>
              </w:rPr>
              <w:t>2017 vs. 2016</w:t>
            </w:r>
          </w:p>
        </w:tc>
        <w:tc>
          <w:tcPr>
            <w:tcW w:w="0" w:type="dxa"/>
            <w:vAlign w:val="bottom"/>
          </w:tcPr>
          <w:p>
            <w:pPr>
              <w:spacing w:after="0"/>
              <w:rPr>
                <w:sz w:val="1"/>
                <w:szCs w:val="1"/>
                <w:color w:val="auto"/>
              </w:rPr>
            </w:pPr>
          </w:p>
        </w:tc>
      </w:tr>
      <w:tr>
        <w:trPr>
          <w:trHeight w:val="156"/>
        </w:trPr>
        <w:tc>
          <w:tcPr>
            <w:tcW w:w="440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jc w:val="right"/>
              <w:ind w:right="213"/>
              <w:spacing w:after="0" w:line="155" w:lineRule="exact"/>
              <w:rPr>
                <w:sz w:val="20"/>
                <w:szCs w:val="20"/>
                <w:color w:val="auto"/>
              </w:rPr>
            </w:pPr>
            <w:r>
              <w:rPr>
                <w:rFonts w:ascii="Arial" w:cs="Arial" w:eastAsia="Arial" w:hAnsi="Arial"/>
                <w:sz w:val="14"/>
                <w:szCs w:val="14"/>
                <w:b w:val="1"/>
                <w:bCs w:val="1"/>
                <w:color w:val="auto"/>
              </w:rPr>
              <w:t>2017</w:t>
            </w:r>
          </w:p>
        </w:tc>
        <w:tc>
          <w:tcPr>
            <w:tcW w:w="20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jc w:val="right"/>
              <w:ind w:right="213"/>
              <w:spacing w:after="0" w:line="155" w:lineRule="exact"/>
              <w:rPr>
                <w:sz w:val="20"/>
                <w:szCs w:val="20"/>
                <w:color w:val="auto"/>
              </w:rPr>
            </w:pPr>
            <w:r>
              <w:rPr>
                <w:rFonts w:ascii="Arial" w:cs="Arial" w:eastAsia="Arial" w:hAnsi="Arial"/>
                <w:sz w:val="14"/>
                <w:szCs w:val="14"/>
                <w:b w:val="1"/>
                <w:bCs w:val="1"/>
                <w:color w:val="auto"/>
              </w:rPr>
              <w:t>2016</w:t>
            </w:r>
          </w:p>
        </w:tc>
        <w:tc>
          <w:tcPr>
            <w:tcW w:w="1540" w:type="dxa"/>
            <w:vAlign w:val="bottom"/>
            <w:gridSpan w:val="4"/>
          </w:tcPr>
          <w:p>
            <w:pPr>
              <w:ind w:left="200"/>
              <w:spacing w:after="0" w:line="155" w:lineRule="exact"/>
              <w:rPr>
                <w:sz w:val="20"/>
                <w:szCs w:val="20"/>
                <w:color w:val="auto"/>
              </w:rPr>
            </w:pPr>
            <w:r>
              <w:rPr>
                <w:rFonts w:ascii="Arial" w:cs="Arial" w:eastAsia="Arial" w:hAnsi="Arial"/>
                <w:sz w:val="14"/>
                <w:szCs w:val="14"/>
                <w:b w:val="1"/>
                <w:bCs w:val="1"/>
                <w:color w:val="auto"/>
                <w:w w:val="99"/>
              </w:rPr>
              <w:t>Increase/(Decrease)</w:t>
            </w:r>
          </w:p>
        </w:tc>
        <w:tc>
          <w:tcPr>
            <w:tcW w:w="6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jc w:val="right"/>
              <w:ind w:right="214"/>
              <w:spacing w:after="0" w:line="155" w:lineRule="exact"/>
              <w:rPr>
                <w:sz w:val="20"/>
                <w:szCs w:val="20"/>
                <w:color w:val="auto"/>
              </w:rPr>
            </w:pPr>
            <w:r>
              <w:rPr>
                <w:rFonts w:ascii="Arial" w:cs="Arial" w:eastAsia="Arial" w:hAnsi="Arial"/>
                <w:sz w:val="14"/>
                <w:szCs w:val="14"/>
                <w:b w:val="1"/>
                <w:bCs w:val="1"/>
                <w:color w:val="auto"/>
              </w:rPr>
              <w:t>2017</w:t>
            </w:r>
          </w:p>
        </w:tc>
        <w:tc>
          <w:tcPr>
            <w:tcW w:w="20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jc w:val="right"/>
              <w:ind w:right="193"/>
              <w:spacing w:after="0" w:line="155" w:lineRule="exact"/>
              <w:rPr>
                <w:sz w:val="20"/>
                <w:szCs w:val="20"/>
                <w:color w:val="auto"/>
              </w:rPr>
            </w:pPr>
            <w:r>
              <w:rPr>
                <w:rFonts w:ascii="Arial" w:cs="Arial" w:eastAsia="Arial" w:hAnsi="Arial"/>
                <w:sz w:val="14"/>
                <w:szCs w:val="14"/>
                <w:b w:val="1"/>
                <w:bCs w:val="1"/>
                <w:color w:val="auto"/>
              </w:rPr>
              <w:t>2016</w:t>
            </w:r>
          </w:p>
        </w:tc>
        <w:tc>
          <w:tcPr>
            <w:tcW w:w="200" w:type="dxa"/>
            <w:vAlign w:val="bottom"/>
          </w:tcPr>
          <w:p>
            <w:pPr>
              <w:spacing w:after="0"/>
              <w:rPr>
                <w:sz w:val="13"/>
                <w:szCs w:val="13"/>
                <w:color w:val="auto"/>
              </w:rPr>
            </w:pPr>
          </w:p>
        </w:tc>
        <w:tc>
          <w:tcPr>
            <w:tcW w:w="1320" w:type="dxa"/>
            <w:vAlign w:val="bottom"/>
            <w:gridSpan w:val="3"/>
          </w:tcPr>
          <w:p>
            <w:pPr>
              <w:ind w:left="20"/>
              <w:spacing w:after="0" w:line="155" w:lineRule="exact"/>
              <w:rPr>
                <w:sz w:val="20"/>
                <w:szCs w:val="20"/>
                <w:color w:val="auto"/>
              </w:rPr>
            </w:pPr>
            <w:r>
              <w:rPr>
                <w:rFonts w:ascii="Arial" w:cs="Arial" w:eastAsia="Arial" w:hAnsi="Arial"/>
                <w:sz w:val="14"/>
                <w:szCs w:val="14"/>
                <w:b w:val="1"/>
                <w:bCs w:val="1"/>
                <w:color w:val="auto"/>
                <w:w w:val="96"/>
              </w:rPr>
              <w:t>Increase/(Decrease)</w:t>
            </w:r>
          </w:p>
        </w:tc>
        <w:tc>
          <w:tcPr>
            <w:tcW w:w="0" w:type="dxa"/>
            <w:vAlign w:val="bottom"/>
          </w:tcPr>
          <w:p>
            <w:pPr>
              <w:spacing w:after="0"/>
              <w:rPr>
                <w:sz w:val="1"/>
                <w:szCs w:val="1"/>
                <w:color w:val="auto"/>
              </w:rPr>
            </w:pPr>
          </w:p>
        </w:tc>
      </w:tr>
      <w:tr>
        <w:trPr>
          <w:trHeight w:val="223"/>
        </w:trPr>
        <w:tc>
          <w:tcPr>
            <w:tcW w:w="44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Collaboration expenses</w:t>
            </w:r>
          </w:p>
        </w:tc>
        <w:tc>
          <w:tcPr>
            <w:tcW w:w="180" w:type="dxa"/>
            <w:vAlign w:val="bottom"/>
            <w:tcBorders>
              <w:top w:val="single" w:sz="8" w:color="auto"/>
            </w:tcBorders>
            <w:shd w:val="clear" w:color="auto" w:fill="CFF0FC"/>
          </w:tcPr>
          <w:p>
            <w:pPr>
              <w:jc w:val="right"/>
              <w:ind w:right="26"/>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51</w:t>
            </w:r>
          </w:p>
        </w:tc>
        <w:tc>
          <w:tcPr>
            <w:tcW w:w="20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342</w:t>
            </w:r>
          </w:p>
        </w:tc>
        <w:tc>
          <w:tcPr>
            <w:tcW w:w="2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1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(291)</w:t>
            </w:r>
          </w:p>
        </w:tc>
        <w:tc>
          <w:tcPr>
            <w:tcW w:w="14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121</w:t>
            </w:r>
          </w:p>
        </w:tc>
        <w:tc>
          <w:tcPr>
            <w:tcW w:w="20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631</w:t>
            </w:r>
          </w:p>
        </w:tc>
        <w:tc>
          <w:tcPr>
            <w:tcW w:w="2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(510)</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00" w:type="dxa"/>
            <w:vAlign w:val="bottom"/>
          </w:tcPr>
          <w:p>
            <w:pPr>
              <w:spacing w:after="0"/>
              <w:rPr>
                <w:sz w:val="20"/>
                <w:szCs w:val="20"/>
                <w:color w:val="auto"/>
              </w:rPr>
            </w:pPr>
            <w:r>
              <w:rPr>
                <w:rFonts w:ascii="Arial" w:cs="Arial" w:eastAsia="Arial" w:hAnsi="Arial"/>
                <w:sz w:val="18"/>
                <w:szCs w:val="18"/>
                <w:color w:val="auto"/>
              </w:rPr>
              <w:t>XEN801 expenses</w:t>
            </w: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101</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1,173</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gridSpan w:val="2"/>
          </w:tcPr>
          <w:p>
            <w:pPr>
              <w:jc w:val="right"/>
              <w:ind w:right="80"/>
              <w:spacing w:after="0"/>
              <w:rPr>
                <w:sz w:val="20"/>
                <w:szCs w:val="20"/>
                <w:color w:val="auto"/>
              </w:rPr>
            </w:pPr>
            <w:r>
              <w:rPr>
                <w:rFonts w:ascii="Arial" w:cs="Arial" w:eastAsia="Arial" w:hAnsi="Arial"/>
                <w:sz w:val="18"/>
                <w:szCs w:val="18"/>
                <w:color w:val="auto"/>
              </w:rPr>
              <w:t>(1,072)</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1,550</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2,333</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(783)</w:t>
            </w:r>
          </w:p>
        </w:tc>
        <w:tc>
          <w:tcPr>
            <w:tcW w:w="0" w:type="dxa"/>
            <w:vAlign w:val="bottom"/>
          </w:tcPr>
          <w:p>
            <w:pPr>
              <w:spacing w:after="0"/>
              <w:rPr>
                <w:sz w:val="1"/>
                <w:szCs w:val="1"/>
                <w:color w:val="auto"/>
              </w:rPr>
            </w:pPr>
          </w:p>
        </w:tc>
      </w:tr>
      <w:tr>
        <w:trPr>
          <w:trHeight w:val="230"/>
        </w:trPr>
        <w:tc>
          <w:tcPr>
            <w:tcW w:w="4400" w:type="dxa"/>
            <w:vAlign w:val="bottom"/>
            <w:shd w:val="clear" w:color="auto" w:fill="CFF0FC"/>
          </w:tcPr>
          <w:p>
            <w:pPr>
              <w:spacing w:after="0"/>
              <w:rPr>
                <w:sz w:val="20"/>
                <w:szCs w:val="20"/>
                <w:color w:val="auto"/>
              </w:rPr>
            </w:pPr>
            <w:r>
              <w:rPr>
                <w:rFonts w:ascii="Arial" w:cs="Arial" w:eastAsia="Arial" w:hAnsi="Arial"/>
                <w:sz w:val="18"/>
                <w:szCs w:val="18"/>
                <w:color w:val="auto"/>
                <w:w w:val="97"/>
              </w:rPr>
              <w:t>XEN901 and Nav1.6 preclinical and discovery expenses</w:t>
            </w:r>
          </w:p>
        </w:tc>
        <w:tc>
          <w:tcPr>
            <w:tcW w:w="18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3,281</w:t>
            </w:r>
          </w:p>
        </w:tc>
        <w:tc>
          <w:tcPr>
            <w:tcW w:w="2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2,546</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735</w:t>
            </w:r>
          </w:p>
        </w:tc>
        <w:tc>
          <w:tcPr>
            <w:tcW w:w="1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5,795</w:t>
            </w:r>
          </w:p>
        </w:tc>
        <w:tc>
          <w:tcPr>
            <w:tcW w:w="2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4,667</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1,128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00" w:type="dxa"/>
            <w:vAlign w:val="bottom"/>
          </w:tcPr>
          <w:p>
            <w:pPr>
              <w:spacing w:after="0"/>
              <w:rPr>
                <w:sz w:val="20"/>
                <w:szCs w:val="20"/>
                <w:color w:val="auto"/>
              </w:rPr>
            </w:pPr>
            <w:r>
              <w:rPr>
                <w:rFonts w:ascii="Arial" w:cs="Arial" w:eastAsia="Arial" w:hAnsi="Arial"/>
                <w:sz w:val="18"/>
                <w:szCs w:val="18"/>
                <w:color w:val="auto"/>
              </w:rPr>
              <w:t>XEN1101 expenses</w:t>
            </w: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1,025</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1,025</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1,151</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1,151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00" w:type="dxa"/>
            <w:vAlign w:val="bottom"/>
            <w:shd w:val="clear" w:color="auto" w:fill="CFF0FC"/>
          </w:tcPr>
          <w:p>
            <w:pPr>
              <w:spacing w:after="0"/>
              <w:rPr>
                <w:sz w:val="20"/>
                <w:szCs w:val="20"/>
                <w:color w:val="auto"/>
              </w:rPr>
            </w:pPr>
            <w:r>
              <w:rPr>
                <w:rFonts w:ascii="Arial" w:cs="Arial" w:eastAsia="Arial" w:hAnsi="Arial"/>
                <w:sz w:val="18"/>
                <w:szCs w:val="18"/>
                <w:color w:val="auto"/>
              </w:rPr>
              <w:t>Preclinical and discovery program expenses</w:t>
            </w:r>
          </w:p>
        </w:tc>
        <w:tc>
          <w:tcPr>
            <w:tcW w:w="180" w:type="dxa"/>
            <w:vAlign w:val="bottom"/>
            <w:tcBorders>
              <w:bottom w:val="single" w:sz="8" w:color="auto"/>
            </w:tcBorders>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1,651</w:t>
            </w:r>
          </w:p>
        </w:tc>
        <w:tc>
          <w:tcPr>
            <w:tcW w:w="20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1,042</w:t>
            </w:r>
          </w:p>
        </w:tc>
        <w:tc>
          <w:tcPr>
            <w:tcW w:w="20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609</w:t>
            </w:r>
          </w:p>
        </w:tc>
        <w:tc>
          <w:tcPr>
            <w:tcW w:w="1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3,395</w:t>
            </w:r>
          </w:p>
        </w:tc>
        <w:tc>
          <w:tcPr>
            <w:tcW w:w="20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1,836</w:t>
            </w:r>
          </w:p>
        </w:tc>
        <w:tc>
          <w:tcPr>
            <w:tcW w:w="20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1,559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400" w:type="dxa"/>
            <w:vAlign w:val="bottom"/>
          </w:tcPr>
          <w:p>
            <w:pPr>
              <w:spacing w:after="0"/>
              <w:rPr>
                <w:sz w:val="20"/>
                <w:szCs w:val="20"/>
                <w:color w:val="auto"/>
              </w:rPr>
            </w:pPr>
            <w:r>
              <w:rPr>
                <w:rFonts w:ascii="Arial" w:cs="Arial" w:eastAsia="Arial" w:hAnsi="Arial"/>
                <w:sz w:val="18"/>
                <w:szCs w:val="18"/>
                <w:color w:val="auto"/>
              </w:rPr>
              <w:t>Total research and development expenses</w:t>
            </w:r>
          </w:p>
        </w:tc>
        <w:tc>
          <w:tcPr>
            <w:tcW w:w="180" w:type="dxa"/>
            <w:vAlign w:val="bottom"/>
            <w:tcBorders>
              <w:bottom w:val="single" w:sz="8" w:color="auto"/>
            </w:tcBorders>
          </w:tcPr>
          <w:p>
            <w:pPr>
              <w:jc w:val="right"/>
              <w:ind w:right="26"/>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6,109</w:t>
            </w:r>
          </w:p>
        </w:tc>
        <w:tc>
          <w:tcPr>
            <w:tcW w:w="200" w:type="dxa"/>
            <w:vAlign w:val="bottom"/>
          </w:tcPr>
          <w:p>
            <w:pPr>
              <w:spacing w:after="0"/>
              <w:rPr>
                <w:sz w:val="19"/>
                <w:szCs w:val="19"/>
                <w:color w:val="auto"/>
              </w:rPr>
            </w:pPr>
          </w:p>
        </w:tc>
        <w:tc>
          <w:tcPr>
            <w:tcW w:w="18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5,103</w:t>
            </w:r>
          </w:p>
        </w:tc>
        <w:tc>
          <w:tcPr>
            <w:tcW w:w="200" w:type="dxa"/>
            <w:vAlign w:val="bottom"/>
          </w:tcPr>
          <w:p>
            <w:pPr>
              <w:spacing w:after="0"/>
              <w:rPr>
                <w:sz w:val="19"/>
                <w:szCs w:val="19"/>
                <w:color w:val="auto"/>
              </w:rPr>
            </w:pPr>
          </w:p>
        </w:tc>
        <w:tc>
          <w:tcPr>
            <w:tcW w:w="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1,006</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12,012</w:t>
            </w:r>
          </w:p>
        </w:tc>
        <w:tc>
          <w:tcPr>
            <w:tcW w:w="2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9,467</w:t>
            </w:r>
          </w:p>
        </w:tc>
        <w:tc>
          <w:tcPr>
            <w:tcW w:w="200" w:type="dxa"/>
            <w:vAlign w:val="bottom"/>
          </w:tcPr>
          <w:p>
            <w:pPr>
              <w:spacing w:after="0"/>
              <w:rPr>
                <w:sz w:val="19"/>
                <w:szCs w:val="19"/>
                <w:color w:val="auto"/>
              </w:rPr>
            </w:pPr>
          </w:p>
        </w:tc>
        <w:tc>
          <w:tcPr>
            <w:tcW w:w="1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2,545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4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right="160" w:firstLine="518"/>
        <w:spacing w:after="0" w:line="302" w:lineRule="auto"/>
        <w:rPr>
          <w:sz w:val="20"/>
          <w:szCs w:val="20"/>
          <w:color w:val="auto"/>
        </w:rPr>
      </w:pPr>
      <w:r>
        <w:rPr>
          <w:rFonts w:ascii="Arial" w:cs="Arial" w:eastAsia="Arial" w:hAnsi="Arial"/>
          <w:sz w:val="16"/>
          <w:szCs w:val="16"/>
          <w:color w:val="auto"/>
        </w:rPr>
        <w:t>Research and development expenses increased by $1.0 million and $2.5 million in the three and six months ended June 30, 2017 as compared to the three and six months ended June 30, 2016, respectively. These increases were primarily attributable to increased spending on our internal preclinical and discovery programs, our XEN1101 product candidate which was acquired in April 2017, and our XEN901 product candidate. These increases were partially offset by a decrease in XEN801 expenses, a product candidate which is no longer being developed, and a decrease in collaboration expenses.</w:t>
      </w:r>
    </w:p>
    <w:p>
      <w:pPr>
        <w:spacing w:after="0" w:line="262"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General and Administrative Expenses</w:t>
      </w:r>
    </w:p>
    <w:p>
      <w:pPr>
        <w:spacing w:after="0" w:line="117" w:lineRule="exact"/>
        <w:rPr>
          <w:sz w:val="20"/>
          <w:szCs w:val="20"/>
          <w:color w:val="auto"/>
        </w:rPr>
      </w:pPr>
    </w:p>
    <w:p>
      <w:pPr>
        <w:ind w:firstLine="518"/>
        <w:spacing w:after="0" w:line="277" w:lineRule="auto"/>
        <w:rPr>
          <w:sz w:val="20"/>
          <w:szCs w:val="20"/>
          <w:color w:val="auto"/>
        </w:rPr>
      </w:pPr>
      <w:r>
        <w:rPr>
          <w:rFonts w:ascii="Arial" w:cs="Arial" w:eastAsia="Arial" w:hAnsi="Arial"/>
          <w:sz w:val="18"/>
          <w:szCs w:val="18"/>
          <w:color w:val="auto"/>
        </w:rPr>
        <w:t>The following table summarizes general and administrative expenses for the three and six months ended June 30, 2017 and 2016 together with changes in those items (in thousands):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00" w:type="dxa"/>
            <w:vAlign w:val="bottom"/>
          </w:tcPr>
          <w:p>
            <w:pPr>
              <w:spacing w:after="0"/>
              <w:rPr>
                <w:sz w:val="14"/>
                <w:szCs w:val="14"/>
                <w:color w:val="auto"/>
              </w:rPr>
            </w:pPr>
          </w:p>
        </w:tc>
        <w:tc>
          <w:tcPr>
            <w:tcW w:w="2200" w:type="dxa"/>
            <w:vAlign w:val="bottom"/>
            <w:gridSpan w:val="6"/>
            <w:vMerge w:val="restart"/>
          </w:tcPr>
          <w:p>
            <w:pPr>
              <w:ind w:left="60"/>
              <w:spacing w:after="0"/>
              <w:rPr>
                <w:sz w:val="20"/>
                <w:szCs w:val="20"/>
                <w:color w:val="auto"/>
              </w:rPr>
            </w:pPr>
            <w:r>
              <w:rPr>
                <w:rFonts w:ascii="Arial" w:cs="Arial" w:eastAsia="Arial" w:hAnsi="Arial"/>
                <w:sz w:val="14"/>
                <w:szCs w:val="14"/>
                <w:b w:val="1"/>
                <w:bCs w:val="1"/>
                <w:color w:val="auto"/>
              </w:rPr>
              <w:t>Three Months Ended June 30,</w:t>
            </w:r>
          </w:p>
        </w:tc>
        <w:tc>
          <w:tcPr>
            <w:tcW w:w="140" w:type="dxa"/>
            <w:vAlign w:val="bottom"/>
          </w:tcPr>
          <w:p>
            <w:pPr>
              <w:spacing w:after="0"/>
              <w:rPr>
                <w:sz w:val="14"/>
                <w:szCs w:val="14"/>
                <w:color w:val="auto"/>
              </w:rPr>
            </w:pPr>
          </w:p>
        </w:tc>
        <w:tc>
          <w:tcPr>
            <w:tcW w:w="12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9"/>
              </w:rPr>
              <w:t>Change</w:t>
            </w:r>
          </w:p>
        </w:tc>
        <w:tc>
          <w:tcPr>
            <w:tcW w:w="100" w:type="dxa"/>
            <w:vAlign w:val="bottom"/>
          </w:tcPr>
          <w:p>
            <w:pPr>
              <w:spacing w:after="0"/>
              <w:rPr>
                <w:sz w:val="14"/>
                <w:szCs w:val="14"/>
                <w:color w:val="auto"/>
              </w:rPr>
            </w:pPr>
          </w:p>
        </w:tc>
        <w:tc>
          <w:tcPr>
            <w:tcW w:w="2000" w:type="dxa"/>
            <w:vAlign w:val="bottom"/>
            <w:gridSpan w:val="5"/>
            <w:vMerge w:val="restart"/>
          </w:tcPr>
          <w:p>
            <w:pPr>
              <w:spacing w:after="0"/>
              <w:rPr>
                <w:sz w:val="20"/>
                <w:szCs w:val="20"/>
                <w:color w:val="auto"/>
              </w:rPr>
            </w:pPr>
            <w:r>
              <w:rPr>
                <w:rFonts w:ascii="Arial" w:cs="Arial" w:eastAsia="Arial" w:hAnsi="Arial"/>
                <w:sz w:val="14"/>
                <w:szCs w:val="14"/>
                <w:b w:val="1"/>
                <w:bCs w:val="1"/>
                <w:color w:val="auto"/>
              </w:rPr>
              <w:t>Six Months Ended June 30,</w:t>
            </w:r>
          </w:p>
        </w:tc>
        <w:tc>
          <w:tcPr>
            <w:tcW w:w="140" w:type="dxa"/>
            <w:vAlign w:val="bottom"/>
          </w:tcPr>
          <w:p>
            <w:pPr>
              <w:spacing w:after="0"/>
              <w:rPr>
                <w:sz w:val="14"/>
                <w:szCs w:val="14"/>
                <w:color w:val="auto"/>
              </w:rPr>
            </w:pPr>
          </w:p>
        </w:tc>
        <w:tc>
          <w:tcPr>
            <w:tcW w:w="11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Change</w:t>
            </w:r>
          </w:p>
        </w:tc>
        <w:tc>
          <w:tcPr>
            <w:tcW w:w="0" w:type="dxa"/>
            <w:vAlign w:val="bottom"/>
          </w:tcPr>
          <w:p>
            <w:pPr>
              <w:spacing w:after="0"/>
              <w:rPr>
                <w:sz w:val="1"/>
                <w:szCs w:val="1"/>
                <w:color w:val="auto"/>
              </w:rPr>
            </w:pPr>
          </w:p>
        </w:tc>
      </w:tr>
      <w:tr>
        <w:trPr>
          <w:trHeight w:val="171"/>
        </w:trPr>
        <w:tc>
          <w:tcPr>
            <w:tcW w:w="4400" w:type="dxa"/>
            <w:vAlign w:val="bottom"/>
          </w:tcPr>
          <w:p>
            <w:pPr>
              <w:spacing w:after="0"/>
              <w:rPr>
                <w:sz w:val="14"/>
                <w:szCs w:val="14"/>
                <w:color w:val="auto"/>
              </w:rPr>
            </w:pPr>
          </w:p>
        </w:tc>
        <w:tc>
          <w:tcPr>
            <w:tcW w:w="2200" w:type="dxa"/>
            <w:vAlign w:val="bottom"/>
            <w:gridSpan w:val="6"/>
            <w:vMerge w:val="continue"/>
          </w:tcPr>
          <w:p>
            <w:pPr>
              <w:spacing w:after="0"/>
              <w:rPr>
                <w:sz w:val="14"/>
                <w:szCs w:val="14"/>
                <w:color w:val="auto"/>
              </w:rPr>
            </w:pPr>
          </w:p>
        </w:tc>
        <w:tc>
          <w:tcPr>
            <w:tcW w:w="140" w:type="dxa"/>
            <w:vAlign w:val="bottom"/>
          </w:tcPr>
          <w:p>
            <w:pPr>
              <w:spacing w:after="0"/>
              <w:rPr>
                <w:sz w:val="14"/>
                <w:szCs w:val="14"/>
                <w:color w:val="auto"/>
              </w:rPr>
            </w:pPr>
          </w:p>
        </w:tc>
        <w:tc>
          <w:tcPr>
            <w:tcW w:w="12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1"/>
              </w:rPr>
              <w:t>2017 vs. 2016</w:t>
            </w:r>
          </w:p>
        </w:tc>
        <w:tc>
          <w:tcPr>
            <w:tcW w:w="100" w:type="dxa"/>
            <w:vAlign w:val="bottom"/>
          </w:tcPr>
          <w:p>
            <w:pPr>
              <w:spacing w:after="0"/>
              <w:rPr>
                <w:sz w:val="14"/>
                <w:szCs w:val="14"/>
                <w:color w:val="auto"/>
              </w:rPr>
            </w:pPr>
          </w:p>
        </w:tc>
        <w:tc>
          <w:tcPr>
            <w:tcW w:w="2000" w:type="dxa"/>
            <w:vAlign w:val="bottom"/>
            <w:gridSpan w:val="5"/>
            <w:vMerge w:val="continue"/>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2017 vs. 2016</w:t>
            </w:r>
          </w:p>
        </w:tc>
        <w:tc>
          <w:tcPr>
            <w:tcW w:w="0" w:type="dxa"/>
            <w:vAlign w:val="bottom"/>
          </w:tcPr>
          <w:p>
            <w:pPr>
              <w:spacing w:after="0"/>
              <w:rPr>
                <w:sz w:val="1"/>
                <w:szCs w:val="1"/>
                <w:color w:val="auto"/>
              </w:rPr>
            </w:pPr>
          </w:p>
        </w:tc>
      </w:tr>
      <w:tr>
        <w:trPr>
          <w:trHeight w:val="156"/>
        </w:trPr>
        <w:tc>
          <w:tcPr>
            <w:tcW w:w="440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jc w:val="right"/>
              <w:ind w:right="339"/>
              <w:spacing w:after="0" w:line="155" w:lineRule="exact"/>
              <w:rPr>
                <w:sz w:val="20"/>
                <w:szCs w:val="20"/>
                <w:color w:val="auto"/>
              </w:rPr>
            </w:pPr>
            <w:r>
              <w:rPr>
                <w:rFonts w:ascii="Arial" w:cs="Arial" w:eastAsia="Arial" w:hAnsi="Arial"/>
                <w:sz w:val="14"/>
                <w:szCs w:val="14"/>
                <w:b w:val="1"/>
                <w:bCs w:val="1"/>
                <w:color w:val="auto"/>
              </w:rPr>
              <w:t>2017</w:t>
            </w:r>
          </w:p>
        </w:tc>
        <w:tc>
          <w:tcPr>
            <w:tcW w:w="10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jc w:val="right"/>
              <w:ind w:right="219"/>
              <w:spacing w:after="0" w:line="155" w:lineRule="exact"/>
              <w:rPr>
                <w:sz w:val="20"/>
                <w:szCs w:val="20"/>
                <w:color w:val="auto"/>
              </w:rPr>
            </w:pPr>
            <w:r>
              <w:rPr>
                <w:rFonts w:ascii="Arial" w:cs="Arial" w:eastAsia="Arial" w:hAnsi="Arial"/>
                <w:sz w:val="14"/>
                <w:szCs w:val="14"/>
                <w:b w:val="1"/>
                <w:bCs w:val="1"/>
                <w:color w:val="auto"/>
              </w:rPr>
              <w:t>2016</w:t>
            </w:r>
          </w:p>
        </w:tc>
        <w:tc>
          <w:tcPr>
            <w:tcW w:w="200" w:type="dxa"/>
            <w:vAlign w:val="bottom"/>
          </w:tcPr>
          <w:p>
            <w:pPr>
              <w:spacing w:after="0"/>
              <w:rPr>
                <w:sz w:val="13"/>
                <w:szCs w:val="13"/>
                <w:color w:val="auto"/>
              </w:rPr>
            </w:pPr>
          </w:p>
        </w:tc>
        <w:tc>
          <w:tcPr>
            <w:tcW w:w="1400" w:type="dxa"/>
            <w:vAlign w:val="bottom"/>
            <w:gridSpan w:val="3"/>
          </w:tcPr>
          <w:p>
            <w:pPr>
              <w:jc w:val="center"/>
              <w:ind w:right="200"/>
              <w:spacing w:after="0" w:line="155" w:lineRule="exact"/>
              <w:rPr>
                <w:sz w:val="20"/>
                <w:szCs w:val="20"/>
                <w:color w:val="auto"/>
              </w:rPr>
            </w:pPr>
            <w:r>
              <w:rPr>
                <w:rFonts w:ascii="Arial" w:cs="Arial" w:eastAsia="Arial" w:hAnsi="Arial"/>
                <w:sz w:val="14"/>
                <w:szCs w:val="14"/>
                <w:b w:val="1"/>
                <w:bCs w:val="1"/>
                <w:color w:val="auto"/>
                <w:w w:val="90"/>
              </w:rPr>
              <w:t>Increase/(Decrease)</w:t>
            </w:r>
          </w:p>
        </w:tc>
        <w:tc>
          <w:tcPr>
            <w:tcW w:w="10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jc w:val="right"/>
              <w:ind w:right="222"/>
              <w:spacing w:after="0" w:line="155" w:lineRule="exact"/>
              <w:rPr>
                <w:sz w:val="20"/>
                <w:szCs w:val="20"/>
                <w:color w:val="auto"/>
              </w:rPr>
            </w:pPr>
            <w:r>
              <w:rPr>
                <w:rFonts w:ascii="Arial" w:cs="Arial" w:eastAsia="Arial" w:hAnsi="Arial"/>
                <w:sz w:val="14"/>
                <w:szCs w:val="14"/>
                <w:b w:val="1"/>
                <w:bCs w:val="1"/>
                <w:color w:val="auto"/>
              </w:rPr>
              <w:t>2017</w:t>
            </w:r>
          </w:p>
        </w:tc>
        <w:tc>
          <w:tcPr>
            <w:tcW w:w="20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jc w:val="right"/>
              <w:ind w:right="199"/>
              <w:spacing w:after="0" w:line="155" w:lineRule="exact"/>
              <w:rPr>
                <w:sz w:val="20"/>
                <w:szCs w:val="20"/>
                <w:color w:val="auto"/>
              </w:rPr>
            </w:pPr>
            <w:r>
              <w:rPr>
                <w:rFonts w:ascii="Arial" w:cs="Arial" w:eastAsia="Arial" w:hAnsi="Arial"/>
                <w:sz w:val="14"/>
                <w:szCs w:val="14"/>
                <w:b w:val="1"/>
                <w:bCs w:val="1"/>
                <w:color w:val="auto"/>
              </w:rPr>
              <w:t>2016</w:t>
            </w:r>
          </w:p>
        </w:tc>
        <w:tc>
          <w:tcPr>
            <w:tcW w:w="200" w:type="dxa"/>
            <w:vAlign w:val="bottom"/>
          </w:tcPr>
          <w:p>
            <w:pPr>
              <w:spacing w:after="0"/>
              <w:rPr>
                <w:sz w:val="13"/>
                <w:szCs w:val="13"/>
                <w:color w:val="auto"/>
              </w:rPr>
            </w:pPr>
          </w:p>
        </w:tc>
        <w:tc>
          <w:tcPr>
            <w:tcW w:w="1320" w:type="dxa"/>
            <w:vAlign w:val="bottom"/>
            <w:gridSpan w:val="3"/>
          </w:tcPr>
          <w:p>
            <w:pPr>
              <w:jc w:val="center"/>
              <w:ind w:right="80"/>
              <w:spacing w:after="0" w:line="155" w:lineRule="exact"/>
              <w:rPr>
                <w:sz w:val="20"/>
                <w:szCs w:val="20"/>
                <w:color w:val="auto"/>
              </w:rPr>
            </w:pPr>
            <w:r>
              <w:rPr>
                <w:rFonts w:ascii="Arial" w:cs="Arial" w:eastAsia="Arial" w:hAnsi="Arial"/>
                <w:sz w:val="14"/>
                <w:szCs w:val="14"/>
                <w:b w:val="1"/>
                <w:bCs w:val="1"/>
                <w:color w:val="auto"/>
                <w:w w:val="90"/>
              </w:rPr>
              <w:t>Increase/(Decrease)</w:t>
            </w:r>
          </w:p>
        </w:tc>
        <w:tc>
          <w:tcPr>
            <w:tcW w:w="0" w:type="dxa"/>
            <w:vAlign w:val="bottom"/>
          </w:tcPr>
          <w:p>
            <w:pPr>
              <w:spacing w:after="0"/>
              <w:rPr>
                <w:sz w:val="1"/>
                <w:szCs w:val="1"/>
                <w:color w:val="auto"/>
              </w:rPr>
            </w:pPr>
          </w:p>
        </w:tc>
      </w:tr>
      <w:tr>
        <w:trPr>
          <w:trHeight w:val="223"/>
        </w:trPr>
        <w:tc>
          <w:tcPr>
            <w:tcW w:w="440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General and administrative expenses</w:t>
            </w:r>
          </w:p>
        </w:tc>
        <w:tc>
          <w:tcPr>
            <w:tcW w:w="200" w:type="dxa"/>
            <w:vAlign w:val="bottom"/>
            <w:tcBorders>
              <w:top w:val="single" w:sz="8" w:color="auto"/>
              <w:bottom w:val="single" w:sz="8" w:color="auto"/>
            </w:tcBorders>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shd w:val="clear" w:color="auto" w:fill="CFF0FC"/>
          </w:tcPr>
          <w:p>
            <w:pPr>
              <w:jc w:val="right"/>
              <w:ind w:right="39"/>
              <w:spacing w:after="0"/>
              <w:rPr>
                <w:sz w:val="20"/>
                <w:szCs w:val="20"/>
                <w:color w:val="auto"/>
              </w:rPr>
            </w:pPr>
            <w:r>
              <w:rPr>
                <w:rFonts w:ascii="Arial" w:cs="Arial" w:eastAsia="Arial" w:hAnsi="Arial"/>
                <w:sz w:val="18"/>
                <w:szCs w:val="18"/>
                <w:color w:val="auto"/>
              </w:rPr>
              <w:t>1,799</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1,676</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123</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3,899</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3,571</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328</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4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35" w:right="239" w:bottom="1440" w:gutter="0" w:footer="0" w:header="0"/>
        </w:sectPr>
      </w:pPr>
    </w:p>
    <w:bookmarkStart w:id="17" w:name="page18"/>
    <w:bookmarkEnd w:id="17"/>
    <w:p>
      <w:pPr>
        <w:ind w:right="40" w:firstLine="518"/>
        <w:spacing w:after="0" w:line="264" w:lineRule="auto"/>
        <w:rPr>
          <w:sz w:val="20"/>
          <w:szCs w:val="20"/>
          <w:color w:val="auto"/>
        </w:rPr>
      </w:pPr>
      <w:r>
        <w:rPr>
          <w:rFonts w:ascii="Arial" w:cs="Arial" w:eastAsia="Arial" w:hAnsi="Arial"/>
          <w:sz w:val="18"/>
          <w:szCs w:val="18"/>
          <w:color w:val="auto"/>
        </w:rPr>
        <w:t>General and administrative expenses increased by $0.1 million and $0.3 million in the three and six months ended June 30, 2017 as compared to the three and six months ended June 30, 2016, respectively. These increases were primarily attributable to increased costs for business development activities and salaries and benefits, partially offset by the fair value adjustment on our liability classified stock options.</w:t>
      </w:r>
    </w:p>
    <w:p>
      <w:pPr>
        <w:spacing w:after="0" w:line="289"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Other Income</w:t>
      </w:r>
    </w:p>
    <w:p>
      <w:pPr>
        <w:spacing w:after="0" w:line="117" w:lineRule="exact"/>
        <w:rPr>
          <w:sz w:val="20"/>
          <w:szCs w:val="20"/>
          <w:color w:val="auto"/>
        </w:rPr>
      </w:pPr>
    </w:p>
    <w:p>
      <w:pPr>
        <w:ind w:right="80" w:firstLine="518"/>
        <w:spacing w:after="0" w:line="277" w:lineRule="auto"/>
        <w:rPr>
          <w:sz w:val="20"/>
          <w:szCs w:val="20"/>
          <w:color w:val="auto"/>
        </w:rPr>
      </w:pPr>
      <w:r>
        <w:rPr>
          <w:rFonts w:ascii="Arial" w:cs="Arial" w:eastAsia="Arial" w:hAnsi="Arial"/>
          <w:sz w:val="18"/>
          <w:szCs w:val="18"/>
          <w:color w:val="auto"/>
        </w:rPr>
        <w:t>The following table summarizes our other income for the three and six months ended June 30, 2017 and 2016 together with changes in those items (in thousands):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60" w:type="dxa"/>
            <w:vAlign w:val="bottom"/>
          </w:tcPr>
          <w:p>
            <w:pPr>
              <w:spacing w:after="0"/>
              <w:rPr>
                <w:sz w:val="14"/>
                <w:szCs w:val="14"/>
                <w:color w:val="auto"/>
              </w:rPr>
            </w:pPr>
          </w:p>
        </w:tc>
        <w:tc>
          <w:tcPr>
            <w:tcW w:w="2220" w:type="dxa"/>
            <w:vAlign w:val="bottom"/>
            <w:gridSpan w:val="6"/>
            <w:vMerge w:val="restart"/>
          </w:tcPr>
          <w:p>
            <w:pPr>
              <w:ind w:left="60"/>
              <w:spacing w:after="0"/>
              <w:rPr>
                <w:sz w:val="20"/>
                <w:szCs w:val="20"/>
                <w:color w:val="auto"/>
              </w:rPr>
            </w:pPr>
            <w:r>
              <w:rPr>
                <w:rFonts w:ascii="Arial" w:cs="Arial" w:eastAsia="Arial" w:hAnsi="Arial"/>
                <w:sz w:val="14"/>
                <w:szCs w:val="14"/>
                <w:b w:val="1"/>
                <w:bCs w:val="1"/>
                <w:color w:val="auto"/>
              </w:rPr>
              <w:t>Three Months Ended June 30,</w:t>
            </w:r>
          </w:p>
        </w:tc>
        <w:tc>
          <w:tcPr>
            <w:tcW w:w="140" w:type="dxa"/>
            <w:vAlign w:val="bottom"/>
          </w:tcPr>
          <w:p>
            <w:pPr>
              <w:spacing w:after="0"/>
              <w:rPr>
                <w:sz w:val="14"/>
                <w:szCs w:val="14"/>
                <w:color w:val="auto"/>
              </w:rPr>
            </w:pPr>
          </w:p>
        </w:tc>
        <w:tc>
          <w:tcPr>
            <w:tcW w:w="12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3"/>
              </w:rPr>
              <w:t>Change</w:t>
            </w:r>
          </w:p>
        </w:tc>
        <w:tc>
          <w:tcPr>
            <w:tcW w:w="100" w:type="dxa"/>
            <w:vAlign w:val="bottom"/>
          </w:tcPr>
          <w:p>
            <w:pPr>
              <w:spacing w:after="0"/>
              <w:rPr>
                <w:sz w:val="14"/>
                <w:szCs w:val="14"/>
                <w:color w:val="auto"/>
              </w:rPr>
            </w:pPr>
          </w:p>
        </w:tc>
        <w:tc>
          <w:tcPr>
            <w:tcW w:w="2020" w:type="dxa"/>
            <w:vAlign w:val="bottom"/>
            <w:gridSpan w:val="5"/>
            <w:vMerge w:val="restart"/>
          </w:tcPr>
          <w:p>
            <w:pPr>
              <w:ind w:left="20"/>
              <w:spacing w:after="0"/>
              <w:rPr>
                <w:sz w:val="20"/>
                <w:szCs w:val="20"/>
                <w:color w:val="auto"/>
              </w:rPr>
            </w:pPr>
            <w:r>
              <w:rPr>
                <w:rFonts w:ascii="Arial" w:cs="Arial" w:eastAsia="Arial" w:hAnsi="Arial"/>
                <w:sz w:val="14"/>
                <w:szCs w:val="14"/>
                <w:b w:val="1"/>
                <w:bCs w:val="1"/>
                <w:color w:val="auto"/>
              </w:rPr>
              <w:t>Six Months Ended June 30,</w:t>
            </w:r>
          </w:p>
        </w:tc>
        <w:tc>
          <w:tcPr>
            <w:tcW w:w="140" w:type="dxa"/>
            <w:vAlign w:val="bottom"/>
          </w:tcPr>
          <w:p>
            <w:pPr>
              <w:spacing w:after="0"/>
              <w:rPr>
                <w:sz w:val="14"/>
                <w:szCs w:val="14"/>
                <w:color w:val="auto"/>
              </w:rPr>
            </w:pPr>
          </w:p>
        </w:tc>
        <w:tc>
          <w:tcPr>
            <w:tcW w:w="11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Change</w:t>
            </w:r>
          </w:p>
        </w:tc>
        <w:tc>
          <w:tcPr>
            <w:tcW w:w="0" w:type="dxa"/>
            <w:vAlign w:val="bottom"/>
          </w:tcPr>
          <w:p>
            <w:pPr>
              <w:spacing w:after="0"/>
              <w:rPr>
                <w:sz w:val="1"/>
                <w:szCs w:val="1"/>
                <w:color w:val="auto"/>
              </w:rPr>
            </w:pPr>
          </w:p>
        </w:tc>
      </w:tr>
      <w:tr>
        <w:trPr>
          <w:trHeight w:val="171"/>
        </w:trPr>
        <w:tc>
          <w:tcPr>
            <w:tcW w:w="4360" w:type="dxa"/>
            <w:vAlign w:val="bottom"/>
          </w:tcPr>
          <w:p>
            <w:pPr>
              <w:spacing w:after="0"/>
              <w:rPr>
                <w:sz w:val="14"/>
                <w:szCs w:val="14"/>
                <w:color w:val="auto"/>
              </w:rPr>
            </w:pPr>
          </w:p>
        </w:tc>
        <w:tc>
          <w:tcPr>
            <w:tcW w:w="2220" w:type="dxa"/>
            <w:vAlign w:val="bottom"/>
            <w:gridSpan w:val="6"/>
            <w:vMerge w:val="continue"/>
          </w:tcPr>
          <w:p>
            <w:pPr>
              <w:spacing w:after="0"/>
              <w:rPr>
                <w:sz w:val="14"/>
                <w:szCs w:val="14"/>
                <w:color w:val="auto"/>
              </w:rPr>
            </w:pPr>
          </w:p>
        </w:tc>
        <w:tc>
          <w:tcPr>
            <w:tcW w:w="140" w:type="dxa"/>
            <w:vAlign w:val="bottom"/>
          </w:tcPr>
          <w:p>
            <w:pPr>
              <w:spacing w:after="0"/>
              <w:rPr>
                <w:sz w:val="14"/>
                <w:szCs w:val="14"/>
                <w:color w:val="auto"/>
              </w:rPr>
            </w:pPr>
          </w:p>
        </w:tc>
        <w:tc>
          <w:tcPr>
            <w:tcW w:w="12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1"/>
              </w:rPr>
              <w:t>2017 vs. 2016</w:t>
            </w:r>
          </w:p>
        </w:tc>
        <w:tc>
          <w:tcPr>
            <w:tcW w:w="100" w:type="dxa"/>
            <w:vAlign w:val="bottom"/>
          </w:tcPr>
          <w:p>
            <w:pPr>
              <w:spacing w:after="0"/>
              <w:rPr>
                <w:sz w:val="14"/>
                <w:szCs w:val="14"/>
                <w:color w:val="auto"/>
              </w:rPr>
            </w:pPr>
          </w:p>
        </w:tc>
        <w:tc>
          <w:tcPr>
            <w:tcW w:w="2020" w:type="dxa"/>
            <w:vAlign w:val="bottom"/>
            <w:gridSpan w:val="5"/>
            <w:vMerge w:val="continue"/>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2017 vs. 2016</w:t>
            </w:r>
          </w:p>
        </w:tc>
        <w:tc>
          <w:tcPr>
            <w:tcW w:w="0" w:type="dxa"/>
            <w:vAlign w:val="bottom"/>
          </w:tcPr>
          <w:p>
            <w:pPr>
              <w:spacing w:after="0"/>
              <w:rPr>
                <w:sz w:val="1"/>
                <w:szCs w:val="1"/>
                <w:color w:val="auto"/>
              </w:rPr>
            </w:pPr>
          </w:p>
        </w:tc>
      </w:tr>
      <w:tr>
        <w:trPr>
          <w:trHeight w:val="156"/>
        </w:trPr>
        <w:tc>
          <w:tcPr>
            <w:tcW w:w="4360" w:type="dxa"/>
            <w:vAlign w:val="bottom"/>
          </w:tcPr>
          <w:p>
            <w:pPr>
              <w:spacing w:after="0"/>
              <w:rPr>
                <w:sz w:val="13"/>
                <w:szCs w:val="13"/>
                <w:color w:val="auto"/>
              </w:rPr>
            </w:pPr>
          </w:p>
        </w:tc>
        <w:tc>
          <w:tcPr>
            <w:tcW w:w="62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2017</w:t>
            </w:r>
          </w:p>
        </w:tc>
        <w:tc>
          <w:tcPr>
            <w:tcW w:w="42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jc w:val="right"/>
              <w:ind w:right="219"/>
              <w:spacing w:after="0" w:line="155" w:lineRule="exact"/>
              <w:rPr>
                <w:sz w:val="20"/>
                <w:szCs w:val="20"/>
                <w:color w:val="auto"/>
              </w:rPr>
            </w:pPr>
            <w:r>
              <w:rPr>
                <w:rFonts w:ascii="Arial" w:cs="Arial" w:eastAsia="Arial" w:hAnsi="Arial"/>
                <w:sz w:val="14"/>
                <w:szCs w:val="14"/>
                <w:b w:val="1"/>
                <w:bCs w:val="1"/>
                <w:color w:val="auto"/>
              </w:rPr>
              <w:t>2016</w:t>
            </w:r>
          </w:p>
        </w:tc>
        <w:tc>
          <w:tcPr>
            <w:tcW w:w="220" w:type="dxa"/>
            <w:vAlign w:val="bottom"/>
          </w:tcPr>
          <w:p>
            <w:pPr>
              <w:spacing w:after="0"/>
              <w:rPr>
                <w:sz w:val="13"/>
                <w:szCs w:val="13"/>
                <w:color w:val="auto"/>
              </w:rPr>
            </w:pPr>
          </w:p>
        </w:tc>
        <w:tc>
          <w:tcPr>
            <w:tcW w:w="1400" w:type="dxa"/>
            <w:vAlign w:val="bottom"/>
            <w:gridSpan w:val="3"/>
          </w:tcPr>
          <w:p>
            <w:pPr>
              <w:jc w:val="center"/>
              <w:ind w:right="200"/>
              <w:spacing w:after="0" w:line="155" w:lineRule="exact"/>
              <w:rPr>
                <w:sz w:val="20"/>
                <w:szCs w:val="20"/>
                <w:color w:val="auto"/>
              </w:rPr>
            </w:pPr>
            <w:r>
              <w:rPr>
                <w:rFonts w:ascii="Arial" w:cs="Arial" w:eastAsia="Arial" w:hAnsi="Arial"/>
                <w:sz w:val="14"/>
                <w:szCs w:val="14"/>
                <w:b w:val="1"/>
                <w:bCs w:val="1"/>
                <w:color w:val="auto"/>
                <w:w w:val="90"/>
              </w:rPr>
              <w:t>Increase/(Decrease)</w:t>
            </w:r>
          </w:p>
        </w:tc>
        <w:tc>
          <w:tcPr>
            <w:tcW w:w="10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jc w:val="right"/>
              <w:ind w:right="222"/>
              <w:spacing w:after="0" w:line="155" w:lineRule="exact"/>
              <w:rPr>
                <w:sz w:val="20"/>
                <w:szCs w:val="20"/>
                <w:color w:val="auto"/>
              </w:rPr>
            </w:pPr>
            <w:r>
              <w:rPr>
                <w:rFonts w:ascii="Arial" w:cs="Arial" w:eastAsia="Arial" w:hAnsi="Arial"/>
                <w:sz w:val="14"/>
                <w:szCs w:val="14"/>
                <w:b w:val="1"/>
                <w:bCs w:val="1"/>
                <w:color w:val="auto"/>
              </w:rPr>
              <w:t>2017</w:t>
            </w:r>
          </w:p>
        </w:tc>
        <w:tc>
          <w:tcPr>
            <w:tcW w:w="20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jc w:val="right"/>
              <w:ind w:right="199"/>
              <w:spacing w:after="0" w:line="155" w:lineRule="exact"/>
              <w:rPr>
                <w:sz w:val="20"/>
                <w:szCs w:val="20"/>
                <w:color w:val="auto"/>
              </w:rPr>
            </w:pPr>
            <w:r>
              <w:rPr>
                <w:rFonts w:ascii="Arial" w:cs="Arial" w:eastAsia="Arial" w:hAnsi="Arial"/>
                <w:sz w:val="14"/>
                <w:szCs w:val="14"/>
                <w:b w:val="1"/>
                <w:bCs w:val="1"/>
                <w:color w:val="auto"/>
              </w:rPr>
              <w:t>2016</w:t>
            </w:r>
          </w:p>
        </w:tc>
        <w:tc>
          <w:tcPr>
            <w:tcW w:w="200" w:type="dxa"/>
            <w:vAlign w:val="bottom"/>
          </w:tcPr>
          <w:p>
            <w:pPr>
              <w:spacing w:after="0"/>
              <w:rPr>
                <w:sz w:val="13"/>
                <w:szCs w:val="13"/>
                <w:color w:val="auto"/>
              </w:rPr>
            </w:pPr>
          </w:p>
        </w:tc>
        <w:tc>
          <w:tcPr>
            <w:tcW w:w="1320" w:type="dxa"/>
            <w:vAlign w:val="bottom"/>
            <w:gridSpan w:val="3"/>
          </w:tcPr>
          <w:p>
            <w:pPr>
              <w:jc w:val="center"/>
              <w:ind w:right="80"/>
              <w:spacing w:after="0" w:line="155" w:lineRule="exact"/>
              <w:rPr>
                <w:sz w:val="20"/>
                <w:szCs w:val="20"/>
                <w:color w:val="auto"/>
              </w:rPr>
            </w:pPr>
            <w:r>
              <w:rPr>
                <w:rFonts w:ascii="Arial" w:cs="Arial" w:eastAsia="Arial" w:hAnsi="Arial"/>
                <w:sz w:val="14"/>
                <w:szCs w:val="14"/>
                <w:b w:val="1"/>
                <w:bCs w:val="1"/>
                <w:color w:val="auto"/>
                <w:w w:val="90"/>
              </w:rPr>
              <w:t>Increase/(Decrease)</w:t>
            </w:r>
          </w:p>
        </w:tc>
        <w:tc>
          <w:tcPr>
            <w:tcW w:w="0" w:type="dxa"/>
            <w:vAlign w:val="bottom"/>
          </w:tcPr>
          <w:p>
            <w:pPr>
              <w:spacing w:after="0"/>
              <w:rPr>
                <w:sz w:val="1"/>
                <w:szCs w:val="1"/>
                <w:color w:val="auto"/>
              </w:rPr>
            </w:pPr>
          </w:p>
        </w:tc>
      </w:tr>
      <w:tr>
        <w:trPr>
          <w:trHeight w:val="223"/>
        </w:trPr>
        <w:tc>
          <w:tcPr>
            <w:tcW w:w="43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Other income:</w:t>
            </w:r>
          </w:p>
        </w:tc>
        <w:tc>
          <w:tcPr>
            <w:tcW w:w="620" w:type="dxa"/>
            <w:vAlign w:val="bottom"/>
            <w:tcBorders>
              <w:top w:val="single" w:sz="8" w:color="auto"/>
              <w:bottom w:val="single" w:sz="8" w:color="auto"/>
            </w:tcBorders>
            <w:shd w:val="clear" w:color="auto" w:fill="CFF0FC"/>
          </w:tcPr>
          <w:p>
            <w:pPr>
              <w:jc w:val="right"/>
              <w:ind w:right="467"/>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93"/>
              </w:rPr>
              <w:t>513</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350</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163</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983</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2,745</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(1,762)</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36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right="180" w:firstLine="518"/>
        <w:spacing w:after="0" w:line="255" w:lineRule="auto"/>
        <w:rPr>
          <w:sz w:val="20"/>
          <w:szCs w:val="20"/>
          <w:color w:val="auto"/>
        </w:rPr>
      </w:pPr>
      <w:r>
        <w:rPr>
          <w:rFonts w:ascii="Arial" w:cs="Arial" w:eastAsia="Arial" w:hAnsi="Arial"/>
          <w:sz w:val="18"/>
          <w:szCs w:val="18"/>
          <w:color w:val="auto"/>
        </w:rPr>
        <w:t>Other income changed by $0.2 million and $1.8 million in the three and six months ended June 30, 2017 as compared to the three and six months ended June 30, 2016, respectively. The change in other income was primarily driven by the change in foreign exchange gains arising largely from the translation of cash and cash equivalents and marketable securities denominated in Canadian dollars to U.S. dollars. We recorded foreign exchange gains of $0.4 million and $0.2 million due to a 2% and 1% increase in the value of the Canadian dollar during the three months ended June 30, 2017 and 2016, respectively. During the six month periods ended June 30, 2017 and 2016, we recorded foreign exchange gains of $0.7 million and $2.5 million due to a 3% and 7% increase in the value of the Canadian dollar, respectively.</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right="260" w:firstLine="518"/>
        <w:spacing w:after="0" w:line="257" w:lineRule="auto"/>
        <w:rPr>
          <w:sz w:val="20"/>
          <w:szCs w:val="20"/>
          <w:color w:val="auto"/>
        </w:rPr>
      </w:pPr>
      <w:r>
        <w:rPr>
          <w:rFonts w:ascii="Arial" w:cs="Arial" w:eastAsia="Arial" w:hAnsi="Arial"/>
          <w:sz w:val="18"/>
          <w:szCs w:val="18"/>
          <w:color w:val="auto"/>
        </w:rPr>
        <w:t>To date, we have financed our operations primarily through funding received from collaboration and license agreements, private placements of our common and preferred shares and public offerings of our common shares and, to a lesser extent, through the receipt of government funding. As of June 30, 2017, we had cash and cash equivalents and marketable securities of $51.7 million. In September 2016, we completed an underwritten public offering of 3,450,000 of our common shares at a public offering price of $7.50 per common share. We received approximately $24.3 million of proceeds, net of underwriting discounts and commissions but before offering expenses.</w:t>
      </w:r>
    </w:p>
    <w:p>
      <w:pPr>
        <w:spacing w:after="0" w:line="188" w:lineRule="exact"/>
        <w:rPr>
          <w:sz w:val="20"/>
          <w:szCs w:val="20"/>
          <w:color w:val="auto"/>
        </w:rPr>
      </w:pPr>
    </w:p>
    <w:p>
      <w:pPr>
        <w:ind w:firstLine="518"/>
        <w:spacing w:after="0" w:line="286" w:lineRule="auto"/>
        <w:rPr>
          <w:sz w:val="20"/>
          <w:szCs w:val="20"/>
          <w:color w:val="auto"/>
        </w:rPr>
      </w:pPr>
      <w:r>
        <w:rPr>
          <w:rFonts w:ascii="Arial" w:cs="Arial" w:eastAsia="Arial" w:hAnsi="Arial"/>
          <w:sz w:val="16"/>
          <w:szCs w:val="16"/>
          <w:color w:val="auto"/>
        </w:rPr>
        <w:t>We have incurred significant operating losses since inception. We had a $14.9 million net loss for the six months ended June 30, 2017 and an accumulated deficit of $157.6 million from inception through June 30, 2017. We expect to continue to incur significant expenses in excess of our revenue and expect to incur operating losses over the next several years. Our net losses may fluctuate significantly from quarter to quarter and year to year. We expect to continue to incur significant expenses and operating losses for the foreseeable future as we continue our research and preclinical and clinical development of our product candidates; expand the scope of our current studies for our product candidates; initiate additional preclinical, clinical or other studies for our product candidates, including under our collaboration agreements; change or add additional manufacturers or suppliers; seek regulatory and marketing approvals for any of our product candidates that successfully complete clinical studies; seek to identify, evaluate and validate additional product candidates; acquire or in-license other product candidates and technologies; make milestone or other payments under our product acquisition and in-license agreements including, without limitation, our agreements with the University of British Columbia, the Memorial University of Newfoundland, 1st Order Pharmaceuticals, Inc., or 1st Order, Valeant Pharmaceuticals International, Inc., or Valeant, and other third parties; maintain, protect and expand our intellectual property portfolio; attract and retain skilled personnel; establish a sales, marketing and distribution infrastructure to commercialize any products for which we or one of our collaborators may obtain marketing approval, and maintain commercial rights; create additional infrastructure to support our operations and our product development and planned future commercialization efforts; and experience any delays or encounter issues with any of the above.</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95" w:right="239" w:bottom="1440" w:gutter="0" w:footer="0" w:header="0"/>
        </w:sectPr>
      </w:pPr>
    </w:p>
    <w:bookmarkStart w:id="18" w:name="page19"/>
    <w:bookmarkEnd w:id="18"/>
    <w:p>
      <w:pPr>
        <w:ind w:firstLine="518"/>
        <w:spacing w:after="0" w:line="270" w:lineRule="auto"/>
        <w:rPr>
          <w:sz w:val="20"/>
          <w:szCs w:val="20"/>
          <w:color w:val="auto"/>
        </w:rPr>
      </w:pPr>
      <w:r>
        <w:rPr>
          <w:rFonts w:ascii="Arial" w:cs="Arial" w:eastAsia="Arial" w:hAnsi="Arial"/>
          <w:sz w:val="17"/>
          <w:szCs w:val="17"/>
          <w:color w:val="auto"/>
        </w:rPr>
        <w:t>Until such time as we can generate substantial product revenue, if ever, we expect to finance our cash needs through a combination of collaboration agreements and equity or debt financings. Except for any obligations of our collaborators to reimburse us for research and development expenses or to make milestone payments under our agreements with them, we do not have any committed external sources of capital. To the extent that we raise additional capital through the future sale of equity or debt, the ownership interest of our shareholders will be diluted, and the terms of these securities may include liquidation or other preferences that adversely affect the rights of our existing common shareholders. If we raise additional funds through collaboration agreements in the future, we may have to relinquish valuable rights to our technologies, future revenue streams or product candidates or grant licenses on terms that may not be favorable to us. If we are unable to raise additional funds through equity or debt financings when needed, we may be required to delay, limit, reduce or terminate our product development or future commercialization efforts or grant rights to develop and market product candidates that we would otherwise prefer to develop and market ourselves.</w:t>
      </w:r>
    </w:p>
    <w:p>
      <w:pPr>
        <w:spacing w:after="0" w:line="18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Our future capital requirements are difficult to forecast and will depend on many factors, including:</w:t>
      </w:r>
    </w:p>
    <w:p>
      <w:pPr>
        <w:spacing w:after="0" w:line="117" w:lineRule="exact"/>
        <w:rPr>
          <w:sz w:val="20"/>
          <w:szCs w:val="20"/>
          <w:color w:val="auto"/>
        </w:rPr>
      </w:pPr>
    </w:p>
    <w:p>
      <w:pPr>
        <w:ind w:left="1040" w:right="220" w:hanging="519"/>
        <w:spacing w:after="0" w:line="277" w:lineRule="auto"/>
        <w:tabs>
          <w:tab w:leader="none" w:pos="10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number and characteristics of the future product candidates we pursue either from our internal research efforts or through acquiring or in-licensing other product candidates or technologies;</w:t>
      </w:r>
    </w:p>
    <w:p>
      <w:pPr>
        <w:spacing w:after="0" w:line="62" w:lineRule="exact"/>
        <w:rPr>
          <w:rFonts w:ascii="Arial" w:cs="Arial" w:eastAsia="Arial" w:hAnsi="Arial"/>
          <w:sz w:val="18"/>
          <w:szCs w:val="18"/>
          <w:color w:val="auto"/>
        </w:rPr>
      </w:pPr>
    </w:p>
    <w:p>
      <w:pPr>
        <w:ind w:left="1040" w:right="180" w:hanging="519"/>
        <w:spacing w:after="0" w:line="277" w:lineRule="auto"/>
        <w:tabs>
          <w:tab w:leader="none" w:pos="10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scope, progress, results and costs of independently researching and developing any of our future product candidates, including conducting preclinical research and clinical trials;</w:t>
      </w:r>
    </w:p>
    <w:p>
      <w:pPr>
        <w:spacing w:after="0" w:line="62" w:lineRule="exact"/>
        <w:rPr>
          <w:rFonts w:ascii="Arial" w:cs="Arial" w:eastAsia="Arial" w:hAnsi="Arial"/>
          <w:sz w:val="18"/>
          <w:szCs w:val="18"/>
          <w:color w:val="auto"/>
        </w:rPr>
      </w:pPr>
    </w:p>
    <w:p>
      <w:pPr>
        <w:ind w:left="1040" w:right="140" w:hanging="519"/>
        <w:spacing w:after="0" w:line="277" w:lineRule="auto"/>
        <w:tabs>
          <w:tab w:leader="none" w:pos="10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whether our existing collaborations continue to generate substantial milestone payments and, ultimately, royalties on future approved products for us;</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the timing of, and the costs involved in, obtaining regulatory approvals for any future product candidates we develop independently;</w:t>
      </w:r>
    </w:p>
    <w:p>
      <w:pPr>
        <w:spacing w:after="0" w:line="128" w:lineRule="exact"/>
        <w:rPr>
          <w:rFonts w:ascii="Arial" w:cs="Arial" w:eastAsia="Arial" w:hAnsi="Arial"/>
          <w:sz w:val="17"/>
          <w:szCs w:val="17"/>
          <w:color w:val="auto"/>
        </w:rPr>
      </w:pPr>
    </w:p>
    <w:p>
      <w:pPr>
        <w:ind w:left="1040" w:right="80" w:hanging="519"/>
        <w:spacing w:after="0" w:line="277" w:lineRule="auto"/>
        <w:tabs>
          <w:tab w:leader="none" w:pos="10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cost of future commercialization activities, if any, including activities required pursuant to our option to co-promote TV-45070, if exercised by us, and the cost of commercializing any future products we develop independently that are approved for sale;</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cost of manufacturing our future product candidates and products, if any;</w:t>
      </w:r>
    </w:p>
    <w:p>
      <w:pPr>
        <w:spacing w:after="0" w:line="117" w:lineRule="exact"/>
        <w:rPr>
          <w:rFonts w:ascii="Arial" w:cs="Arial" w:eastAsia="Arial" w:hAnsi="Arial"/>
          <w:sz w:val="18"/>
          <w:szCs w:val="18"/>
          <w:color w:val="auto"/>
        </w:rPr>
      </w:pPr>
    </w:p>
    <w:p>
      <w:pPr>
        <w:ind w:left="1040" w:right="280" w:hanging="519"/>
        <w:spacing w:after="0" w:line="277" w:lineRule="auto"/>
        <w:tabs>
          <w:tab w:leader="none" w:pos="10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ability to maintain existing collaborations and to establish new collaborations, licensing or other arrangements and the financial terms of such arrangements;</w:t>
      </w:r>
    </w:p>
    <w:p>
      <w:pPr>
        <w:spacing w:after="0" w:line="62" w:lineRule="exact"/>
        <w:rPr>
          <w:rFonts w:ascii="Arial" w:cs="Arial" w:eastAsia="Arial" w:hAnsi="Arial"/>
          <w:sz w:val="18"/>
          <w:szCs w:val="18"/>
          <w:color w:val="auto"/>
        </w:rPr>
      </w:pPr>
    </w:p>
    <w:p>
      <w:pPr>
        <w:ind w:left="1040" w:right="400" w:hanging="519"/>
        <w:spacing w:after="0" w:line="277" w:lineRule="auto"/>
        <w:tabs>
          <w:tab w:leader="none" w:pos="10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costs of preparing, filing, prosecuting, maintaining, defending and enforcing patents, including litigation costs and the outcome of such litigation; and</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timing, receipt and amount of sales of, or royalties on, Glybera or our collaborators’ product candidates, and our future products, if any.</w:t>
      </w:r>
    </w:p>
    <w:p>
      <w:pPr>
        <w:spacing w:after="0" w:line="248" w:lineRule="exact"/>
        <w:rPr>
          <w:sz w:val="20"/>
          <w:szCs w:val="20"/>
          <w:color w:val="auto"/>
        </w:rPr>
      </w:pPr>
    </w:p>
    <w:p>
      <w:pPr>
        <w:ind w:firstLine="518"/>
        <w:spacing w:after="0" w:line="257" w:lineRule="auto"/>
        <w:rPr>
          <w:sz w:val="20"/>
          <w:szCs w:val="20"/>
          <w:color w:val="auto"/>
        </w:rPr>
      </w:pPr>
      <w:r>
        <w:rPr>
          <w:rFonts w:ascii="Arial" w:cs="Arial" w:eastAsia="Arial" w:hAnsi="Arial"/>
          <w:sz w:val="18"/>
          <w:szCs w:val="18"/>
          <w:color w:val="auto"/>
        </w:rPr>
        <w:t>Based on our research and development plans and our timing expectations related to the progress of our programs, we expect that our existing cash and cash equivalents and marketable securities as of the date of this report and research funding that we expect to receive under our existing collaborations, will enable us to fund our operating expenses and capital expenditure requirements for at least the next 12 months. We have based this estimate on assumptions that may prove to be wrong, and we could use our capital resources sooner than we expect. Additionally, the process of testing drug candidates in clinical trials is costly, and the timing of progress in these trials remains uncertain.</w:t>
      </w:r>
    </w:p>
    <w:p>
      <w:pPr>
        <w:spacing w:after="0" w:line="296"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Cash Flows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shows a summary of our cash flows for the six months ended June 30, 2017 and 2016 (in thousands):</w:t>
      </w:r>
    </w:p>
    <w:p>
      <w:pPr>
        <w:spacing w:after="0" w:line="298"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532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2560" w:type="dxa"/>
            <w:vAlign w:val="bottom"/>
            <w:tcBorders>
              <w:bottom w:val="single" w:sz="8" w:color="auto"/>
            </w:tcBorders>
            <w:gridSpan w:val="4"/>
          </w:tcPr>
          <w:p>
            <w:pPr>
              <w:jc w:val="right"/>
              <w:ind w:right="85"/>
              <w:spacing w:after="0"/>
              <w:rPr>
                <w:sz w:val="20"/>
                <w:szCs w:val="20"/>
                <w:color w:val="auto"/>
              </w:rPr>
            </w:pPr>
            <w:r>
              <w:rPr>
                <w:rFonts w:ascii="Arial" w:cs="Arial" w:eastAsia="Arial" w:hAnsi="Arial"/>
                <w:sz w:val="14"/>
                <w:szCs w:val="14"/>
                <w:b w:val="1"/>
                <w:bCs w:val="1"/>
                <w:color w:val="auto"/>
              </w:rPr>
              <w:t>Six Months Ended June 30,</w:t>
            </w:r>
          </w:p>
        </w:tc>
        <w:tc>
          <w:tcPr>
            <w:tcW w:w="5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56"/>
        </w:trPr>
        <w:tc>
          <w:tcPr>
            <w:tcW w:w="532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88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2017</w:t>
            </w:r>
          </w:p>
        </w:tc>
        <w:tc>
          <w:tcPr>
            <w:tcW w:w="680" w:type="dxa"/>
            <w:vAlign w:val="bottom"/>
          </w:tcPr>
          <w:p>
            <w:pPr>
              <w:spacing w:after="0"/>
              <w:rPr>
                <w:sz w:val="13"/>
                <w:szCs w:val="13"/>
                <w:color w:val="auto"/>
              </w:rPr>
            </w:pPr>
          </w:p>
        </w:tc>
        <w:tc>
          <w:tcPr>
            <w:tcW w:w="1000" w:type="dxa"/>
            <w:vAlign w:val="bottom"/>
            <w:gridSpan w:val="2"/>
          </w:tcPr>
          <w:p>
            <w:pPr>
              <w:jc w:val="right"/>
              <w:spacing w:after="0" w:line="155" w:lineRule="exact"/>
              <w:rPr>
                <w:sz w:val="20"/>
                <w:szCs w:val="20"/>
                <w:color w:val="auto"/>
              </w:rPr>
            </w:pPr>
            <w:r>
              <w:rPr>
                <w:rFonts w:ascii="Arial" w:cs="Arial" w:eastAsia="Arial" w:hAnsi="Arial"/>
                <w:sz w:val="14"/>
                <w:szCs w:val="14"/>
                <w:b w:val="1"/>
                <w:bCs w:val="1"/>
                <w:color w:val="auto"/>
              </w:rPr>
              <w:t>2016</w:t>
            </w: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223"/>
        </w:trPr>
        <w:tc>
          <w:tcPr>
            <w:tcW w:w="53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cash used in operating activities</w:t>
            </w:r>
          </w:p>
        </w:tc>
        <w:tc>
          <w:tcPr>
            <w:tcW w:w="1700" w:type="dxa"/>
            <w:vAlign w:val="bottom"/>
            <w:tcBorders>
              <w:top w:val="single" w:sz="8" w:color="CFF0FC"/>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jc w:val="right"/>
              <w:ind w:right="727"/>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2"/>
              </w:rPr>
              <w:t>(13,262)</w:t>
            </w:r>
          </w:p>
        </w:tc>
        <w:tc>
          <w:tcPr>
            <w:tcW w:w="160" w:type="dxa"/>
            <w:vAlign w:val="bottom"/>
            <w:tcBorders>
              <w:top w:val="single" w:sz="8" w:color="CFF0FC"/>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jc w:val="right"/>
              <w:ind w:right="685"/>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3"/>
              </w:rPr>
              <w:t>(10,373)</w:t>
            </w: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5320" w:type="dxa"/>
            <w:vAlign w:val="bottom"/>
          </w:tcPr>
          <w:p>
            <w:pPr>
              <w:spacing w:after="0"/>
              <w:rPr>
                <w:sz w:val="20"/>
                <w:szCs w:val="20"/>
                <w:color w:val="auto"/>
              </w:rPr>
            </w:pPr>
            <w:r>
              <w:rPr>
                <w:rFonts w:ascii="Arial" w:cs="Arial" w:eastAsia="Arial" w:hAnsi="Arial"/>
                <w:sz w:val="18"/>
                <w:szCs w:val="18"/>
                <w:color w:val="auto"/>
              </w:rPr>
              <w:t>Net cash provided by (used in) investing activities</w:t>
            </w:r>
          </w:p>
        </w:tc>
        <w:tc>
          <w:tcPr>
            <w:tcW w:w="17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18,580</w:t>
            </w: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w w:val="92"/>
              </w:rPr>
              <w:t>(15,505)</w:t>
            </w:r>
          </w:p>
        </w:tc>
      </w:tr>
      <w:tr>
        <w:trPr>
          <w:trHeight w:val="230"/>
        </w:trPr>
        <w:tc>
          <w:tcPr>
            <w:tcW w:w="5320" w:type="dxa"/>
            <w:vAlign w:val="bottom"/>
            <w:shd w:val="clear" w:color="auto" w:fill="CFF0FC"/>
          </w:tcPr>
          <w:p>
            <w:pPr>
              <w:spacing w:after="0"/>
              <w:rPr>
                <w:sz w:val="20"/>
                <w:szCs w:val="20"/>
                <w:color w:val="auto"/>
              </w:rPr>
            </w:pPr>
            <w:r>
              <w:rPr>
                <w:rFonts w:ascii="Arial" w:cs="Arial" w:eastAsia="Arial" w:hAnsi="Arial"/>
                <w:sz w:val="18"/>
                <w:szCs w:val="18"/>
                <w:color w:val="auto"/>
              </w:rPr>
              <w:t>Net cash provided by financing activities</w:t>
            </w:r>
          </w:p>
        </w:tc>
        <w:tc>
          <w:tcPr>
            <w:tcW w:w="170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68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177</w:t>
            </w:r>
          </w:p>
        </w:tc>
        <w:tc>
          <w:tcPr>
            <w:tcW w:w="16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w:t>
            </w:r>
          </w:p>
        </w:tc>
        <w:tc>
          <w:tcPr>
            <w:tcW w:w="120" w:type="dxa"/>
            <w:vAlign w:val="bottom"/>
            <w:shd w:val="clear" w:color="auto" w:fill="CFF0FC"/>
          </w:tcPr>
          <w:p>
            <w:pPr>
              <w:spacing w:after="0"/>
              <w:rPr>
                <w:sz w:val="19"/>
                <w:szCs w:val="19"/>
                <w:color w:val="auto"/>
              </w:rPr>
            </w:pPr>
          </w:p>
        </w:tc>
      </w:tr>
    </w:tbl>
    <w:p>
      <w:pPr>
        <w:spacing w:after="0" w:line="310"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117" w:lineRule="exact"/>
        <w:rPr>
          <w:sz w:val="20"/>
          <w:szCs w:val="20"/>
          <w:color w:val="auto"/>
        </w:rPr>
      </w:pPr>
    </w:p>
    <w:p>
      <w:pPr>
        <w:ind w:right="200" w:firstLine="518"/>
        <w:spacing w:after="0" w:line="264" w:lineRule="auto"/>
        <w:rPr>
          <w:sz w:val="20"/>
          <w:szCs w:val="20"/>
          <w:color w:val="auto"/>
        </w:rPr>
      </w:pPr>
      <w:r>
        <w:rPr>
          <w:rFonts w:ascii="Arial" w:cs="Arial" w:eastAsia="Arial" w:hAnsi="Arial"/>
          <w:sz w:val="18"/>
          <w:szCs w:val="18"/>
          <w:color w:val="auto"/>
        </w:rPr>
        <w:t>For the six months ended June 30, 2017, net cash used in operating activities totaled $13.3 million, compared to $10.4 million for the same period in 2016. The change was primarily related to a $2.5 million increase in research and development expenses and a $1.0 million decrease in revenue, partially offset by working capital changes.</w:t>
      </w: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55" w:right="239" w:bottom="1440" w:gutter="0" w:footer="0" w:header="0"/>
        </w:sectPr>
      </w:pPr>
    </w:p>
    <w:bookmarkStart w:id="19" w:name="page20"/>
    <w:bookmarkEnd w:id="19"/>
    <w:p>
      <w:pPr>
        <w:ind w:left="260"/>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117" w:lineRule="exact"/>
        <w:rPr>
          <w:sz w:val="20"/>
          <w:szCs w:val="20"/>
          <w:color w:val="auto"/>
        </w:rPr>
      </w:pPr>
    </w:p>
    <w:p>
      <w:pPr>
        <w:ind w:right="320" w:firstLine="518"/>
        <w:spacing w:after="0" w:line="264" w:lineRule="auto"/>
        <w:rPr>
          <w:sz w:val="20"/>
          <w:szCs w:val="20"/>
          <w:color w:val="auto"/>
        </w:rPr>
      </w:pPr>
      <w:r>
        <w:rPr>
          <w:rFonts w:ascii="Arial" w:cs="Arial" w:eastAsia="Arial" w:hAnsi="Arial"/>
          <w:sz w:val="18"/>
          <w:szCs w:val="18"/>
          <w:color w:val="auto"/>
        </w:rPr>
        <w:t>For the six months ended June 30, 2017, net cash provided by investing activities totaled $18.6 million, compared to net cash used in investing activities of $15.5 million for the same period in 2016. The change was driven by the maturity of marketable securities, net of purchases in the six months ended June 30, 2017 as compared to the purchase of marketable securities in the same period in 2016.</w:t>
      </w:r>
    </w:p>
    <w:p>
      <w:pPr>
        <w:spacing w:after="0" w:line="28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117" w:lineRule="exact"/>
        <w:rPr>
          <w:sz w:val="20"/>
          <w:szCs w:val="20"/>
          <w:color w:val="auto"/>
        </w:rPr>
      </w:pPr>
    </w:p>
    <w:p>
      <w:pPr>
        <w:ind w:right="60" w:firstLine="518"/>
        <w:spacing w:after="0" w:line="277" w:lineRule="auto"/>
        <w:rPr>
          <w:sz w:val="20"/>
          <w:szCs w:val="20"/>
          <w:color w:val="auto"/>
        </w:rPr>
      </w:pPr>
      <w:r>
        <w:rPr>
          <w:rFonts w:ascii="Arial" w:cs="Arial" w:eastAsia="Arial" w:hAnsi="Arial"/>
          <w:sz w:val="18"/>
          <w:szCs w:val="18"/>
          <w:color w:val="auto"/>
        </w:rPr>
        <w:t>For the six months ended June 30, 2017, net cash provided by financing activities did not change significantly as compared to the same period in 2016 and consisted exclusively of proceeds from the issuance of common shares from the exercise of stock options for both periods.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and Commitments</w:t>
      </w:r>
    </w:p>
    <w:p>
      <w:pPr>
        <w:spacing w:after="0" w:line="121" w:lineRule="exact"/>
        <w:rPr>
          <w:sz w:val="20"/>
          <w:szCs w:val="20"/>
          <w:color w:val="auto"/>
        </w:rPr>
      </w:pPr>
    </w:p>
    <w:p>
      <w:pPr>
        <w:ind w:right="100" w:firstLine="518"/>
        <w:spacing w:after="0" w:line="277" w:lineRule="auto"/>
        <w:rPr>
          <w:sz w:val="20"/>
          <w:szCs w:val="20"/>
          <w:color w:val="auto"/>
        </w:rPr>
      </w:pPr>
      <w:r>
        <w:rPr>
          <w:rFonts w:ascii="Arial" w:cs="Arial" w:eastAsia="Arial" w:hAnsi="Arial"/>
          <w:sz w:val="18"/>
          <w:szCs w:val="18"/>
          <w:color w:val="auto"/>
        </w:rPr>
        <w:t>Our future significant contractual obligations as of December 31, 2016 were reported in our Annual Report on Form 10-K, filed with the SEC and the Canadian Securities Commissions on March 8, 2017.</w:t>
      </w:r>
    </w:p>
    <w:p>
      <w:pPr>
        <w:spacing w:after="0" w:line="170" w:lineRule="exact"/>
        <w:rPr>
          <w:sz w:val="20"/>
          <w:szCs w:val="20"/>
          <w:color w:val="auto"/>
        </w:rPr>
      </w:pPr>
    </w:p>
    <w:p>
      <w:pPr>
        <w:ind w:right="60" w:firstLine="518"/>
        <w:spacing w:after="0" w:line="277" w:lineRule="auto"/>
        <w:rPr>
          <w:sz w:val="20"/>
          <w:szCs w:val="20"/>
          <w:color w:val="auto"/>
        </w:rPr>
      </w:pPr>
      <w:r>
        <w:rPr>
          <w:rFonts w:ascii="Arial" w:cs="Arial" w:eastAsia="Arial" w:hAnsi="Arial"/>
          <w:sz w:val="18"/>
          <w:szCs w:val="18"/>
          <w:color w:val="auto"/>
        </w:rPr>
        <w:t>As of June 30, 2017, there have been no material changes from the contractual commitments previously disclosed in the Annual Report on Form 10-K other than the following:</w:t>
      </w:r>
    </w:p>
    <w:p>
      <w:pPr>
        <w:spacing w:after="0" w:line="170" w:lineRule="exact"/>
        <w:rPr>
          <w:sz w:val="20"/>
          <w:szCs w:val="20"/>
          <w:color w:val="auto"/>
        </w:rPr>
      </w:pPr>
    </w:p>
    <w:p>
      <w:pPr>
        <w:ind w:firstLine="518"/>
        <w:spacing w:after="0" w:line="259" w:lineRule="auto"/>
        <w:rPr>
          <w:sz w:val="20"/>
          <w:szCs w:val="20"/>
          <w:color w:val="auto"/>
        </w:rPr>
      </w:pPr>
      <w:r>
        <w:rPr>
          <w:rFonts w:ascii="Arial" w:cs="Arial" w:eastAsia="Arial" w:hAnsi="Arial"/>
          <w:sz w:val="18"/>
          <w:szCs w:val="18"/>
          <w:color w:val="auto"/>
        </w:rPr>
        <w:t>In March 2017, we entered into a license, manufacture and supply agreement with a pharmaceutical contract manufacturing organization for the access and use of certain regulatory documents as well as for the manufacture and supply of clinical and commercial drug product. Under the terms of the agreement, we paid an upfront fee of $0.5 million CAD and will be required to pay a low single-digit percentage royalty on net sales of any products developed and commercialized under the agreement.</w:t>
      </w:r>
    </w:p>
    <w:p>
      <w:pPr>
        <w:spacing w:after="0" w:line="187" w:lineRule="exact"/>
        <w:rPr>
          <w:sz w:val="20"/>
          <w:szCs w:val="20"/>
          <w:color w:val="auto"/>
        </w:rPr>
      </w:pPr>
    </w:p>
    <w:p>
      <w:pPr>
        <w:ind w:right="180" w:firstLine="518"/>
        <w:spacing w:after="0" w:line="255" w:lineRule="auto"/>
        <w:rPr>
          <w:sz w:val="20"/>
          <w:szCs w:val="20"/>
          <w:color w:val="auto"/>
        </w:rPr>
      </w:pPr>
      <w:r>
        <w:rPr>
          <w:rFonts w:ascii="Arial" w:cs="Arial" w:eastAsia="Arial" w:hAnsi="Arial"/>
          <w:sz w:val="18"/>
          <w:szCs w:val="18"/>
          <w:color w:val="auto"/>
        </w:rPr>
        <w:t>In April 2017, we acquired XEN1101 (previously known as 1OP2198) from 1st Order pursuant to an asset purchase agreement. 1st Order previously acquired 1OP2198 from an affiliate of Valeant, and we have assumed certain financial responsibilities under that agreement. Under the terms of the agreement, we paid an upfront fee of $0.4 million and expect to pay an additional $0.7 million in milestones in 2017. Future potential payments to both 1st Order and Valeant include $1.0 million in clinical development milestones, up to $13.0 million in regulatory milestones, and up to approximately $33.6 million in sales-based and other milestones, which includes a $1.5 million milestone that may be payable pre-commercially, plus a mid-to-high single-digit percentage royalty on commercial sales.</w:t>
      </w:r>
    </w:p>
    <w:p>
      <w:pPr>
        <w:spacing w:after="0" w:line="193" w:lineRule="exact"/>
        <w:rPr>
          <w:sz w:val="20"/>
          <w:szCs w:val="20"/>
          <w:color w:val="auto"/>
        </w:rPr>
      </w:pPr>
    </w:p>
    <w:p>
      <w:pPr>
        <w:ind w:firstLine="518"/>
        <w:spacing w:after="0" w:line="302" w:lineRule="auto"/>
        <w:rPr>
          <w:sz w:val="20"/>
          <w:szCs w:val="20"/>
          <w:color w:val="auto"/>
        </w:rPr>
      </w:pPr>
      <w:r>
        <w:rPr>
          <w:rFonts w:ascii="Arial" w:cs="Arial" w:eastAsia="Arial" w:hAnsi="Arial"/>
          <w:sz w:val="16"/>
          <w:szCs w:val="16"/>
          <w:color w:val="auto"/>
        </w:rPr>
        <w:t>In July 2017, we entered into a license agreement with a pharmaceutical company for the access and use of certain regulatory documents to support the development of a potential product candidate. Under the terms of the agreement, we are required to pay an upfront fee of $1.0 million. Future potential payments include $2.0 million in clinical development milestones, up to $7.0 million in regulatory milestones, which includes $1.0 million expected to be paid in 2017, plus a low-to-mid single-digit percentage royalty on net sales of any products developed and commercialized under the agreement.</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Inflation</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7"/>
          <w:szCs w:val="17"/>
          <w:color w:val="auto"/>
        </w:rPr>
        <w:t>We do not believe that inflation has had a material effect on our business, financial condition or results of operations in the last three fiscal years.</w:t>
      </w:r>
    </w:p>
    <w:p>
      <w:pPr>
        <w:spacing w:after="0" w:line="3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ind w:right="300" w:firstLine="518"/>
        <w:spacing w:after="0" w:line="277" w:lineRule="auto"/>
        <w:rPr>
          <w:sz w:val="20"/>
          <w:szCs w:val="20"/>
          <w:color w:val="auto"/>
        </w:rPr>
      </w:pPr>
      <w:r>
        <w:rPr>
          <w:rFonts w:ascii="Arial" w:cs="Arial" w:eastAsia="Arial" w:hAnsi="Arial"/>
          <w:sz w:val="18"/>
          <w:szCs w:val="18"/>
          <w:color w:val="auto"/>
        </w:rPr>
        <w:t>We do not engage in any off-balance sheet financing activities. We do not have any interest in entities referred to as variable interest entities, which include special purposes entities and other structured finance entities.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Outstanding Share Data</w:t>
      </w:r>
    </w:p>
    <w:p>
      <w:pPr>
        <w:spacing w:after="0" w:line="121" w:lineRule="exact"/>
        <w:rPr>
          <w:sz w:val="20"/>
          <w:szCs w:val="20"/>
          <w:color w:val="auto"/>
        </w:rPr>
      </w:pPr>
    </w:p>
    <w:p>
      <w:pPr>
        <w:ind w:right="360" w:firstLine="518"/>
        <w:spacing w:after="0" w:line="277" w:lineRule="auto"/>
        <w:rPr>
          <w:sz w:val="20"/>
          <w:szCs w:val="20"/>
          <w:color w:val="auto"/>
        </w:rPr>
      </w:pPr>
      <w:r>
        <w:rPr>
          <w:rFonts w:ascii="Arial" w:cs="Arial" w:eastAsia="Arial" w:hAnsi="Arial"/>
          <w:sz w:val="18"/>
          <w:szCs w:val="18"/>
          <w:color w:val="auto"/>
        </w:rPr>
        <w:t>As of July 31, 2017, we had 17,998,420 common shares issued and outstanding and outstanding stock options to purchase an additional 2,276,897 common shares.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63" w:right="23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21" w:lineRule="exact"/>
        <w:rPr>
          <w:sz w:val="20"/>
          <w:szCs w:val="20"/>
          <w:color w:val="auto"/>
        </w:rPr>
      </w:pPr>
    </w:p>
    <w:p>
      <w:pPr>
        <w:ind w:right="120" w:firstLine="518"/>
        <w:spacing w:after="0" w:line="270" w:lineRule="auto"/>
        <w:rPr>
          <w:sz w:val="20"/>
          <w:szCs w:val="20"/>
          <w:color w:val="auto"/>
        </w:rPr>
      </w:pPr>
      <w:r>
        <w:rPr>
          <w:rFonts w:ascii="Arial" w:cs="Arial" w:eastAsia="Arial" w:hAnsi="Arial"/>
          <w:sz w:val="17"/>
          <w:szCs w:val="17"/>
          <w:color w:val="auto"/>
        </w:rPr>
        <w:t>In May 2014, the Financial Accounting Standards Board, or FASB, issued Accounting Standards Update, or ASU, 2014-09, Revenue from Contracts with Customers (ASC 606) to clarify the principles of recognizing revenue and to develop a common revenue standard that would remove inconsistencies in revenue requirements, leading to improved comparability of revenue recognition practices across entities and industries. The standard, as subsequently amended, stipulates that an entity should recognize revenue to depict the transfer of promised goods or services to customers in an amount that reflects the consideration to which the entity expects to be entitled in exchange for those goods or services. The new guidance will be effective for public entities for fiscal years and interim periods within those years, beginning after December 15, 2017. We have begun our evaluation and identified two significant collaboration agreements with respect to revenue, the collaborative development and license agreements with Teva and Genentech, described in notes 9(a) and (b), respectively, to our audited consolidated financial statements included in our 2016 Annual Report on Form 10-K for the year ended December 31, 2016. We are evaluating the new guidance as it applies to revenue previously recognized as well as milestone payments we are eligible to receive in future periods under these agreements.</w:t>
      </w:r>
    </w:p>
    <w:p>
      <w:pPr>
        <w:spacing w:after="0" w:line="178" w:lineRule="exact"/>
        <w:rPr>
          <w:sz w:val="20"/>
          <w:szCs w:val="20"/>
          <w:color w:val="auto"/>
        </w:rPr>
      </w:pPr>
    </w:p>
    <w:p>
      <w:pPr>
        <w:ind w:right="260" w:firstLine="518"/>
        <w:spacing w:after="0" w:line="255" w:lineRule="auto"/>
        <w:rPr>
          <w:sz w:val="20"/>
          <w:szCs w:val="20"/>
          <w:color w:val="auto"/>
        </w:rPr>
      </w:pPr>
      <w:r>
        <w:rPr>
          <w:rFonts w:ascii="Arial" w:cs="Arial" w:eastAsia="Arial" w:hAnsi="Arial"/>
          <w:sz w:val="18"/>
          <w:szCs w:val="18"/>
          <w:color w:val="auto"/>
        </w:rPr>
        <w:t>In February 2016, the FASB issued ASU 2016-02, Leases (Topic 842): Recognition and Measurement of Financial Assets and Financial Liabilities. The update requires the recognition of lease assets and lease liabilities by lessees for those leases classified as operating leases under previous U.S. GAAP. The new guidance retains a distinction between finance leases and operating leases, with cash payments from operating leases classified within operating activities in the statement of cash flows. These amendments will be effective for public entities for fiscal years and interim periods within those years, beginning after December 15, 2018. We are currently evaluating the new guidance to determine the impact it will have on our consolidated financial statements.</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21" w:lineRule="exact"/>
        <w:rPr>
          <w:sz w:val="20"/>
          <w:szCs w:val="20"/>
          <w:color w:val="auto"/>
        </w:rPr>
      </w:pPr>
    </w:p>
    <w:p>
      <w:pPr>
        <w:ind w:right="60" w:firstLine="518"/>
        <w:spacing w:after="0" w:line="277" w:lineRule="auto"/>
        <w:rPr>
          <w:sz w:val="20"/>
          <w:szCs w:val="20"/>
          <w:color w:val="auto"/>
        </w:rPr>
      </w:pPr>
      <w:r>
        <w:rPr>
          <w:rFonts w:ascii="Arial" w:cs="Arial" w:eastAsia="Arial" w:hAnsi="Arial"/>
          <w:sz w:val="18"/>
          <w:szCs w:val="18"/>
          <w:color w:val="auto"/>
        </w:rPr>
        <w:t>We are exposed to various market risks in the ordinary course of our business, including changes in interest rates and currency exchange rates. Market risk is the potential loss arising from adverse changes in interest rates and exchange rates.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Exchange Risk</w:t>
      </w:r>
    </w:p>
    <w:p>
      <w:pPr>
        <w:spacing w:after="0" w:line="117" w:lineRule="exact"/>
        <w:rPr>
          <w:sz w:val="20"/>
          <w:szCs w:val="20"/>
          <w:color w:val="auto"/>
        </w:rPr>
      </w:pPr>
    </w:p>
    <w:p>
      <w:pPr>
        <w:ind w:firstLine="518"/>
        <w:spacing w:after="0" w:line="286" w:lineRule="auto"/>
        <w:rPr>
          <w:sz w:val="20"/>
          <w:szCs w:val="20"/>
          <w:color w:val="auto"/>
        </w:rPr>
      </w:pPr>
      <w:r>
        <w:rPr>
          <w:rFonts w:ascii="Arial" w:cs="Arial" w:eastAsia="Arial" w:hAnsi="Arial"/>
          <w:sz w:val="17"/>
          <w:szCs w:val="17"/>
          <w:color w:val="auto"/>
        </w:rPr>
        <w:t>The principal market risk we face is foreign currency exchange rate risk. We face this risk, in part, as a result of entering into transactions denominated in currencies other than U.S. dollars, particularly those denominated in Canadian dollars. We also hold non-U.S. dollar denominated cash and cash equivalents, marketable securities, accounts receivable and accounts payable, which are denominated in Canadian dollars.</w:t>
      </w:r>
    </w:p>
    <w:p>
      <w:pPr>
        <w:spacing w:after="0" w:line="166" w:lineRule="exact"/>
        <w:rPr>
          <w:sz w:val="20"/>
          <w:szCs w:val="20"/>
          <w:color w:val="auto"/>
        </w:rPr>
      </w:pPr>
    </w:p>
    <w:p>
      <w:pPr>
        <w:ind w:right="100" w:firstLine="518"/>
        <w:spacing w:after="0" w:line="290" w:lineRule="auto"/>
        <w:rPr>
          <w:sz w:val="20"/>
          <w:szCs w:val="20"/>
          <w:color w:val="auto"/>
        </w:rPr>
      </w:pPr>
      <w:r>
        <w:rPr>
          <w:rFonts w:ascii="Arial" w:cs="Arial" w:eastAsia="Arial" w:hAnsi="Arial"/>
          <w:sz w:val="16"/>
          <w:szCs w:val="16"/>
          <w:color w:val="auto"/>
        </w:rPr>
        <w:t>Changes in foreign currency exchange rates can create significant foreign exchange gains or losses to us. Our current foreign currency risk is with the Canadian dollar, as a majority of our non-U.S. dollar denominated expenses are denominated in Canadian dollars and a significant portion of our cash and cash equivalents and marketable securities are held in Canadian dollars. To limit our exposure to volatility in currency markets, we estimate our anticipated expenses that will be denominated in Canadian and U.S. dollars and then purchase a corresponding amount of Canadian or U.S. dollars at the current spot rate. Once these estimated expense amounts are acquired, we do not hedge our exposure and thus assume the risk of future gains or losses on the amounts of Canadian dollars held. At June 30, 2017, we held cash and cash equivalents and marketable securities of $21.3 million denominated in Canadian dollars. A hypothetical 10% increase (decrease) in the value of the Canadian dollar would result in a foreign exchange gain (loss) of $2.1 million being recorded in the Statement of Operations on the translation of these Canadian dollar cash and cash equivalent balances into the U.S. dollar functional currency.</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117" w:lineRule="exact"/>
        <w:rPr>
          <w:sz w:val="20"/>
          <w:szCs w:val="20"/>
          <w:color w:val="auto"/>
        </w:rPr>
      </w:pPr>
    </w:p>
    <w:p>
      <w:pPr>
        <w:ind w:firstLine="518"/>
        <w:spacing w:after="0" w:line="255" w:lineRule="auto"/>
        <w:rPr>
          <w:sz w:val="20"/>
          <w:szCs w:val="20"/>
          <w:color w:val="auto"/>
        </w:rPr>
      </w:pPr>
      <w:r>
        <w:rPr>
          <w:rFonts w:ascii="Arial" w:cs="Arial" w:eastAsia="Arial" w:hAnsi="Arial"/>
          <w:sz w:val="18"/>
          <w:szCs w:val="18"/>
          <w:color w:val="auto"/>
        </w:rPr>
        <w:t>An additional market risk we face is interest rate risk. We had cash and cash equivalents and marketable securities of $51.7 million as of June 30, 2017. The goals of our investment policy are liquidity and capital preservation; we do not enter into investments for trading or speculative purposes and have not used any derivative financial instruments to manage our interest rate exposure. We believe that we do not have any material exposure to changes in the fair value of these assets as a result of changes in interest rates due to the short term nature of our cash and cash equivalents and marketable securities. Declines in interest rates, however, would reduce future investment income. A 10% change in interest rates during any of the periods presented would not have had a material impact on our financial statements. Such interest-earning instruments carry a degree of interest rate risk. We had no outstanding debt as of June 30, 2017.</w:t>
      </w:r>
    </w:p>
    <w:p>
      <w:pPr>
        <w:spacing w:after="0" w:line="200" w:lineRule="exact"/>
        <w:rPr>
          <w:sz w:val="20"/>
          <w:szCs w:val="20"/>
          <w:color w:val="auto"/>
        </w:rPr>
      </w:pPr>
    </w:p>
    <w:p>
      <w:pPr>
        <w:spacing w:after="0" w:line="23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59" w:right="25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21" w:lineRule="exact"/>
        <w:rPr>
          <w:sz w:val="20"/>
          <w:szCs w:val="20"/>
          <w:color w:val="auto"/>
        </w:rPr>
      </w:pPr>
    </w:p>
    <w:p>
      <w:pPr>
        <w:ind w:right="140" w:firstLine="526"/>
        <w:spacing w:after="0" w:line="257" w:lineRule="auto"/>
        <w:tabs>
          <w:tab w:leader="none" w:pos="763" w:val="left"/>
        </w:tabs>
        <w:numPr>
          <w:ilvl w:val="0"/>
          <w:numId w:val="20"/>
        </w:numPr>
        <w:rPr>
          <w:rFonts w:ascii="Arial" w:cs="Arial" w:eastAsia="Arial" w:hAnsi="Arial"/>
          <w:sz w:val="18"/>
          <w:szCs w:val="18"/>
          <w:color w:val="auto"/>
        </w:rPr>
      </w:pPr>
      <w:r>
        <w:rPr>
          <w:rFonts w:ascii="Arial" w:cs="Arial" w:eastAsia="Arial" w:hAnsi="Arial"/>
          <w:sz w:val="18"/>
          <w:szCs w:val="18"/>
          <w:color w:val="auto"/>
        </w:rPr>
        <w:t>Evaluation of disclosure controls and procedures. Our management, with the participation of our Chief Executive Officer and our Chief Financial Officer, have evaluated our disclosure controls and procedures (as defined in Rules 13a-15(e) and 15d-15(e) under the Securities Exchange Act of 1934, as amended) as of the end of the period covered by this quarterly report. Based on that evaluation, our Chief Executive Officer and our Chief Financial Officer have concluded that, as of the end of the period covered by this quarterly report, our disclosure controls and procedures were effective, in design and operation, at the reasonable assurance level.</w:t>
      </w:r>
    </w:p>
    <w:p>
      <w:pPr>
        <w:spacing w:after="0" w:line="188" w:lineRule="exact"/>
        <w:rPr>
          <w:rFonts w:ascii="Arial" w:cs="Arial" w:eastAsia="Arial" w:hAnsi="Arial"/>
          <w:sz w:val="18"/>
          <w:szCs w:val="18"/>
          <w:color w:val="auto"/>
        </w:rPr>
      </w:pPr>
    </w:p>
    <w:p>
      <w:pPr>
        <w:ind w:right="20" w:firstLine="526"/>
        <w:spacing w:after="0" w:line="308" w:lineRule="auto"/>
        <w:tabs>
          <w:tab w:leader="none" w:pos="773" w:val="left"/>
        </w:tabs>
        <w:numPr>
          <w:ilvl w:val="0"/>
          <w:numId w:val="20"/>
        </w:numPr>
        <w:rPr>
          <w:rFonts w:ascii="Arial" w:cs="Arial" w:eastAsia="Arial" w:hAnsi="Arial"/>
          <w:sz w:val="17"/>
          <w:szCs w:val="17"/>
          <w:color w:val="auto"/>
        </w:rPr>
      </w:pPr>
      <w:r>
        <w:rPr>
          <w:rFonts w:ascii="Arial" w:cs="Arial" w:eastAsia="Arial" w:hAnsi="Arial"/>
          <w:sz w:val="17"/>
          <w:szCs w:val="17"/>
          <w:color w:val="auto"/>
        </w:rPr>
        <w:t>Changes in internal control over financial reporting</w:t>
      </w:r>
      <w:r>
        <w:rPr>
          <w:rFonts w:ascii="Arial" w:cs="Arial" w:eastAsia="Arial" w:hAnsi="Arial"/>
          <w:sz w:val="17"/>
          <w:szCs w:val="17"/>
          <w:i w:val="1"/>
          <w:iCs w:val="1"/>
          <w:color w:val="auto"/>
        </w:rPr>
        <w:t>.</w:t>
      </w:r>
      <w:r>
        <w:rPr>
          <w:rFonts w:ascii="Arial" w:cs="Arial" w:eastAsia="Arial" w:hAnsi="Arial"/>
          <w:sz w:val="17"/>
          <w:szCs w:val="17"/>
          <w:color w:val="auto"/>
        </w:rPr>
        <w:t xml:space="preserve"> There were no changes in our internal control over financial reporting during the period ended June 30, 2017 that have materially affected, or are reasonably likely to materially affect, our internal control over financial reporting.</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Inherent limitation on the effectiveness of internal control.</w:t>
      </w:r>
    </w:p>
    <w:p>
      <w:pPr>
        <w:spacing w:after="0" w:line="117" w:lineRule="exact"/>
        <w:rPr>
          <w:sz w:val="20"/>
          <w:szCs w:val="20"/>
          <w:color w:val="auto"/>
        </w:rPr>
      </w:pPr>
    </w:p>
    <w:p>
      <w:pPr>
        <w:ind w:right="80" w:firstLine="518"/>
        <w:spacing w:after="0" w:line="255" w:lineRule="auto"/>
        <w:rPr>
          <w:sz w:val="20"/>
          <w:szCs w:val="20"/>
          <w:color w:val="auto"/>
        </w:rPr>
      </w:pPr>
      <w:r>
        <w:rPr>
          <w:rFonts w:ascii="Arial" w:cs="Arial" w:eastAsia="Arial" w:hAnsi="Arial"/>
          <w:sz w:val="18"/>
          <w:szCs w:val="18"/>
          <w:color w:val="auto"/>
        </w:rPr>
        <w:t>The effectiveness of any system of internal control over financial reporting, including ours, is subject to inherent limitations, including the exercise of judgment in designing, implementing, operating, and evaluating the controls and procedures, and the inability to eliminate misconduct completely. Accordingly, any system of internal control over financial reporting, including ours, no matter how well designed and operated, can only provide reasonable, not absolute assurances. In addition, projections of any evaluation of effectiveness to future periods are subject to the risk that controls may become inadequate because of changes in conditions, or that the degree of compliance with the policies or procedures may deteriorate. We intend to continue to monitor and upgrade our internal controls as necessary or appropriate for our business, but cannot assure you that such improvements will be sufficient to provide us with effective internal control over financial reporting.</w:t>
      </w:r>
    </w:p>
    <w:p>
      <w:pPr>
        <w:spacing w:after="0" w:line="3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117"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Item 1. Legal Proceedings</w:t>
      </w:r>
    </w:p>
    <w:p>
      <w:pPr>
        <w:spacing w:after="0" w:line="121" w:lineRule="exact"/>
        <w:rPr>
          <w:sz w:val="20"/>
          <w:szCs w:val="20"/>
          <w:color w:val="auto"/>
        </w:rPr>
      </w:pPr>
    </w:p>
    <w:p>
      <w:pPr>
        <w:ind w:right="120" w:firstLine="518"/>
        <w:spacing w:after="0" w:line="279" w:lineRule="auto"/>
        <w:rPr>
          <w:sz w:val="20"/>
          <w:szCs w:val="20"/>
          <w:color w:val="auto"/>
        </w:rPr>
      </w:pPr>
      <w:r>
        <w:rPr>
          <w:rFonts w:ascii="Arial" w:cs="Arial" w:eastAsia="Arial" w:hAnsi="Arial"/>
          <w:sz w:val="17"/>
          <w:szCs w:val="17"/>
          <w:color w:val="auto"/>
        </w:rPr>
        <w:t>From time to time, we may become involved in legal proceedings or be subject to claims arising in the ordinary course of our business. We are not presently a party to any legal proceedings that, in the opinion of our management, would reasonably be expected to have a material adverse effect on our business, financial condition, operating results or cash flows if determined adversely to us. Regardless of the outcome, litigation can have an adverse impact on us because of defense and settlement costs, diversion of management resources and other factors.</w:t>
      </w:r>
    </w:p>
    <w:p>
      <w:pPr>
        <w:spacing w:after="0" w:line="276"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Item 1A. Risk Factors</w:t>
      </w:r>
    </w:p>
    <w:p>
      <w:pPr>
        <w:spacing w:after="0" w:line="121" w:lineRule="exact"/>
        <w:rPr>
          <w:sz w:val="20"/>
          <w:szCs w:val="20"/>
          <w:color w:val="auto"/>
        </w:rPr>
      </w:pPr>
    </w:p>
    <w:p>
      <w:pPr>
        <w:ind w:firstLine="518"/>
        <w:spacing w:after="0" w:line="255" w:lineRule="auto"/>
        <w:rPr>
          <w:sz w:val="20"/>
          <w:szCs w:val="20"/>
          <w:color w:val="auto"/>
        </w:rPr>
      </w:pPr>
      <w:r>
        <w:rPr>
          <w:rFonts w:ascii="Arial" w:cs="Arial" w:eastAsia="Arial" w:hAnsi="Arial"/>
          <w:sz w:val="18"/>
          <w:szCs w:val="18"/>
          <w:i w:val="1"/>
          <w:iCs w:val="1"/>
          <w:color w:val="auto"/>
        </w:rPr>
        <w:t>You should carefully consider the following risk factors, in addition to the other information contained in this report, including the section of this report captioned “Management’s Discussion and Analysis of Financial Condition and Results of Operations” and our financial statements and related notes. If any of the events described in the following risk factors and the risks described elsewhere in this report occurs, our business, operating results and financial condition could be seriously harmed. This report on Form 10-Q also contains forward-looking statements that involve risks and uncertainties. Our actual results could differ materially from those anticipated in the forward-looking statements as a result of factors that are described below and elsewhere in this report.</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Financial Condition and Capital Requirements</w:t>
      </w:r>
    </w:p>
    <w:p>
      <w:pPr>
        <w:spacing w:after="0" w:line="121" w:lineRule="exact"/>
        <w:rPr>
          <w:sz w:val="20"/>
          <w:szCs w:val="20"/>
          <w:color w:val="auto"/>
        </w:rPr>
      </w:pPr>
    </w:p>
    <w:p>
      <w:pPr>
        <w:ind w:left="260"/>
        <w:spacing w:after="0"/>
        <w:rPr>
          <w:sz w:val="20"/>
          <w:szCs w:val="20"/>
          <w:color w:val="auto"/>
        </w:rPr>
      </w:pPr>
      <w:r>
        <w:rPr>
          <w:rFonts w:ascii="Arial" w:cs="Arial" w:eastAsia="Arial" w:hAnsi="Arial"/>
          <w:sz w:val="16"/>
          <w:szCs w:val="16"/>
          <w:b w:val="1"/>
          <w:bCs w:val="1"/>
          <w:i w:val="1"/>
          <w:iCs w:val="1"/>
          <w:color w:val="auto"/>
        </w:rPr>
        <w:t>We have incurred significant losses since our inception and anticipate that we will continue to incur significant losses for the foreseeable future.</w:t>
      </w:r>
    </w:p>
    <w:p>
      <w:pPr>
        <w:spacing w:after="0" w:line="140" w:lineRule="exact"/>
        <w:rPr>
          <w:sz w:val="20"/>
          <w:szCs w:val="20"/>
          <w:color w:val="auto"/>
        </w:rPr>
      </w:pPr>
    </w:p>
    <w:p>
      <w:pPr>
        <w:ind w:right="80" w:firstLine="518"/>
        <w:spacing w:after="0" w:line="279" w:lineRule="auto"/>
        <w:rPr>
          <w:sz w:val="20"/>
          <w:szCs w:val="20"/>
          <w:color w:val="auto"/>
        </w:rPr>
      </w:pPr>
      <w:r>
        <w:rPr>
          <w:rFonts w:ascii="Arial" w:cs="Arial" w:eastAsia="Arial" w:hAnsi="Arial"/>
          <w:sz w:val="17"/>
          <w:szCs w:val="17"/>
          <w:color w:val="auto"/>
        </w:rPr>
        <w:t>We are a clinical-stage biotechnology company and, other than the years ended December 31, 2014 and 2013, we have recorded net losses in each annual reporting period since inception in 1996, and we do not expect to have sustained profitability for the foreseeable future. We had net losses of $14.9 million for the six months ended June 30, 2017 and an accumulated deficit of $157.6 million as of June 30, 2017, which were driven by expenses incurred in connection with our research programs and from general and administrative costs associated with our operations.</w:t>
      </w:r>
    </w:p>
    <w:p>
      <w:pPr>
        <w:spacing w:after="0" w:line="200" w:lineRule="exact"/>
        <w:rPr>
          <w:sz w:val="20"/>
          <w:szCs w:val="20"/>
          <w:color w:val="auto"/>
        </w:rPr>
      </w:pPr>
    </w:p>
    <w:p>
      <w:pPr>
        <w:spacing w:after="0" w:line="21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459" w:right="279" w:bottom="1440" w:gutter="0" w:footer="0" w:header="0"/>
        </w:sectPr>
      </w:pPr>
    </w:p>
    <w:bookmarkStart w:id="22" w:name="page23"/>
    <w:bookmarkEnd w:id="22"/>
    <w:p>
      <w:pPr>
        <w:ind w:right="40" w:firstLine="518"/>
        <w:spacing w:after="0" w:line="255" w:lineRule="auto"/>
        <w:rPr>
          <w:sz w:val="20"/>
          <w:szCs w:val="20"/>
          <w:color w:val="auto"/>
        </w:rPr>
      </w:pPr>
      <w:r>
        <w:rPr>
          <w:rFonts w:ascii="Arial" w:cs="Arial" w:eastAsia="Arial" w:hAnsi="Arial"/>
          <w:sz w:val="18"/>
          <w:szCs w:val="18"/>
          <w:color w:val="auto"/>
        </w:rPr>
        <w:t>We have devoted most of our financial resources to research and development, including our clinical and preclinical development activities. To date, we have financed our operations through the sale of equity securities, funding received from our licensees and collaborators and, to a lesser extent, government funding. Other than royalties we are eligible to receive from sales of Glybera under our license to uniQure Biopharma B.V., or uniQure, which have not been significant to date, we have not generated any royalty revenue from product sales and our product candidates will require substantial additional investment before they will provide us with any product royalty revenue. In April 2017, uniQure announced that it will not seek marketing authorization renewal for Glybera in Europe, which authorization is scheduled to expire in October 2017. As a result, we expect Glybera royalties to cease following the expiration of such marketing authorization.</w:t>
      </w:r>
    </w:p>
    <w:p>
      <w:pPr>
        <w:spacing w:after="0" w:line="18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We expect to incur significant expenses and increasing operating losses for the foreseeable future as we:</w:t>
      </w:r>
    </w:p>
    <w:p>
      <w:pPr>
        <w:spacing w:after="0" w:line="117" w:lineRule="exact"/>
        <w:rPr>
          <w:sz w:val="20"/>
          <w:szCs w:val="20"/>
          <w:color w:val="auto"/>
        </w:rPr>
      </w:pPr>
    </w:p>
    <w:p>
      <w:pPr>
        <w:ind w:left="1040" w:hanging="519"/>
        <w:spacing w:after="0"/>
        <w:tabs>
          <w:tab w:leader="none" w:pos="10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continue our research and preclinical and clinical development of our product candidates;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expand the scope of our clinical studies for our current and prospective product candidates;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initiate additional preclinical, clinical or other studies for our product candidates, including under our collaboration agreements;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change or add additional manufacturers or suppliers;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seek regulatory and marketing approvals for any of our product candidates that successfully complete clinical studies;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seek to identify and validate additional product candidates;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acquire or in-license other product candidates and technologies;</w:t>
      </w:r>
    </w:p>
    <w:p>
      <w:pPr>
        <w:spacing w:after="0" w:line="117" w:lineRule="exact"/>
        <w:rPr>
          <w:rFonts w:ascii="Arial" w:cs="Arial" w:eastAsia="Arial" w:hAnsi="Arial"/>
          <w:sz w:val="18"/>
          <w:szCs w:val="18"/>
          <w:color w:val="auto"/>
        </w:rPr>
      </w:pPr>
    </w:p>
    <w:p>
      <w:pPr>
        <w:ind w:left="1040" w:right="60" w:hanging="519"/>
        <w:spacing w:after="0" w:line="264" w:lineRule="auto"/>
        <w:tabs>
          <w:tab w:leader="none" w:pos="10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make milestone or other payments under our in-license agreements including, without limitation, our agreements with the University of British Columbia, the Memorial University of Newfoundland, 1st Order Pharmaceuticals, Inc., an affiliate of Valeant Pharmaceuticals International, Inc. and other third parties;</w:t>
      </w:r>
    </w:p>
    <w:p>
      <w:pPr>
        <w:spacing w:after="0" w:line="73" w:lineRule="exact"/>
        <w:rPr>
          <w:rFonts w:ascii="Arial" w:cs="Arial" w:eastAsia="Arial" w:hAnsi="Arial"/>
          <w:sz w:val="18"/>
          <w:szCs w:val="18"/>
          <w:color w:val="auto"/>
        </w:rPr>
      </w:pPr>
    </w:p>
    <w:p>
      <w:pPr>
        <w:ind w:left="1040" w:hanging="519"/>
        <w:spacing w:after="0"/>
        <w:tabs>
          <w:tab w:leader="none" w:pos="10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maintain, protect and expand our intellectual property portfolio;</w:t>
      </w:r>
    </w:p>
    <w:p>
      <w:pPr>
        <w:spacing w:after="0" w:line="117" w:lineRule="exact"/>
        <w:rPr>
          <w:rFonts w:ascii="Arial" w:cs="Arial" w:eastAsia="Arial" w:hAnsi="Arial"/>
          <w:sz w:val="18"/>
          <w:szCs w:val="18"/>
          <w:color w:val="auto"/>
        </w:rPr>
      </w:pPr>
    </w:p>
    <w:p>
      <w:pPr>
        <w:ind w:left="1040" w:right="140" w:hanging="519"/>
        <w:spacing w:after="0" w:line="277" w:lineRule="auto"/>
        <w:tabs>
          <w:tab w:leader="none" w:pos="10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establish a sales, marketing and distribution infrastructure to commercialize any products for which we or one of our collaborators may obtain marketing approval, and for which we have maintained commercial rights;</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21"/>
        </w:numPr>
        <w:rPr>
          <w:rFonts w:ascii="Arial" w:cs="Arial" w:eastAsia="Arial" w:hAnsi="Arial"/>
          <w:sz w:val="17"/>
          <w:szCs w:val="17"/>
          <w:color w:val="auto"/>
        </w:rPr>
      </w:pPr>
      <w:r>
        <w:rPr>
          <w:rFonts w:ascii="Arial" w:cs="Arial" w:eastAsia="Arial" w:hAnsi="Arial"/>
          <w:sz w:val="17"/>
          <w:szCs w:val="17"/>
          <w:color w:val="auto"/>
        </w:rPr>
        <w:t>create additional infrastructure to support our operations and our product development and planned future commercialization efforts; and</w:t>
      </w:r>
    </w:p>
    <w:p>
      <w:pPr>
        <w:spacing w:after="0" w:line="128" w:lineRule="exact"/>
        <w:rPr>
          <w:rFonts w:ascii="Arial" w:cs="Arial" w:eastAsia="Arial" w:hAnsi="Arial"/>
          <w:sz w:val="17"/>
          <w:szCs w:val="17"/>
          <w:color w:val="auto"/>
        </w:rPr>
      </w:pPr>
    </w:p>
    <w:p>
      <w:pPr>
        <w:ind w:left="1040" w:hanging="519"/>
        <w:spacing w:after="0"/>
        <w:tabs>
          <w:tab w:leader="none" w:pos="10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experience any delays or encounter issues with any of the above.</w:t>
      </w:r>
    </w:p>
    <w:p>
      <w:pPr>
        <w:spacing w:after="0" w:line="225" w:lineRule="exact"/>
        <w:rPr>
          <w:sz w:val="20"/>
          <w:szCs w:val="20"/>
          <w:color w:val="auto"/>
        </w:rPr>
      </w:pPr>
    </w:p>
    <w:p>
      <w:pPr>
        <w:ind w:firstLine="518"/>
        <w:spacing w:after="0" w:line="259" w:lineRule="auto"/>
        <w:rPr>
          <w:sz w:val="20"/>
          <w:szCs w:val="20"/>
          <w:color w:val="auto"/>
        </w:rPr>
      </w:pPr>
      <w:r>
        <w:rPr>
          <w:rFonts w:ascii="Arial" w:cs="Arial" w:eastAsia="Arial" w:hAnsi="Arial"/>
          <w:sz w:val="18"/>
          <w:szCs w:val="18"/>
          <w:color w:val="auto"/>
        </w:rPr>
        <w:t>Our expenses could increase beyond expectations for a variety of reasons, including if we are required by the U.S. Food and Drug Administration, or FDA, the European Medicines Agency, or EMA, or other regulatory agencies, domestic or foreign, to perform clinical and other studies in addition to those that we currently anticipate. Our prior losses, combined with expected future losses, have had and will continue to have an adverse effect on our shareholders’ equity.</w:t>
      </w:r>
    </w:p>
    <w:p>
      <w:pPr>
        <w:spacing w:after="0" w:line="200" w:lineRule="exact"/>
        <w:rPr>
          <w:sz w:val="20"/>
          <w:szCs w:val="20"/>
          <w:color w:val="auto"/>
        </w:rPr>
      </w:pPr>
    </w:p>
    <w:p>
      <w:pPr>
        <w:spacing w:after="0" w:line="2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55" w:right="259" w:bottom="1440" w:gutter="0" w:footer="0" w:header="0"/>
        </w:sectPr>
      </w:pPr>
    </w:p>
    <w:bookmarkStart w:id="23" w:name="page24"/>
    <w:bookmarkEnd w:id="23"/>
    <w:p>
      <w:pPr>
        <w:ind w:right="320" w:firstLine="259"/>
        <w:spacing w:after="0" w:line="277" w:lineRule="auto"/>
        <w:rPr>
          <w:sz w:val="20"/>
          <w:szCs w:val="20"/>
          <w:color w:val="auto"/>
        </w:rPr>
      </w:pPr>
      <w:r>
        <w:rPr>
          <w:rFonts w:ascii="Arial" w:cs="Arial" w:eastAsia="Arial" w:hAnsi="Arial"/>
          <w:sz w:val="18"/>
          <w:szCs w:val="18"/>
          <w:b w:val="1"/>
          <w:bCs w:val="1"/>
          <w:i w:val="1"/>
          <w:iCs w:val="1"/>
          <w:color w:val="auto"/>
        </w:rPr>
        <w:t>Other than royalties we are eligible to receive from sales of Glybera, we have not generated any royalty revenue from product sales and may never become profitable on a U.S. GAAP basis.</w:t>
      </w:r>
    </w:p>
    <w:p>
      <w:pPr>
        <w:spacing w:after="0" w:line="62" w:lineRule="exact"/>
        <w:rPr>
          <w:sz w:val="20"/>
          <w:szCs w:val="20"/>
          <w:color w:val="auto"/>
        </w:rPr>
      </w:pPr>
    </w:p>
    <w:p>
      <w:pPr>
        <w:ind w:right="80" w:firstLine="518"/>
        <w:spacing w:after="0" w:line="288" w:lineRule="auto"/>
        <w:rPr>
          <w:sz w:val="20"/>
          <w:szCs w:val="20"/>
          <w:color w:val="auto"/>
        </w:rPr>
      </w:pPr>
      <w:r>
        <w:rPr>
          <w:rFonts w:ascii="Arial" w:cs="Arial" w:eastAsia="Arial" w:hAnsi="Arial"/>
          <w:sz w:val="16"/>
          <w:szCs w:val="16"/>
          <w:color w:val="auto"/>
        </w:rPr>
        <w:t>Our ability to generate meaningful revenue and achieve profitability on a U.S. GAAP basis depends on our ability, alone or with strategic collaborators, to successfully complete the development of, and obtain the regulatory approvals necessary to commercialize, our product candidates. Substantially all of our revenue since inception has consisted of upfront and milestone payments associated with our collaboration and license agreements. Revenue from these agreements is dependent on successful development of our product candidates by us or our collaborators. Other than royalties we are eligible to receive from sales of Glybera under our license to uniQure, which have not been significant to date and which we expect to cease in October 2017 following expiration of Glybera’s marketing authorization, we have not generated any royalty revenue from product sales, and do not otherwise anticipate generating revenue from product sales for the foreseeable future, if ever. If any of our product candidates fail in clinical trials or do not gain regulatory approval, or if any of our future products, if any, once approved, fail to achieve market acceptance or adequate market share, we may never become profitable. Although we were profitable for the years ended December 31, 2014 and 2013, we may not be able to sustain profitability in subsequent periods. Our ability to generate future revenue from product sales depends heavily on our success, and the success of our collaborators, in:</w:t>
      </w:r>
    </w:p>
    <w:p>
      <w:pPr>
        <w:spacing w:after="0" w:line="61" w:lineRule="exact"/>
        <w:rPr>
          <w:sz w:val="20"/>
          <w:szCs w:val="20"/>
          <w:color w:val="auto"/>
        </w:rPr>
      </w:pPr>
    </w:p>
    <w:p>
      <w:pPr>
        <w:ind w:left="1040" w:hanging="519"/>
        <w:spacing w:after="0"/>
        <w:tabs>
          <w:tab w:leader="none" w:pos="10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completing research, preclinical and clinical development of our product candidates;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seeking and obtaining regulatory and marketing approvals for product candidates for which we complete clinical studies;</w:t>
      </w:r>
    </w:p>
    <w:p>
      <w:pPr>
        <w:spacing w:after="0" w:line="117" w:lineRule="exact"/>
        <w:rPr>
          <w:rFonts w:ascii="Arial" w:cs="Arial" w:eastAsia="Arial" w:hAnsi="Arial"/>
          <w:sz w:val="18"/>
          <w:szCs w:val="18"/>
          <w:color w:val="auto"/>
        </w:rPr>
      </w:pPr>
    </w:p>
    <w:p>
      <w:pPr>
        <w:ind w:left="1040" w:right="160" w:hanging="519"/>
        <w:spacing w:after="0" w:line="277" w:lineRule="auto"/>
        <w:tabs>
          <w:tab w:leader="none" w:pos="10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commercializing products for which we obtain regulatory and marketing approval, either with a collaborator or, if launched independently, by establishing sales, marketing and distribution infrastructure;</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negotiating favorable terms in any collaboration, licensing or other arrangements into which we may enter;</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obtaining market acceptance of products for which we obtain regulatory and marketing approval as therapies;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addressing any competing technological and market developments;</w:t>
      </w:r>
    </w:p>
    <w:p>
      <w:pPr>
        <w:spacing w:after="0" w:line="117" w:lineRule="exact"/>
        <w:rPr>
          <w:rFonts w:ascii="Arial" w:cs="Arial" w:eastAsia="Arial" w:hAnsi="Arial"/>
          <w:sz w:val="18"/>
          <w:szCs w:val="18"/>
          <w:color w:val="auto"/>
        </w:rPr>
      </w:pPr>
    </w:p>
    <w:p>
      <w:pPr>
        <w:ind w:left="1040" w:right="500" w:hanging="519"/>
        <w:spacing w:after="0" w:line="308" w:lineRule="auto"/>
        <w:tabs>
          <w:tab w:leader="none" w:pos="1040" w:val="left"/>
        </w:tabs>
        <w:numPr>
          <w:ilvl w:val="0"/>
          <w:numId w:val="22"/>
        </w:numPr>
        <w:rPr>
          <w:rFonts w:ascii="Arial" w:cs="Arial" w:eastAsia="Arial" w:hAnsi="Arial"/>
          <w:sz w:val="17"/>
          <w:szCs w:val="17"/>
          <w:color w:val="auto"/>
        </w:rPr>
      </w:pPr>
      <w:r>
        <w:rPr>
          <w:rFonts w:ascii="Arial" w:cs="Arial" w:eastAsia="Arial" w:hAnsi="Arial"/>
          <w:sz w:val="17"/>
          <w:szCs w:val="17"/>
          <w:color w:val="auto"/>
        </w:rPr>
        <w:t>establishing and maintaining supply and manufacturing relationships with third parties that can provide adequate (in amount and quality) products and services to support clinical development and the market demand for any approved products in the future;</w:t>
      </w:r>
    </w:p>
    <w:p>
      <w:pPr>
        <w:spacing w:after="0" w:line="38" w:lineRule="exact"/>
        <w:rPr>
          <w:rFonts w:ascii="Arial" w:cs="Arial" w:eastAsia="Arial" w:hAnsi="Arial"/>
          <w:sz w:val="17"/>
          <w:szCs w:val="17"/>
          <w:color w:val="auto"/>
        </w:rPr>
      </w:pPr>
    </w:p>
    <w:p>
      <w:pPr>
        <w:ind w:left="1040" w:hanging="519"/>
        <w:spacing w:after="0"/>
        <w:tabs>
          <w:tab w:leader="none" w:pos="1040" w:val="left"/>
        </w:tabs>
        <w:numPr>
          <w:ilvl w:val="0"/>
          <w:numId w:val="22"/>
        </w:numPr>
        <w:rPr>
          <w:rFonts w:ascii="Arial" w:cs="Arial" w:eastAsia="Arial" w:hAnsi="Arial"/>
          <w:sz w:val="17"/>
          <w:szCs w:val="17"/>
          <w:color w:val="auto"/>
        </w:rPr>
      </w:pPr>
      <w:r>
        <w:rPr>
          <w:rFonts w:ascii="Arial" w:cs="Arial" w:eastAsia="Arial" w:hAnsi="Arial"/>
          <w:sz w:val="17"/>
          <w:szCs w:val="17"/>
          <w:color w:val="auto"/>
        </w:rPr>
        <w:t>developing sustainable, scalable, reproducible, and transferable manufacturing processes for any of our products approved in the future;</w:t>
      </w:r>
    </w:p>
    <w:p>
      <w:pPr>
        <w:spacing w:after="0" w:line="128" w:lineRule="exact"/>
        <w:rPr>
          <w:rFonts w:ascii="Arial" w:cs="Arial" w:eastAsia="Arial" w:hAnsi="Arial"/>
          <w:sz w:val="17"/>
          <w:szCs w:val="17"/>
          <w:color w:val="auto"/>
        </w:rPr>
      </w:pPr>
    </w:p>
    <w:p>
      <w:pPr>
        <w:ind w:left="1040" w:hanging="519"/>
        <w:spacing w:after="0"/>
        <w:tabs>
          <w:tab w:leader="none" w:pos="1040" w:val="left"/>
        </w:tabs>
        <w:numPr>
          <w:ilvl w:val="0"/>
          <w:numId w:val="22"/>
        </w:numPr>
        <w:rPr>
          <w:rFonts w:ascii="Arial" w:cs="Arial" w:eastAsia="Arial" w:hAnsi="Arial"/>
          <w:sz w:val="16"/>
          <w:szCs w:val="16"/>
          <w:color w:val="auto"/>
        </w:rPr>
      </w:pPr>
      <w:r>
        <w:rPr>
          <w:rFonts w:ascii="Arial" w:cs="Arial" w:eastAsia="Arial" w:hAnsi="Arial"/>
          <w:sz w:val="16"/>
          <w:szCs w:val="16"/>
          <w:color w:val="auto"/>
        </w:rPr>
        <w:t>maintaining, protecting, expanding and enforcing our portfolio of intellectual property rights, including patents, trade secrets and know-how;</w:t>
      </w:r>
    </w:p>
    <w:p>
      <w:pPr>
        <w:spacing w:after="0" w:line="140" w:lineRule="exact"/>
        <w:rPr>
          <w:rFonts w:ascii="Arial" w:cs="Arial" w:eastAsia="Arial" w:hAnsi="Arial"/>
          <w:sz w:val="16"/>
          <w:szCs w:val="16"/>
          <w:color w:val="auto"/>
        </w:rPr>
      </w:pPr>
    </w:p>
    <w:p>
      <w:pPr>
        <w:ind w:left="1040" w:hanging="519"/>
        <w:spacing w:after="0"/>
        <w:tabs>
          <w:tab w:leader="none" w:pos="10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implementing additional internal systems and infrastructure, as needed;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attracting, hiring and retaining qualified personnel.</w:t>
      </w:r>
    </w:p>
    <w:p>
      <w:pPr>
        <w:spacing w:after="0" w:line="225" w:lineRule="exact"/>
        <w:rPr>
          <w:sz w:val="20"/>
          <w:szCs w:val="20"/>
          <w:color w:val="auto"/>
        </w:rPr>
      </w:pPr>
    </w:p>
    <w:p>
      <w:pPr>
        <w:ind w:firstLine="518"/>
        <w:spacing w:after="0" w:line="259" w:lineRule="auto"/>
        <w:rPr>
          <w:sz w:val="20"/>
          <w:szCs w:val="20"/>
          <w:color w:val="auto"/>
        </w:rPr>
      </w:pPr>
      <w:r>
        <w:rPr>
          <w:rFonts w:ascii="Arial" w:cs="Arial" w:eastAsia="Arial" w:hAnsi="Arial"/>
          <w:sz w:val="18"/>
          <w:szCs w:val="18"/>
          <w:color w:val="auto"/>
        </w:rPr>
        <w:t>The scope of our future revenue will also depend upon the size of any markets in which our product candidates receive approval and the availability of insurance coverage and the availability and amount of reimbursement from third-party payers for future products, if any. If we are unable to achieve sufficient revenue to become profitable and remain so, our financial condition and operating results will be negatively impacted, and the market price of our common shares might be adversely impacted.</w:t>
      </w:r>
    </w:p>
    <w:p>
      <w:pPr>
        <w:spacing w:after="0" w:line="295" w:lineRule="exact"/>
        <w:rPr>
          <w:sz w:val="20"/>
          <w:szCs w:val="20"/>
          <w:color w:val="auto"/>
        </w:rPr>
      </w:pPr>
    </w:p>
    <w:p>
      <w:pPr>
        <w:ind w:right="60" w:firstLine="259"/>
        <w:spacing w:after="0" w:line="277" w:lineRule="auto"/>
        <w:rPr>
          <w:sz w:val="20"/>
          <w:szCs w:val="20"/>
          <w:color w:val="auto"/>
        </w:rPr>
      </w:pPr>
      <w:r>
        <w:rPr>
          <w:rFonts w:ascii="Arial" w:cs="Arial" w:eastAsia="Arial" w:hAnsi="Arial"/>
          <w:sz w:val="18"/>
          <w:szCs w:val="18"/>
          <w:b w:val="1"/>
          <w:bCs w:val="1"/>
          <w:i w:val="1"/>
          <w:iCs w:val="1"/>
          <w:color w:val="auto"/>
        </w:rPr>
        <w:t>We will likely need to raise additional funding, which may not be available on acceptable terms, if at all. Failure to obtain this necessary capital when needed may force us to delay, limit or terminate our product development efforts or other operations.</w:t>
      </w:r>
    </w:p>
    <w:p>
      <w:pPr>
        <w:spacing w:after="0" w:line="62" w:lineRule="exact"/>
        <w:rPr>
          <w:sz w:val="20"/>
          <w:szCs w:val="20"/>
          <w:color w:val="auto"/>
        </w:rPr>
      </w:pPr>
    </w:p>
    <w:p>
      <w:pPr>
        <w:ind w:right="160" w:firstLine="518"/>
        <w:spacing w:after="0" w:line="273" w:lineRule="auto"/>
        <w:rPr>
          <w:sz w:val="20"/>
          <w:szCs w:val="20"/>
          <w:color w:val="auto"/>
        </w:rPr>
      </w:pPr>
      <w:r>
        <w:rPr>
          <w:rFonts w:ascii="Arial" w:cs="Arial" w:eastAsia="Arial" w:hAnsi="Arial"/>
          <w:sz w:val="17"/>
          <w:szCs w:val="17"/>
          <w:color w:val="auto"/>
        </w:rPr>
        <w:t>Since our inception, we have dedicated most of our resources to the discovery and development of our proprietary preclinical and clinical product candidates, and we expect to continue to expend substantial resources doing so for the foreseeable future. These expenditures will include costs associated with research and development, potential milestone payments to third parties, manufacturing of product candidates and products approved for sale, conducting preclinical experiments and clinical trials and obtaining and maintaining regulatory approvals, as well as commercializing any products later approved for sale. During the six months ended June 30, 2017, we incurred approximately $12.0 million of costs associated with research and development, exclusive of costs incurred by our collaborators in developing our product candidates.</w:t>
      </w:r>
    </w:p>
    <w:p>
      <w:pPr>
        <w:spacing w:after="0" w:line="200" w:lineRule="exact"/>
        <w:rPr>
          <w:sz w:val="20"/>
          <w:szCs w:val="20"/>
          <w:color w:val="auto"/>
        </w:rPr>
      </w:pPr>
    </w:p>
    <w:p>
      <w:pPr>
        <w:spacing w:after="0" w:line="22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63" w:right="259" w:bottom="1440" w:gutter="0" w:footer="0" w:header="0"/>
        </w:sectPr>
      </w:pPr>
    </w:p>
    <w:bookmarkStart w:id="24" w:name="page25"/>
    <w:bookmarkEnd w:id="24"/>
    <w:p>
      <w:pPr>
        <w:ind w:right="20" w:firstLine="518"/>
        <w:spacing w:after="0" w:line="259" w:lineRule="auto"/>
        <w:rPr>
          <w:sz w:val="20"/>
          <w:szCs w:val="20"/>
          <w:color w:val="auto"/>
        </w:rPr>
      </w:pPr>
      <w:r>
        <w:rPr>
          <w:rFonts w:ascii="Arial" w:cs="Arial" w:eastAsia="Arial" w:hAnsi="Arial"/>
          <w:sz w:val="18"/>
          <w:szCs w:val="18"/>
          <w:color w:val="auto"/>
        </w:rPr>
        <w:t>Our current cash and cash equivalents and marketable securities are not expected to be sufficient to complete clinical development of any of our product candidates and prepare for commercializing any product candidate which receives regulatory approval. Accordingly, we will likely require substantial additional capital to continue our clinical development and potential commercialization activities. Our future capital requirements depend on many factors, including but not limited to:</w:t>
      </w:r>
    </w:p>
    <w:p>
      <w:pPr>
        <w:spacing w:after="0" w:line="79" w:lineRule="exact"/>
        <w:rPr>
          <w:sz w:val="20"/>
          <w:szCs w:val="20"/>
          <w:color w:val="auto"/>
        </w:rPr>
      </w:pPr>
    </w:p>
    <w:p>
      <w:pPr>
        <w:ind w:left="1040" w:right="220" w:hanging="519"/>
        <w:spacing w:after="0" w:line="277" w:lineRule="auto"/>
        <w:tabs>
          <w:tab w:leader="none" w:pos="10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number and characteristics of the future product candidates we pursue either from our internal research efforts or through acquiring or in-licensing other product candidates or technologies;</w:t>
      </w:r>
    </w:p>
    <w:p>
      <w:pPr>
        <w:spacing w:after="0" w:line="62" w:lineRule="exact"/>
        <w:rPr>
          <w:rFonts w:ascii="Arial" w:cs="Arial" w:eastAsia="Arial" w:hAnsi="Arial"/>
          <w:sz w:val="18"/>
          <w:szCs w:val="18"/>
          <w:color w:val="auto"/>
        </w:rPr>
      </w:pPr>
    </w:p>
    <w:p>
      <w:pPr>
        <w:ind w:left="1040" w:right="180" w:hanging="519"/>
        <w:spacing w:after="0" w:line="277" w:lineRule="auto"/>
        <w:tabs>
          <w:tab w:leader="none" w:pos="10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scope, progress, results and costs of independently researching and developing any of our future product candidates, including conducting preclinical research and clinical trials;</w:t>
      </w:r>
    </w:p>
    <w:p>
      <w:pPr>
        <w:spacing w:after="0" w:line="62" w:lineRule="exact"/>
        <w:rPr>
          <w:rFonts w:ascii="Arial" w:cs="Arial" w:eastAsia="Arial" w:hAnsi="Arial"/>
          <w:sz w:val="18"/>
          <w:szCs w:val="18"/>
          <w:color w:val="auto"/>
        </w:rPr>
      </w:pPr>
    </w:p>
    <w:p>
      <w:pPr>
        <w:ind w:left="1040" w:right="140" w:hanging="519"/>
        <w:spacing w:after="0" w:line="277" w:lineRule="auto"/>
        <w:tabs>
          <w:tab w:leader="none" w:pos="10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whether our existing collaborations continue to generate substantial milestone payments and, ultimately, royalties on future approved products for us;</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the timing of, and the costs involved in, obtaining regulatory approvals for any future product candidates we develop independently;</w:t>
      </w:r>
    </w:p>
    <w:p>
      <w:pPr>
        <w:spacing w:after="0" w:line="128" w:lineRule="exact"/>
        <w:rPr>
          <w:rFonts w:ascii="Arial" w:cs="Arial" w:eastAsia="Arial" w:hAnsi="Arial"/>
          <w:sz w:val="17"/>
          <w:szCs w:val="17"/>
          <w:color w:val="auto"/>
        </w:rPr>
      </w:pPr>
    </w:p>
    <w:p>
      <w:pPr>
        <w:ind w:left="1040" w:hanging="519"/>
        <w:spacing w:after="0"/>
        <w:tabs>
          <w:tab w:leader="none" w:pos="10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timing and magnitude of potential milestone payments under our product acquisition and in-license agreements;</w:t>
      </w:r>
    </w:p>
    <w:p>
      <w:pPr>
        <w:spacing w:after="0" w:line="117" w:lineRule="exact"/>
        <w:rPr>
          <w:rFonts w:ascii="Arial" w:cs="Arial" w:eastAsia="Arial" w:hAnsi="Arial"/>
          <w:sz w:val="18"/>
          <w:szCs w:val="18"/>
          <w:color w:val="auto"/>
        </w:rPr>
      </w:pPr>
    </w:p>
    <w:p>
      <w:pPr>
        <w:ind w:left="1040" w:right="100" w:hanging="519"/>
        <w:spacing w:after="0" w:line="277" w:lineRule="auto"/>
        <w:tabs>
          <w:tab w:leader="none" w:pos="10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cost of future commercialization activities, including activities required pursuant to our option to co-promote TV-45070, if exercised by us, and the cost of commercializing any future products we develop independently that are approved for sale;</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cost of manufacturing our future product candidates and products, if any;</w:t>
      </w:r>
    </w:p>
    <w:p>
      <w:pPr>
        <w:spacing w:after="0" w:line="117" w:lineRule="exact"/>
        <w:rPr>
          <w:rFonts w:ascii="Arial" w:cs="Arial" w:eastAsia="Arial" w:hAnsi="Arial"/>
          <w:sz w:val="18"/>
          <w:szCs w:val="18"/>
          <w:color w:val="auto"/>
        </w:rPr>
      </w:pPr>
    </w:p>
    <w:p>
      <w:pPr>
        <w:ind w:left="1040" w:right="280" w:hanging="519"/>
        <w:spacing w:after="0" w:line="277" w:lineRule="auto"/>
        <w:tabs>
          <w:tab w:leader="none" w:pos="10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ability to maintain existing collaborations and to establish new collaborations, licensing or other arrangements and the financial terms of such agreements;</w:t>
      </w:r>
    </w:p>
    <w:p>
      <w:pPr>
        <w:spacing w:after="0" w:line="62" w:lineRule="exact"/>
        <w:rPr>
          <w:rFonts w:ascii="Arial" w:cs="Arial" w:eastAsia="Arial" w:hAnsi="Arial"/>
          <w:sz w:val="18"/>
          <w:szCs w:val="18"/>
          <w:color w:val="auto"/>
        </w:rPr>
      </w:pPr>
    </w:p>
    <w:p>
      <w:pPr>
        <w:ind w:left="1040" w:right="100" w:hanging="519"/>
        <w:spacing w:after="0" w:line="277" w:lineRule="auto"/>
        <w:tabs>
          <w:tab w:leader="none" w:pos="10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costs involved in preparing, filing, prosecuting, maintaining, defending and enforcing patents, including litigation costs and the outcome of such litigation; and</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timing, receipt and amount of sales of, or royalties on, our future products, if any.</w:t>
      </w:r>
    </w:p>
    <w:p>
      <w:pPr>
        <w:spacing w:after="0" w:line="225" w:lineRule="exact"/>
        <w:rPr>
          <w:sz w:val="20"/>
          <w:szCs w:val="20"/>
          <w:color w:val="auto"/>
        </w:rPr>
      </w:pPr>
    </w:p>
    <w:p>
      <w:pPr>
        <w:ind w:right="160" w:firstLine="518"/>
        <w:spacing w:after="0" w:line="277" w:lineRule="auto"/>
        <w:rPr>
          <w:sz w:val="20"/>
          <w:szCs w:val="20"/>
          <w:color w:val="auto"/>
        </w:rPr>
      </w:pPr>
      <w:r>
        <w:rPr>
          <w:rFonts w:ascii="Arial" w:cs="Arial" w:eastAsia="Arial" w:hAnsi="Arial"/>
          <w:sz w:val="18"/>
          <w:szCs w:val="18"/>
          <w:color w:val="auto"/>
        </w:rPr>
        <w:t>We are unable to estimate the funds we will actually require to complete research and development of our product candidates or the funds required to commercialize any resulting product in the future.</w:t>
      </w:r>
    </w:p>
    <w:p>
      <w:pPr>
        <w:spacing w:after="0" w:line="170" w:lineRule="exact"/>
        <w:rPr>
          <w:sz w:val="20"/>
          <w:szCs w:val="20"/>
          <w:color w:val="auto"/>
        </w:rPr>
      </w:pPr>
    </w:p>
    <w:p>
      <w:pPr>
        <w:ind w:firstLine="518"/>
        <w:spacing w:after="0" w:line="264" w:lineRule="auto"/>
        <w:rPr>
          <w:sz w:val="20"/>
          <w:szCs w:val="20"/>
          <w:color w:val="auto"/>
        </w:rPr>
      </w:pPr>
      <w:r>
        <w:rPr>
          <w:rFonts w:ascii="Arial" w:cs="Arial" w:eastAsia="Arial" w:hAnsi="Arial"/>
          <w:sz w:val="18"/>
          <w:szCs w:val="18"/>
          <w:color w:val="auto"/>
        </w:rPr>
        <w:t>Based on our research and development plans and our timing expectations related to the progress of our programs, we expect that our existing cash and cash equivalents and marketable securities as of the date of this report and research funding that we expect to receive under our existing collaborations, will enable us to fund our operating expenses and capital expenditure requirements for at least the next 12 months.</w:t>
      </w:r>
    </w:p>
    <w:p>
      <w:pPr>
        <w:spacing w:after="0" w:line="181" w:lineRule="exact"/>
        <w:rPr>
          <w:sz w:val="20"/>
          <w:szCs w:val="20"/>
          <w:color w:val="auto"/>
        </w:rPr>
      </w:pPr>
    </w:p>
    <w:p>
      <w:pPr>
        <w:ind w:right="240" w:firstLine="518"/>
        <w:spacing w:after="0" w:line="279" w:lineRule="auto"/>
        <w:rPr>
          <w:sz w:val="20"/>
          <w:szCs w:val="20"/>
          <w:color w:val="auto"/>
        </w:rPr>
      </w:pPr>
      <w:r>
        <w:rPr>
          <w:rFonts w:ascii="Arial" w:cs="Arial" w:eastAsia="Arial" w:hAnsi="Arial"/>
          <w:sz w:val="17"/>
          <w:szCs w:val="17"/>
          <w:color w:val="auto"/>
        </w:rPr>
        <w:t>Our operating plan may change as a result of many factors currently unknown to us, and we may need to seek additional funds sooner than planned, through public or private equity or debt financings, government or other third-party funding, marketing and distribution arrangements and other collaborations, strategic alliances and licensing arrangements or a combination of these approaches. Raising funds in the future may present additional challenges and future financing may not be available in sufficient amounts or on terms acceptable to us, if at all.</w:t>
      </w:r>
    </w:p>
    <w:p>
      <w:pPr>
        <w:spacing w:after="0" w:line="280" w:lineRule="exact"/>
        <w:rPr>
          <w:sz w:val="20"/>
          <w:szCs w:val="20"/>
          <w:color w:val="auto"/>
        </w:rPr>
      </w:pPr>
    </w:p>
    <w:p>
      <w:pPr>
        <w:ind w:firstLine="259"/>
        <w:spacing w:after="0" w:line="277" w:lineRule="auto"/>
        <w:rPr>
          <w:sz w:val="20"/>
          <w:szCs w:val="20"/>
          <w:color w:val="auto"/>
        </w:rPr>
      </w:pPr>
      <w:r>
        <w:rPr>
          <w:rFonts w:ascii="Arial" w:cs="Arial" w:eastAsia="Arial" w:hAnsi="Arial"/>
          <w:sz w:val="18"/>
          <w:szCs w:val="18"/>
          <w:b w:val="1"/>
          <w:bCs w:val="1"/>
          <w:i w:val="1"/>
          <w:iCs w:val="1"/>
          <w:color w:val="auto"/>
        </w:rPr>
        <w:t>Raising additional capital may cause dilution to our existing shareholders, restrict our operations or require us to relinquish rights to our technologies or product candidates.</w:t>
      </w:r>
    </w:p>
    <w:p>
      <w:pPr>
        <w:spacing w:after="0" w:line="62" w:lineRule="exact"/>
        <w:rPr>
          <w:sz w:val="20"/>
          <w:szCs w:val="20"/>
          <w:color w:val="auto"/>
        </w:rPr>
      </w:pPr>
    </w:p>
    <w:p>
      <w:pPr>
        <w:ind w:right="20" w:firstLine="518"/>
        <w:spacing w:after="0" w:line="269" w:lineRule="auto"/>
        <w:rPr>
          <w:sz w:val="20"/>
          <w:szCs w:val="20"/>
          <w:color w:val="auto"/>
        </w:rPr>
      </w:pPr>
      <w:r>
        <w:rPr>
          <w:rFonts w:ascii="Arial" w:cs="Arial" w:eastAsia="Arial" w:hAnsi="Arial"/>
          <w:sz w:val="17"/>
          <w:szCs w:val="17"/>
          <w:color w:val="auto"/>
        </w:rPr>
        <w:t>The terms of any financing arrangements we enter into may adversely affect the holdings or the rights of our shareholders and the issuance of additional securities, whether equity or debt, by us, or the possibility of such issuance, may cause the market price of our common shares to decline. The sale of additional equity or convertible securities would dilute all of our shareholders. For example, in September 2016, we sold 3,450,000 of our common shares at a price to the public of $7.50 per common share pursuant to our existing shelf registration statement on Form S-3 and corresponding Canadian base shelf prospectus. The incurrence of indebtedness would result in increased fixed payment obligations and, potentially, the imposition of restrictive covenants. Those covenants may include limitations on our ability to incur additional debt, limitations on our ability to acquire, sell or license intellectual property rights and other operating restrictions that could adversely impact our ability to conduct our business. We could also be required to seek funds through arrangements with collaborators or otherwise at an earlier stage than otherwise would be desirable resulting in the loss of rights to some of our product candidates or other unfavorable terms, any of which may have a material adverse effect on our business, operating results and prospects. In addition, any additional fundraising efforts may divert our management from their day-to-day activities, which may adversely affect our ability to develop and commercialize our product candidates.</w:t>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55" w:right="239" w:bottom="1440" w:gutter="0" w:footer="0" w:header="0"/>
        </w:sectPr>
      </w:pPr>
    </w:p>
    <w:bookmarkStart w:id="25" w:name="page26"/>
    <w:bookmarkEnd w:id="25"/>
    <w:p>
      <w:pPr>
        <w:ind w:left="260"/>
        <w:spacing w:after="0"/>
        <w:rPr>
          <w:sz w:val="20"/>
          <w:szCs w:val="20"/>
          <w:color w:val="auto"/>
        </w:rPr>
      </w:pPr>
      <w:r>
        <w:rPr>
          <w:rFonts w:ascii="Arial" w:cs="Arial" w:eastAsia="Arial" w:hAnsi="Arial"/>
          <w:sz w:val="18"/>
          <w:szCs w:val="18"/>
          <w:b w:val="1"/>
          <w:bCs w:val="1"/>
          <w:i w:val="1"/>
          <w:iCs w:val="1"/>
          <w:color w:val="auto"/>
        </w:rPr>
        <w:t>Unstable market and economic conditions may have serious adverse consequences on our business and financial condition.</w:t>
      </w:r>
    </w:p>
    <w:p>
      <w:pPr>
        <w:spacing w:after="0" w:line="117" w:lineRule="exact"/>
        <w:rPr>
          <w:sz w:val="20"/>
          <w:szCs w:val="20"/>
          <w:color w:val="auto"/>
        </w:rPr>
      </w:pPr>
    </w:p>
    <w:p>
      <w:pPr>
        <w:ind w:right="60" w:firstLine="518"/>
        <w:spacing w:after="0" w:line="270" w:lineRule="auto"/>
        <w:rPr>
          <w:sz w:val="20"/>
          <w:szCs w:val="20"/>
          <w:color w:val="auto"/>
        </w:rPr>
      </w:pPr>
      <w:r>
        <w:rPr>
          <w:rFonts w:ascii="Arial" w:cs="Arial" w:eastAsia="Arial" w:hAnsi="Arial"/>
          <w:sz w:val="17"/>
          <w:szCs w:val="17"/>
          <w:color w:val="auto"/>
        </w:rPr>
        <w:t>Global credit and financial markets experienced extreme disruptions at various points over the last decade, characterized by diminished liquidity and credit availability, declines in consumer confidence, declines in economic growth, increases in unemployment rates, and uncertainty about economic stability. If another such disruption in credit and financial markets and deterioration of confidence in economic conditions occurs, our business may be adversely affected. If the equity and credit markets were to deteriorate significantly in the future, it may make any necessary debt or equity financing more difficult to complete, more costly, and more dilutive. Failure to secure any necessary financing in a timely manner and on favorable terms could have a material adverse effect on our growth strategy, financial performance and the market price of our common shares could require us to delay or abandon development or commercialization plans. In addition, there is a risk that one or more of our current collaborators, service providers, manufacturers and other partners would not survive or be able to meet their commitments to us under such circumstances, which could directly affect our ability to attain our operating goals on schedule and on budget.</w:t>
      </w:r>
    </w:p>
    <w:p>
      <w:pPr>
        <w:spacing w:after="0" w:line="290"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We are subject to risks associated with currency fluctuations which could impact our results of operations.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7"/>
          <w:szCs w:val="17"/>
          <w:color w:val="auto"/>
        </w:rPr>
        <w:t>As of June 30, 2017, approximately 41% of our cash and cash equivalents and marketable securities was denominated in Canadian dollars.</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Historically, the majority of our operating expenses have been denominated in Canadian dollars and the majority of our revenue has been denominated in U.S.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dollars.</w:t>
      </w:r>
    </w:p>
    <w:p>
      <w:pPr>
        <w:spacing w:after="0" w:line="211" w:lineRule="exact"/>
        <w:rPr>
          <w:sz w:val="20"/>
          <w:szCs w:val="20"/>
          <w:color w:val="auto"/>
        </w:rPr>
      </w:pPr>
    </w:p>
    <w:p>
      <w:pPr>
        <w:ind w:firstLine="518"/>
        <w:spacing w:after="0" w:line="254" w:lineRule="auto"/>
        <w:rPr>
          <w:sz w:val="20"/>
          <w:szCs w:val="20"/>
          <w:color w:val="auto"/>
        </w:rPr>
      </w:pPr>
      <w:r>
        <w:rPr>
          <w:rFonts w:ascii="Arial" w:cs="Arial" w:eastAsia="Arial" w:hAnsi="Arial"/>
          <w:sz w:val="18"/>
          <w:szCs w:val="18"/>
          <w:color w:val="auto"/>
        </w:rPr>
        <w:t>Prior to December 31, 2014, our functional currency was the Canadian dollar. On January 1, 2015, our functional currency changed from the Canadian dollar to the U.S. dollar based on our analysis of the changes in the primary economic environment in which we operate. As a result, changes in the exchange rate between the Canadian dollar and the U.S. dollar could materially impact our reported results of operations and distort period to period comparisons. In particular, to the extent that foreign currency-denominated (i.e., non-U.S. dollar) monetary assets do not equal the amount of our foreign currency denominated monetary liabilities, foreign currency gains or losses could arise and materially impact our financial statements. As a result of such foreign currency fluctuations, it could be more difficult to detect underlying trends in our business and results of operations. In addition, to the extent that fluctuations in currency exchange rates cause our results of operations to differ from our expectations or the expectations of our investors, the market price of our common shares could be adversely affected.</w:t>
      </w:r>
    </w:p>
    <w:p>
      <w:pPr>
        <w:spacing w:after="0" w:line="192" w:lineRule="exact"/>
        <w:rPr>
          <w:sz w:val="20"/>
          <w:szCs w:val="20"/>
          <w:color w:val="auto"/>
        </w:rPr>
      </w:pPr>
    </w:p>
    <w:p>
      <w:pPr>
        <w:ind w:right="20" w:firstLine="518"/>
        <w:spacing w:after="0" w:line="257" w:lineRule="auto"/>
        <w:rPr>
          <w:sz w:val="20"/>
          <w:szCs w:val="20"/>
          <w:color w:val="auto"/>
        </w:rPr>
      </w:pPr>
      <w:r>
        <w:rPr>
          <w:rFonts w:ascii="Arial" w:cs="Arial" w:eastAsia="Arial" w:hAnsi="Arial"/>
          <w:sz w:val="18"/>
          <w:szCs w:val="18"/>
          <w:color w:val="auto"/>
        </w:rPr>
        <w:t>From time to time, we may engage in exchange rate hedging activities in an effort to mitigate the impact of exchange rate fluctuations. For example, we aim to maintain a natural currency hedge against fluctuations in the U.S./Canadian foreign exchange rate by matching the amount of U.S. dollar and Canadian dollar investments to the expected amount of future U.S. dollar and Canadian dollar obligations, respectively. Any hedging technique we implement may fail to be effective. If our hedging activities are not effective, changes in currency exchange rates may have a more significant impact on the market price of our common shares.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w:t>
      </w:r>
    </w:p>
    <w:p>
      <w:pPr>
        <w:spacing w:after="0" w:line="121"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We, or our collaborators, may fail to successfully develop our product candidates.</w:t>
      </w:r>
    </w:p>
    <w:p>
      <w:pPr>
        <w:spacing w:after="0" w:line="117" w:lineRule="exact"/>
        <w:rPr>
          <w:sz w:val="20"/>
          <w:szCs w:val="20"/>
          <w:color w:val="auto"/>
        </w:rPr>
      </w:pPr>
    </w:p>
    <w:p>
      <w:pPr>
        <w:ind w:right="40" w:firstLine="518"/>
        <w:spacing w:after="0" w:line="253" w:lineRule="auto"/>
        <w:rPr>
          <w:sz w:val="20"/>
          <w:szCs w:val="20"/>
          <w:color w:val="auto"/>
        </w:rPr>
      </w:pPr>
      <w:r>
        <w:rPr>
          <w:rFonts w:ascii="Arial" w:cs="Arial" w:eastAsia="Arial" w:hAnsi="Arial"/>
          <w:sz w:val="18"/>
          <w:szCs w:val="18"/>
          <w:color w:val="auto"/>
        </w:rPr>
        <w:t>Our clinical product candidates, which include TV-45070 and GDC-0310, along with our preclinical compounds, which include XEN1101 and XEN901, are in varying stages of development and will require substantial clinical development, testing and regulatory approval prior to commercialization. It may be several more years before these product candidates or any of our other product candidates receive marketing approval, if ever. If any of our product candidates fail to become approved products, our business, growth prospects, operating results and financial condition may be adversely affected and a decline in the market price of our common shares could result. For example, in June 2017, we, along with Teva Pharmaceutical Industries Ltd., or Teva, announced topline results from a Phase 2b study designed to evaluate the efficacy and safety of TV-45070 for the treatment of post-herpetic neuralgia, or PHN. Results from this trial showed that TV-45070 did not meet the primary endpoint of a statistically significant change in pain from baseline to week four as assessed by the numeric rating scale. Secondary endpoints were also not met. We and Teva plan to further analyze the data from this study to determine the next steps for TV-45070.</w:t>
      </w:r>
    </w:p>
    <w:p>
      <w:pPr>
        <w:spacing w:after="0" w:line="305" w:lineRule="exact"/>
        <w:rPr>
          <w:sz w:val="20"/>
          <w:szCs w:val="20"/>
          <w:color w:val="auto"/>
        </w:rPr>
      </w:pPr>
    </w:p>
    <w:p>
      <w:pPr>
        <w:ind w:right="180" w:firstLine="259"/>
        <w:spacing w:after="0" w:line="277" w:lineRule="auto"/>
        <w:rPr>
          <w:sz w:val="20"/>
          <w:szCs w:val="20"/>
          <w:color w:val="auto"/>
        </w:rPr>
      </w:pPr>
      <w:r>
        <w:rPr>
          <w:rFonts w:ascii="Arial" w:cs="Arial" w:eastAsia="Arial" w:hAnsi="Arial"/>
          <w:sz w:val="18"/>
          <w:szCs w:val="18"/>
          <w:b w:val="1"/>
          <w:bCs w:val="1"/>
          <w:i w:val="1"/>
          <w:iCs w:val="1"/>
          <w:color w:val="auto"/>
        </w:rPr>
        <w:t>We and our collaborators face substantial competition in the markets for our product candidates, which may result in others discovering, developing or commercializing products before us or doing so more successfully than we or our collaborators do.</w:t>
      </w:r>
    </w:p>
    <w:p>
      <w:pPr>
        <w:spacing w:after="0" w:line="62" w:lineRule="exact"/>
        <w:rPr>
          <w:sz w:val="20"/>
          <w:szCs w:val="20"/>
          <w:color w:val="auto"/>
        </w:rPr>
      </w:pPr>
    </w:p>
    <w:p>
      <w:pPr>
        <w:ind w:right="180" w:firstLine="518"/>
        <w:spacing w:after="0" w:line="257" w:lineRule="auto"/>
        <w:rPr>
          <w:sz w:val="20"/>
          <w:szCs w:val="20"/>
          <w:color w:val="auto"/>
        </w:rPr>
      </w:pPr>
      <w:r>
        <w:rPr>
          <w:rFonts w:ascii="Arial" w:cs="Arial" w:eastAsia="Arial" w:hAnsi="Arial"/>
          <w:sz w:val="18"/>
          <w:szCs w:val="18"/>
          <w:color w:val="auto"/>
        </w:rPr>
        <w:t>The biotechnology and pharmaceutical industries are characterized by rapidly advancing technologies, intense competition and a strong emphasis on proprietary products. We face potential competition in target discovery and product development from many different approaches and sources, including major pharmaceutical, specialty pharmaceutical and biotechnology companies, academic institutions and governmental agencies and public and private research institutions. Any product candidates that we or our collaborators successfully develop and commercialize will compete with existing products and any new products that may become available in the future.</w:t>
      </w: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63" w:right="239" w:bottom="1440" w:gutter="0" w:footer="0" w:header="0"/>
        </w:sectPr>
      </w:pPr>
    </w:p>
    <w:bookmarkStart w:id="26" w:name="page27"/>
    <w:bookmarkEnd w:id="26"/>
    <w:p>
      <w:pPr>
        <w:ind w:right="40" w:firstLine="518"/>
        <w:spacing w:after="0" w:line="264" w:lineRule="auto"/>
        <w:rPr>
          <w:sz w:val="20"/>
          <w:szCs w:val="20"/>
          <w:color w:val="auto"/>
        </w:rPr>
      </w:pPr>
      <w:r>
        <w:rPr>
          <w:rFonts w:ascii="Arial" w:cs="Arial" w:eastAsia="Arial" w:hAnsi="Arial"/>
          <w:sz w:val="18"/>
          <w:szCs w:val="18"/>
          <w:color w:val="auto"/>
        </w:rPr>
        <w:t>The key competitive factors affecting the success of all of our product candidates, if approved, are likely to be their efficacy, safety, convenience and price; the effectiveness and safety of alternative products; the level of generic competition; and the availability of coverage and adequate reimbursement from government and other third-party payers.</w:t>
      </w:r>
    </w:p>
    <w:p>
      <w:pPr>
        <w:spacing w:after="0" w:line="181" w:lineRule="exact"/>
        <w:rPr>
          <w:sz w:val="20"/>
          <w:szCs w:val="20"/>
          <w:color w:val="auto"/>
        </w:rPr>
      </w:pPr>
    </w:p>
    <w:p>
      <w:pPr>
        <w:ind w:right="240" w:firstLine="518"/>
        <w:spacing w:after="0" w:line="277" w:lineRule="auto"/>
        <w:rPr>
          <w:sz w:val="20"/>
          <w:szCs w:val="20"/>
          <w:color w:val="auto"/>
        </w:rPr>
      </w:pPr>
      <w:r>
        <w:rPr>
          <w:rFonts w:ascii="Arial" w:cs="Arial" w:eastAsia="Arial" w:hAnsi="Arial"/>
          <w:sz w:val="18"/>
          <w:szCs w:val="18"/>
          <w:color w:val="auto"/>
        </w:rPr>
        <w:t>With respect to target discovery activities, competitors and other third parties, including academic and clinical researchers, may access rare families and identify novel targets for drug development before we do.</w:t>
      </w:r>
    </w:p>
    <w:p>
      <w:pPr>
        <w:spacing w:after="0" w:line="170" w:lineRule="exact"/>
        <w:rPr>
          <w:sz w:val="20"/>
          <w:szCs w:val="20"/>
          <w:color w:val="auto"/>
        </w:rPr>
      </w:pPr>
    </w:p>
    <w:p>
      <w:pPr>
        <w:ind w:right="120" w:firstLine="518"/>
        <w:spacing w:after="0" w:line="276" w:lineRule="auto"/>
        <w:rPr>
          <w:sz w:val="20"/>
          <w:szCs w:val="20"/>
          <w:color w:val="auto"/>
        </w:rPr>
      </w:pPr>
      <w:r>
        <w:rPr>
          <w:rFonts w:ascii="Arial" w:cs="Arial" w:eastAsia="Arial" w:hAnsi="Arial"/>
          <w:sz w:val="17"/>
          <w:szCs w:val="17"/>
          <w:color w:val="auto"/>
        </w:rPr>
        <w:t>Many of the companies against which we are competing or against which we may compete in the future have significantly greater financial resources and expertise in research and development, manufacturing, preclinical testing, conducting clinical trials, obtaining regulatory approvals and marketing approved products than we, or our collaborators, do. Mergers and acquisitions in the pharmaceutical and biotechnology industries may result in even more resources being concentrated among a smaller number of our competitors. Smaller or early stage companies may also prove to be significant competitors, particularly through collaboration arrangements with large and established companies.</w:t>
      </w:r>
    </w:p>
    <w:p>
      <w:pPr>
        <w:spacing w:after="0" w:line="173" w:lineRule="exact"/>
        <w:rPr>
          <w:sz w:val="20"/>
          <w:szCs w:val="20"/>
          <w:color w:val="auto"/>
        </w:rPr>
      </w:pPr>
    </w:p>
    <w:p>
      <w:pPr>
        <w:ind w:right="20" w:firstLine="518"/>
        <w:spacing w:after="0" w:line="257" w:lineRule="auto"/>
        <w:rPr>
          <w:sz w:val="20"/>
          <w:szCs w:val="20"/>
          <w:color w:val="auto"/>
        </w:rPr>
      </w:pPr>
      <w:r>
        <w:rPr>
          <w:rFonts w:ascii="Arial" w:cs="Arial" w:eastAsia="Arial" w:hAnsi="Arial"/>
          <w:sz w:val="18"/>
          <w:szCs w:val="18"/>
          <w:color w:val="auto"/>
        </w:rPr>
        <w:t>Our commercial opportunities could be reduced or eliminated if our competitors develop and commercialize products or therapies that are safer, more effective, have fewer or less severe side effects, are more convenient or are less expensive than any products that we may develop. Our competitors also may obtain FDA, EMA or other regulatory approval for their products more rapidly than we may obtain approval for ours, which could result in our competitors establishing a strong market position before we are able to enter the market. In addition, our ability to compete may be affected by decisions made by insurers or other third party payers.</w:t>
      </w:r>
    </w:p>
    <w:p>
      <w:pPr>
        <w:spacing w:after="0" w:line="188" w:lineRule="exact"/>
        <w:rPr>
          <w:sz w:val="20"/>
          <w:szCs w:val="20"/>
          <w:color w:val="auto"/>
        </w:rPr>
      </w:pPr>
    </w:p>
    <w:p>
      <w:pPr>
        <w:ind w:right="480" w:firstLine="518"/>
        <w:spacing w:after="0" w:line="277" w:lineRule="auto"/>
        <w:rPr>
          <w:sz w:val="20"/>
          <w:szCs w:val="20"/>
          <w:color w:val="auto"/>
        </w:rPr>
      </w:pPr>
      <w:r>
        <w:rPr>
          <w:rFonts w:ascii="Arial" w:cs="Arial" w:eastAsia="Arial" w:hAnsi="Arial"/>
          <w:sz w:val="18"/>
          <w:szCs w:val="18"/>
          <w:color w:val="auto"/>
        </w:rPr>
        <w:t>To the extent that we are unable to compete effectively against one or more of our competitors in these areas, our business will not grow and our financial condition, results of operations and the market price of our common shares may suffer.</w:t>
      </w:r>
    </w:p>
    <w:p>
      <w:pPr>
        <w:spacing w:after="0" w:line="170" w:lineRule="exact"/>
        <w:rPr>
          <w:sz w:val="20"/>
          <w:szCs w:val="20"/>
          <w:color w:val="auto"/>
        </w:rPr>
      </w:pPr>
    </w:p>
    <w:p>
      <w:pPr>
        <w:ind w:firstLine="518"/>
        <w:spacing w:after="0" w:line="291" w:lineRule="auto"/>
        <w:rPr>
          <w:sz w:val="20"/>
          <w:szCs w:val="20"/>
          <w:color w:val="auto"/>
        </w:rPr>
      </w:pPr>
      <w:r>
        <w:rPr>
          <w:rFonts w:ascii="Arial" w:cs="Arial" w:eastAsia="Arial" w:hAnsi="Arial"/>
          <w:sz w:val="16"/>
          <w:szCs w:val="16"/>
          <w:color w:val="auto"/>
        </w:rPr>
        <w:t>Drug discovery and development for various pain applications is intensely competitive. There are a large number of approved products for neuropathic pain, inflammatory pain and other pain indications. These approved products include capsaicin, celecoxib, lidocaine, narcotic analgesics, gabapentin, and pregabalin. We are also aware of development programs at several pharmaceutical and biotechnology companies that are developing Nav1.7 inhibitors or other sodium channel inhibitors for the treatment of pain, including Amgen Inc., AstraZeneca PLC, Biogen Inc., Dainippon Sumitomo Co., Ltd., Eli Lilly and Company, Merck &amp; Co., Inc., or Merck, NeuroQuest Inc., Vertex Pharmaceuticals Inc., Voyager Therapeutics, Inc. and Chromocell Corporation in collaboration with its partner Astellas Pharma Inc. Moreover, we are aware of various other product candidates in development that target other mechanisms of action to treat various pain indications, including calcium channel inhibitors, nerve growth factor inhibitors, and Nav1.8 inhibitors.</w:t>
      </w:r>
    </w:p>
    <w:p>
      <w:pPr>
        <w:spacing w:after="0" w:line="167" w:lineRule="exact"/>
        <w:rPr>
          <w:sz w:val="20"/>
          <w:szCs w:val="20"/>
          <w:color w:val="auto"/>
        </w:rPr>
      </w:pPr>
    </w:p>
    <w:p>
      <w:pPr>
        <w:ind w:right="120" w:firstLine="518"/>
        <w:spacing w:after="0" w:line="291" w:lineRule="auto"/>
        <w:rPr>
          <w:sz w:val="20"/>
          <w:szCs w:val="20"/>
          <w:color w:val="auto"/>
        </w:rPr>
      </w:pPr>
      <w:r>
        <w:rPr>
          <w:rFonts w:ascii="Arial" w:cs="Arial" w:eastAsia="Arial" w:hAnsi="Arial"/>
          <w:sz w:val="16"/>
          <w:szCs w:val="16"/>
          <w:color w:val="auto"/>
        </w:rPr>
        <w:t>If XEN901 or XEN1101 were approved for the treatment of epilepsy, we anticipate that they could compete with other anti-epileptic drugs, or AEDs, which typically can be categorized into four classes by AED mechanism: modulation of voltage-gated ion channels, enhancement of GABA-mediated inhibitory neurotransmission, reduction of glutamate-mediated excitatory neurotransmission, and SV2A modulation. Commonly used AEDs to treat focal seizures include carbamazepine, lamotrigine, valproate, oxcarbazepine, gabapentin and topiramate. There are currently no FDA-approved treatments indicated for the early infantile epileptic encephalopathies EIEE7 or EIEE13. We are not aware of other companies that are developing selective Nav1.6 inhibitors for the treatment of epilepsy. There may be other potassium channel modulators in development that could potentially compete with XEN1101, including products in development from SciFluor Lifesciences, Inc., Knopp Biosciences LLC, and Upsher-Smith Laboratories, Inc.</w:t>
      </w:r>
    </w:p>
    <w:p>
      <w:pPr>
        <w:spacing w:after="0" w:line="200" w:lineRule="exact"/>
        <w:rPr>
          <w:sz w:val="20"/>
          <w:szCs w:val="20"/>
          <w:color w:val="auto"/>
        </w:rPr>
      </w:pPr>
    </w:p>
    <w:p>
      <w:pPr>
        <w:spacing w:after="0" w:line="21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55" w:right="259" w:bottom="1440" w:gutter="0" w:footer="0" w:header="0"/>
        </w:sectPr>
      </w:pPr>
    </w:p>
    <w:bookmarkStart w:id="27" w:name="page28"/>
    <w:bookmarkEnd w:id="27"/>
    <w:p>
      <w:pPr>
        <w:ind w:right="240" w:firstLine="259"/>
        <w:spacing w:after="0" w:line="308" w:lineRule="auto"/>
        <w:rPr>
          <w:sz w:val="20"/>
          <w:szCs w:val="20"/>
          <w:color w:val="auto"/>
        </w:rPr>
      </w:pPr>
      <w:r>
        <w:rPr>
          <w:rFonts w:ascii="Arial" w:cs="Arial" w:eastAsia="Arial" w:hAnsi="Arial"/>
          <w:sz w:val="17"/>
          <w:szCs w:val="17"/>
          <w:b w:val="1"/>
          <w:bCs w:val="1"/>
          <w:i w:val="1"/>
          <w:iCs w:val="1"/>
          <w:color w:val="auto"/>
        </w:rPr>
        <w:t>We have no marketed proprietary products and have not yet advanced a product candidate beyond Phase 2 clinical trials, which makes it difficult to assess our ability to develop our future product candidates and commercialize any resulting products independently.</w:t>
      </w:r>
    </w:p>
    <w:p>
      <w:pPr>
        <w:spacing w:after="0" w:line="38" w:lineRule="exact"/>
        <w:rPr>
          <w:sz w:val="20"/>
          <w:szCs w:val="20"/>
          <w:color w:val="auto"/>
        </w:rPr>
      </w:pPr>
    </w:p>
    <w:p>
      <w:pPr>
        <w:ind w:right="20" w:firstLine="518"/>
        <w:spacing w:after="0" w:line="293" w:lineRule="auto"/>
        <w:rPr>
          <w:sz w:val="20"/>
          <w:szCs w:val="20"/>
          <w:color w:val="auto"/>
        </w:rPr>
      </w:pPr>
      <w:r>
        <w:rPr>
          <w:rFonts w:ascii="Arial" w:cs="Arial" w:eastAsia="Arial" w:hAnsi="Arial"/>
          <w:sz w:val="16"/>
          <w:szCs w:val="16"/>
          <w:color w:val="auto"/>
        </w:rPr>
        <w:t>We have no experience in Phase 3 and later stage clinical development, and related regulatory requirements or the commercialization of products. Teva is responsible for the clinical development of TV-45070; Genentech, a member of the Roche Group, is responsible for the clinical development of GDC-0310; and uniQure controls and has been responsible for the development and commercialization of Glybera. Accordingly, we have not yet demonstrated our ability to independently and repeatedly conduct clinical development after Phase 2, obtain regulatory approval, and commercialize therapeutic products. We will need to develop such abilities if we are to execute on our business strategy to selectively develop and independently commercialize product candidates for orphan and niche indications. To execute on our business plan for the development of independent programs, we will need to successfully:</w:t>
      </w:r>
    </w:p>
    <w:p>
      <w:pPr>
        <w:spacing w:after="0" w:line="57" w:lineRule="exact"/>
        <w:rPr>
          <w:sz w:val="20"/>
          <w:szCs w:val="20"/>
          <w:color w:val="auto"/>
        </w:rPr>
      </w:pPr>
    </w:p>
    <w:p>
      <w:pPr>
        <w:ind w:left="1040" w:hanging="519"/>
        <w:spacing w:after="0"/>
        <w:tabs>
          <w:tab w:leader="none" w:pos="10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execute our clinical development plans for later-stage product candidates;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obtain required regulatory approvals in each jurisdiction in which we will seek to commercialize products;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build and maintain appropriate sales, distribution and marketing capabilities;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gain market acceptance for our future products, if any;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manage our spending as costs and expenses increase due to clinical trials, regulatory approvals and commercialization activities.</w:t>
      </w:r>
    </w:p>
    <w:p>
      <w:pPr>
        <w:spacing w:after="0" w:line="225" w:lineRule="exact"/>
        <w:rPr>
          <w:sz w:val="20"/>
          <w:szCs w:val="20"/>
          <w:color w:val="auto"/>
        </w:rPr>
      </w:pPr>
    </w:p>
    <w:p>
      <w:pPr>
        <w:ind w:right="360" w:firstLine="518"/>
        <w:spacing w:after="0" w:line="277" w:lineRule="auto"/>
        <w:rPr>
          <w:sz w:val="20"/>
          <w:szCs w:val="20"/>
          <w:color w:val="auto"/>
        </w:rPr>
      </w:pPr>
      <w:r>
        <w:rPr>
          <w:rFonts w:ascii="Arial" w:cs="Arial" w:eastAsia="Arial" w:hAnsi="Arial"/>
          <w:sz w:val="18"/>
          <w:szCs w:val="18"/>
          <w:color w:val="auto"/>
        </w:rPr>
        <w:t>If we are unsuccessful in accomplishing these objectives, we would not be able to develop and commercialize any future orphan and niche disease product candidates independently, and could fail to realize the potential advantages of doing so.</w:t>
      </w:r>
    </w:p>
    <w:p>
      <w:pPr>
        <w:spacing w:after="0" w:line="279" w:lineRule="exact"/>
        <w:rPr>
          <w:sz w:val="20"/>
          <w:szCs w:val="20"/>
          <w:color w:val="auto"/>
        </w:rPr>
      </w:pPr>
    </w:p>
    <w:p>
      <w:pPr>
        <w:ind w:right="60" w:firstLine="259"/>
        <w:spacing w:after="0" w:line="277" w:lineRule="auto"/>
        <w:rPr>
          <w:sz w:val="20"/>
          <w:szCs w:val="20"/>
          <w:color w:val="auto"/>
        </w:rPr>
      </w:pPr>
      <w:r>
        <w:rPr>
          <w:rFonts w:ascii="Arial" w:cs="Arial" w:eastAsia="Arial" w:hAnsi="Arial"/>
          <w:sz w:val="18"/>
          <w:szCs w:val="18"/>
          <w:b w:val="1"/>
          <w:bCs w:val="1"/>
          <w:i w:val="1"/>
          <w:iCs w:val="1"/>
          <w:color w:val="auto"/>
        </w:rPr>
        <w:t>If we are not successful in discovering, acquiring or in-licensing product candidates in addition to TV-45070, GDC-0310, XEN1101 and XEN901, our ability to expand our business and achieve our strategic objectives may be impaired.</w:t>
      </w:r>
    </w:p>
    <w:p>
      <w:pPr>
        <w:spacing w:after="0" w:line="62" w:lineRule="exact"/>
        <w:rPr>
          <w:sz w:val="20"/>
          <w:szCs w:val="20"/>
          <w:color w:val="auto"/>
        </w:rPr>
      </w:pPr>
    </w:p>
    <w:p>
      <w:pPr>
        <w:ind w:firstLine="518"/>
        <w:spacing w:after="0" w:line="272" w:lineRule="auto"/>
        <w:rPr>
          <w:sz w:val="20"/>
          <w:szCs w:val="20"/>
          <w:color w:val="auto"/>
        </w:rPr>
      </w:pPr>
      <w:r>
        <w:rPr>
          <w:rFonts w:ascii="Arial" w:cs="Arial" w:eastAsia="Arial" w:hAnsi="Arial"/>
          <w:sz w:val="17"/>
          <w:szCs w:val="17"/>
          <w:color w:val="auto"/>
        </w:rPr>
        <w:t>We use our discovery platform to identify validated drug targets and develop new product candidates. To date, our discovery platform has yielded one approved product, Glybera, and multiple development candidates, including TV-45070, GDC-0310 and XEN901. Use of our discovery platform requires substantial technical, financial and human resources, regardless of whether we identify any novel drug targets. Our discovery platform may initially show promise in identifying additional potential product candidates, yet fail to yield viable product candidates for clinical development or commercialization. Such failure may occur for many reasons, including the following: any product candidate may, on further study, be shown to have serious or unexpected side effects or other characteristics that indicate it is unlikely to be safe or otherwise does not meet applicable regulatory criteria; and any product candidate may not be capable of being produced in commercial quantities at an acceptable cost, or at all.</w:t>
      </w:r>
    </w:p>
    <w:p>
      <w:pPr>
        <w:spacing w:after="0" w:line="178" w:lineRule="exact"/>
        <w:rPr>
          <w:sz w:val="20"/>
          <w:szCs w:val="20"/>
          <w:color w:val="auto"/>
        </w:rPr>
      </w:pPr>
    </w:p>
    <w:p>
      <w:pPr>
        <w:jc w:val="both"/>
        <w:ind w:right="280" w:firstLine="518"/>
        <w:spacing w:after="0" w:line="286" w:lineRule="auto"/>
        <w:rPr>
          <w:sz w:val="20"/>
          <w:szCs w:val="20"/>
          <w:color w:val="auto"/>
        </w:rPr>
      </w:pPr>
      <w:r>
        <w:rPr>
          <w:rFonts w:ascii="Arial" w:cs="Arial" w:eastAsia="Arial" w:hAnsi="Arial"/>
          <w:sz w:val="17"/>
          <w:szCs w:val="17"/>
          <w:color w:val="auto"/>
        </w:rPr>
        <w:t>If we are unable to identify additional product candidates suitable for clinical development and commercialization either from our internal research efforts or though acquiring or in-licensing other product candidates or technologies, we may not be able to obtain product revenue in future periods, which likely would result in significant harm to our financial position and adversely impact the market price of our common shares.</w:t>
      </w:r>
    </w:p>
    <w:p>
      <w:pPr>
        <w:spacing w:after="0" w:line="274" w:lineRule="exact"/>
        <w:rPr>
          <w:sz w:val="20"/>
          <w:szCs w:val="20"/>
          <w:color w:val="auto"/>
        </w:rPr>
      </w:pPr>
    </w:p>
    <w:p>
      <w:pPr>
        <w:ind w:left="260"/>
        <w:spacing w:after="0"/>
        <w:rPr>
          <w:sz w:val="20"/>
          <w:szCs w:val="20"/>
          <w:color w:val="auto"/>
        </w:rPr>
      </w:pPr>
      <w:r>
        <w:rPr>
          <w:rFonts w:ascii="Arial" w:cs="Arial" w:eastAsia="Arial" w:hAnsi="Arial"/>
          <w:sz w:val="17"/>
          <w:szCs w:val="17"/>
          <w:b w:val="1"/>
          <w:bCs w:val="1"/>
          <w:i w:val="1"/>
          <w:iCs w:val="1"/>
          <w:color w:val="auto"/>
        </w:rPr>
        <w:t>Our approach to drug discovery is unproven, and we do not know whether we will be able to develop any products of commercial value.</w:t>
      </w:r>
    </w:p>
    <w:p>
      <w:pPr>
        <w:spacing w:after="0" w:line="129" w:lineRule="exact"/>
        <w:rPr>
          <w:sz w:val="20"/>
          <w:szCs w:val="20"/>
          <w:color w:val="auto"/>
        </w:rPr>
      </w:pPr>
    </w:p>
    <w:p>
      <w:pPr>
        <w:ind w:right="20" w:firstLine="518"/>
        <w:spacing w:after="0" w:line="277" w:lineRule="auto"/>
        <w:rPr>
          <w:sz w:val="20"/>
          <w:szCs w:val="20"/>
          <w:color w:val="auto"/>
        </w:rPr>
      </w:pPr>
      <w:r>
        <w:rPr>
          <w:rFonts w:ascii="Arial" w:cs="Arial" w:eastAsia="Arial" w:hAnsi="Arial"/>
          <w:sz w:val="18"/>
          <w:szCs w:val="18"/>
          <w:color w:val="auto"/>
        </w:rPr>
        <w:t>Our discovery platform may not reproducibly or cost-effectively result in the discovery of product candidates and development of commercially viable products that safely and effectively treat human disease.</w:t>
      </w:r>
    </w:p>
    <w:p>
      <w:pPr>
        <w:spacing w:after="0" w:line="170" w:lineRule="exact"/>
        <w:rPr>
          <w:sz w:val="20"/>
          <w:szCs w:val="20"/>
          <w:color w:val="auto"/>
        </w:rPr>
      </w:pPr>
    </w:p>
    <w:p>
      <w:pPr>
        <w:ind w:right="140" w:firstLine="518"/>
        <w:spacing w:after="0" w:line="264" w:lineRule="auto"/>
        <w:rPr>
          <w:sz w:val="20"/>
          <w:szCs w:val="20"/>
          <w:color w:val="auto"/>
        </w:rPr>
      </w:pPr>
      <w:r>
        <w:rPr>
          <w:rFonts w:ascii="Arial" w:cs="Arial" w:eastAsia="Arial" w:hAnsi="Arial"/>
          <w:sz w:val="18"/>
          <w:szCs w:val="18"/>
          <w:color w:val="auto"/>
        </w:rPr>
        <w:t>There are various challenges in utilizing our discovery platform to successfully identify novel drug targets, including locating families suffering from rare disorders and severe phenotypes, entering into agreements with foreign collaborators, complying with various domestic and foreign privacy laws, accessing required technologies in a timely manner and transporting DNA across national borders.</w:t>
      </w:r>
    </w:p>
    <w:p>
      <w:pPr>
        <w:spacing w:after="0" w:line="181" w:lineRule="exact"/>
        <w:rPr>
          <w:sz w:val="20"/>
          <w:szCs w:val="20"/>
          <w:color w:val="auto"/>
        </w:rPr>
      </w:pPr>
    </w:p>
    <w:p>
      <w:pPr>
        <w:ind w:right="240" w:firstLine="518"/>
        <w:spacing w:after="0" w:line="259" w:lineRule="auto"/>
        <w:rPr>
          <w:sz w:val="20"/>
          <w:szCs w:val="20"/>
          <w:color w:val="auto"/>
        </w:rPr>
      </w:pPr>
      <w:r>
        <w:rPr>
          <w:rFonts w:ascii="Arial" w:cs="Arial" w:eastAsia="Arial" w:hAnsi="Arial"/>
          <w:sz w:val="18"/>
          <w:szCs w:val="18"/>
          <w:color w:val="auto"/>
        </w:rPr>
        <w:t>To date, only Glybera has been both developed using our discovery platform and approved for commercial sale. If the use of our discovery platform fails to identify novel targets for drug discovery, or such targets prove to be unsuitable for treating human disease, or we are unable to develop product candidates with specificity and selectivity for such targets, we will fail to develop viable products. If we fail to develop and commercialize viable products, we will not achieve commercial success.</w:t>
      </w: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63" w:right="239" w:bottom="1440" w:gutter="0" w:footer="0" w:header="0"/>
        </w:sectPr>
      </w:pPr>
    </w:p>
    <w:bookmarkStart w:id="28" w:name="page29"/>
    <w:bookmarkEnd w:id="28"/>
    <w:p>
      <w:pPr>
        <w:ind w:right="160" w:firstLine="259"/>
        <w:spacing w:after="0" w:line="308" w:lineRule="auto"/>
        <w:rPr>
          <w:sz w:val="20"/>
          <w:szCs w:val="20"/>
          <w:color w:val="auto"/>
        </w:rPr>
      </w:pPr>
      <w:r>
        <w:rPr>
          <w:rFonts w:ascii="Arial" w:cs="Arial" w:eastAsia="Arial" w:hAnsi="Arial"/>
          <w:sz w:val="17"/>
          <w:szCs w:val="17"/>
          <w:b w:val="1"/>
          <w:bCs w:val="1"/>
          <w:i w:val="1"/>
          <w:iCs w:val="1"/>
          <w:color w:val="auto"/>
        </w:rPr>
        <w:t>If we fail to attract and retain senior management and key personnel, we may be unable to successfully develop our product candidates, perform our obligations under our collaboration agreements, conduct our clinical trials and commercialize our product candidates.</w:t>
      </w:r>
    </w:p>
    <w:p>
      <w:pPr>
        <w:spacing w:after="0" w:line="38" w:lineRule="exact"/>
        <w:rPr>
          <w:sz w:val="20"/>
          <w:szCs w:val="20"/>
          <w:color w:val="auto"/>
        </w:rPr>
      </w:pPr>
    </w:p>
    <w:p>
      <w:pPr>
        <w:ind w:left="520"/>
        <w:spacing w:after="0"/>
        <w:rPr>
          <w:sz w:val="20"/>
          <w:szCs w:val="20"/>
          <w:color w:val="auto"/>
        </w:rPr>
      </w:pPr>
      <w:r>
        <w:rPr>
          <w:rFonts w:ascii="Arial" w:cs="Arial" w:eastAsia="Arial" w:hAnsi="Arial"/>
          <w:sz w:val="17"/>
          <w:szCs w:val="17"/>
          <w:color w:val="auto"/>
        </w:rPr>
        <w:t>Our success depends in part on our continued ability to attract, retain and motivate highly qualified management, clinical and scientific personnel.</w:t>
      </w:r>
    </w:p>
    <w:p>
      <w:pPr>
        <w:spacing w:after="0" w:line="237" w:lineRule="exact"/>
        <w:rPr>
          <w:sz w:val="20"/>
          <w:szCs w:val="20"/>
          <w:color w:val="auto"/>
        </w:rPr>
      </w:pPr>
    </w:p>
    <w:p>
      <w:pPr>
        <w:ind w:right="40" w:firstLine="518"/>
        <w:spacing w:after="0" w:line="302" w:lineRule="auto"/>
        <w:rPr>
          <w:sz w:val="20"/>
          <w:szCs w:val="20"/>
          <w:color w:val="auto"/>
        </w:rPr>
      </w:pPr>
      <w:r>
        <w:rPr>
          <w:rFonts w:ascii="Arial" w:cs="Arial" w:eastAsia="Arial" w:hAnsi="Arial"/>
          <w:sz w:val="16"/>
          <w:szCs w:val="16"/>
          <w:color w:val="auto"/>
        </w:rPr>
        <w:t>We could experience difficulties attracting and retaining qualified employees as competition for qualified personnel in the biotechnology and pharmaceutical field is intense. We are highly dependent upon our senior management, particularly Dr. Pimstone, our Chief Executive Officer and President, and Mr. Ian Mortimer, our Chief Financial Officer and Chief Operating Officer, as well as other employees. The loss of services of any of these individuals or one or more of our other members of senior management could materially delay or even prevent the successful development of our product candidates.</w:t>
      </w:r>
    </w:p>
    <w:p>
      <w:pPr>
        <w:spacing w:after="0" w:line="154" w:lineRule="exact"/>
        <w:rPr>
          <w:sz w:val="20"/>
          <w:szCs w:val="20"/>
          <w:color w:val="auto"/>
        </w:rPr>
      </w:pPr>
    </w:p>
    <w:p>
      <w:pPr>
        <w:ind w:right="80" w:firstLine="518"/>
        <w:spacing w:after="0" w:line="279" w:lineRule="auto"/>
        <w:rPr>
          <w:sz w:val="20"/>
          <w:szCs w:val="20"/>
          <w:color w:val="auto"/>
        </w:rPr>
      </w:pPr>
      <w:r>
        <w:rPr>
          <w:rFonts w:ascii="Arial" w:cs="Arial" w:eastAsia="Arial" w:hAnsi="Arial"/>
          <w:sz w:val="17"/>
          <w:szCs w:val="17"/>
          <w:color w:val="auto"/>
        </w:rPr>
        <w:t>In addition, we will need to hire additional personnel as we expand our clinical development activities and develop commercial capabilities, including a sales infrastructure to support our independent commercialization efforts. We may not be able to attract and retain personnel on acceptable terms given the competition among numerous pharmaceutical and biotechnology companies for individuals with similar skill sets. The inability to recruit or loss of the services of any executive or key employee may impede the progress of our research, development and commercialization objectives.</w:t>
      </w:r>
    </w:p>
    <w:p>
      <w:pPr>
        <w:spacing w:after="0" w:line="280" w:lineRule="exact"/>
        <w:rPr>
          <w:sz w:val="20"/>
          <w:szCs w:val="20"/>
          <w:color w:val="auto"/>
        </w:rPr>
      </w:pPr>
    </w:p>
    <w:p>
      <w:pPr>
        <w:ind w:right="140" w:firstLine="259"/>
        <w:spacing w:after="0" w:line="277" w:lineRule="auto"/>
        <w:rPr>
          <w:sz w:val="20"/>
          <w:szCs w:val="20"/>
          <w:color w:val="auto"/>
        </w:rPr>
      </w:pPr>
      <w:r>
        <w:rPr>
          <w:rFonts w:ascii="Arial" w:cs="Arial" w:eastAsia="Arial" w:hAnsi="Arial"/>
          <w:sz w:val="18"/>
          <w:szCs w:val="18"/>
          <w:b w:val="1"/>
          <w:bCs w:val="1"/>
          <w:i w:val="1"/>
          <w:iCs w:val="1"/>
          <w:color w:val="auto"/>
        </w:rPr>
        <w:t>Our employees, collaborators and other personnel may engage in misconduct or other improper activities, including non-compliance with regulatory standards and requirements and insider trading.</w:t>
      </w:r>
    </w:p>
    <w:p>
      <w:pPr>
        <w:spacing w:after="0" w:line="62" w:lineRule="exact"/>
        <w:rPr>
          <w:sz w:val="20"/>
          <w:szCs w:val="20"/>
          <w:color w:val="auto"/>
        </w:rPr>
      </w:pPr>
    </w:p>
    <w:p>
      <w:pPr>
        <w:ind w:firstLine="518"/>
        <w:spacing w:after="0" w:line="270" w:lineRule="auto"/>
        <w:rPr>
          <w:sz w:val="20"/>
          <w:szCs w:val="20"/>
          <w:color w:val="auto"/>
        </w:rPr>
      </w:pPr>
      <w:r>
        <w:rPr>
          <w:rFonts w:ascii="Arial" w:cs="Arial" w:eastAsia="Arial" w:hAnsi="Arial"/>
          <w:sz w:val="17"/>
          <w:szCs w:val="17"/>
          <w:color w:val="auto"/>
        </w:rPr>
        <w:t>We are exposed to the risk of fraud or other misconduct by our employees, collaborators, vendors, principal investigators, consultants and commercial partners. Misconduct by these parties could include intentional failures to comply with the regulations of the FDA, EMA and other non-U.S. regulators, provide accurate information to the FDA, EMA and other non-U.S. regulators, comply with data privacy and security and healthcare fraud and abuse laws and regulations in the U.S. and abroad, report financial information or data accurately or disclose unauthorized activities to us. In particular, sales, marketing and business arrangements in the healthcare industry are subject to extensive laws and regulations intended to prevent fraud, misconduct, kickbacks, self-dealing and other abusive practices. Additionally, laws regarding data privacy and security, including the federal Health Insurance Portability and Accountability Act of 1996, or HIPAA, as amended by the Health Information Technology for Economic and Clinical Health Act of 2009, or HITECH, as well as comparable laws in non-U.S. jurisdictions, may impose obligations with respect to safeguarding the privacy, use, security and transmission of individually identifiable health information such as genetic material or information we obtain through our direct-to-patient web-based recruitment approach for identifying patients with rare or extreme phenotypes.</w:t>
      </w:r>
    </w:p>
    <w:p>
      <w:pPr>
        <w:spacing w:after="0" w:line="178" w:lineRule="exact"/>
        <w:rPr>
          <w:sz w:val="20"/>
          <w:szCs w:val="20"/>
          <w:color w:val="auto"/>
        </w:rPr>
      </w:pPr>
    </w:p>
    <w:p>
      <w:pPr>
        <w:ind w:right="60" w:firstLine="518"/>
        <w:spacing w:after="0" w:line="291" w:lineRule="auto"/>
        <w:rPr>
          <w:sz w:val="20"/>
          <w:szCs w:val="20"/>
          <w:color w:val="auto"/>
        </w:rPr>
      </w:pPr>
      <w:r>
        <w:rPr>
          <w:rFonts w:ascii="Arial" w:cs="Arial" w:eastAsia="Arial" w:hAnsi="Arial"/>
          <w:sz w:val="16"/>
          <w:szCs w:val="16"/>
          <w:color w:val="auto"/>
        </w:rPr>
        <w:t>Various laws and regulations may restrict or prohibit a wide range of pricing, discounting, marketing and promotion, sales commission, customer incentive programs and other business arrangements. Any misconduct could also involve the improper use of information obtained in the course of clinical studies, which could result in regulatory sanctions and cause serious harm to our reputation. We have adopted a code of conduct applicable to all of our employees, but it is not always possible to identify and deter employee misconduct, and the precautions we take to detect and prevent this activity may not be effective in controlling unknown or unmanaged risks or losses or in protecting us from governmental investigations or other actions or lawsuits stemming from a failure to comply with these laws or regulations. If any such actions are instituted against us, and we are not successful in defending ourselves or asserting our rights, those actions could have a significant impact on our business, including the imposition of significant fines or other sanctions.</w:t>
      </w:r>
    </w:p>
    <w:p>
      <w:pPr>
        <w:spacing w:after="0" w:line="275"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We may encounter difficulties in managing our growth, including headcount, and expanding our operations successfully.</w:t>
      </w:r>
    </w:p>
    <w:p>
      <w:pPr>
        <w:spacing w:after="0" w:line="117" w:lineRule="exact"/>
        <w:rPr>
          <w:sz w:val="20"/>
          <w:szCs w:val="20"/>
          <w:color w:val="auto"/>
        </w:rPr>
      </w:pPr>
    </w:p>
    <w:p>
      <w:pPr>
        <w:ind w:right="120" w:firstLine="518"/>
        <w:spacing w:after="0" w:line="279" w:lineRule="auto"/>
        <w:rPr>
          <w:sz w:val="20"/>
          <w:szCs w:val="20"/>
          <w:color w:val="auto"/>
        </w:rPr>
      </w:pPr>
      <w:r>
        <w:rPr>
          <w:rFonts w:ascii="Arial" w:cs="Arial" w:eastAsia="Arial" w:hAnsi="Arial"/>
          <w:sz w:val="17"/>
          <w:szCs w:val="17"/>
          <w:color w:val="auto"/>
        </w:rPr>
        <w:t>Our business strategy involves continued development and, where development is successful, commercialization of select product candidates for orphan and niche indications independently. In order to execute on this strategy, we will need to build out a regulatory, sales, manufacturing, distribution and marketing infrastructure and expand our development capabilities or contract with third parties to provide these capabilities and infrastructure for us. To achieve this, we will need to identify, hire and integrate personnel who have not worked together as a group previously.</w:t>
      </w:r>
    </w:p>
    <w:p>
      <w:pPr>
        <w:spacing w:after="0" w:line="171" w:lineRule="exact"/>
        <w:rPr>
          <w:sz w:val="20"/>
          <w:szCs w:val="20"/>
          <w:color w:val="auto"/>
        </w:rPr>
      </w:pPr>
    </w:p>
    <w:p>
      <w:pPr>
        <w:ind w:right="20" w:firstLine="518"/>
        <w:spacing w:after="0" w:line="277" w:lineRule="auto"/>
        <w:rPr>
          <w:sz w:val="20"/>
          <w:szCs w:val="20"/>
          <w:color w:val="auto"/>
        </w:rPr>
      </w:pPr>
      <w:r>
        <w:rPr>
          <w:rFonts w:ascii="Arial" w:cs="Arial" w:eastAsia="Arial" w:hAnsi="Arial"/>
          <w:sz w:val="18"/>
          <w:szCs w:val="18"/>
          <w:color w:val="auto"/>
        </w:rPr>
        <w:t>As our operations expand, we expect that we will need to manage additional relationships with various strategic collaborators, suppliers and other third parties.</w:t>
      </w:r>
    </w:p>
    <w:p>
      <w:pPr>
        <w:spacing w:after="0" w:line="170" w:lineRule="exact"/>
        <w:rPr>
          <w:sz w:val="20"/>
          <w:szCs w:val="20"/>
          <w:color w:val="auto"/>
        </w:rPr>
      </w:pPr>
    </w:p>
    <w:p>
      <w:pPr>
        <w:ind w:right="100" w:firstLine="518"/>
        <w:spacing w:after="0" w:line="259" w:lineRule="auto"/>
        <w:rPr>
          <w:sz w:val="20"/>
          <w:szCs w:val="20"/>
          <w:color w:val="auto"/>
        </w:rPr>
      </w:pPr>
      <w:r>
        <w:rPr>
          <w:rFonts w:ascii="Arial" w:cs="Arial" w:eastAsia="Arial" w:hAnsi="Arial"/>
          <w:sz w:val="18"/>
          <w:szCs w:val="18"/>
          <w:color w:val="auto"/>
        </w:rPr>
        <w:t>Drs. Simon Pimstone and Y. Paul Goldberg each devote a small amount of their time to clinical work outside of their duties at our company, conducting, generally, two to three outpatient clinics per month on average. Future growth will impose significant added responsibilities on members of management, and our management may need to divert a disproportionate amount of its attention away from our day-to-day activities and devote a substantial amount of time to managing these growth activities.</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63" w:right="239" w:bottom="1440" w:gutter="0" w:footer="0" w:header="0"/>
        </w:sectPr>
      </w:pPr>
    </w:p>
    <w:bookmarkStart w:id="29" w:name="page30"/>
    <w:bookmarkEnd w:id="29"/>
    <w:p>
      <w:pPr>
        <w:ind w:right="160" w:firstLine="518"/>
        <w:spacing w:after="0" w:line="264" w:lineRule="auto"/>
        <w:rPr>
          <w:sz w:val="20"/>
          <w:szCs w:val="20"/>
          <w:color w:val="auto"/>
        </w:rPr>
      </w:pPr>
      <w:r>
        <w:rPr>
          <w:rFonts w:ascii="Arial" w:cs="Arial" w:eastAsia="Arial" w:hAnsi="Arial"/>
          <w:sz w:val="18"/>
          <w:szCs w:val="18"/>
          <w:color w:val="auto"/>
        </w:rPr>
        <w:t>If we are unable to effectively manage our growth, our expenses may increase more than expected, our ability to generate and grow revenue could be reduced, and we may not be able to implement our business strategy. Our future financial performance and our ability to commercialize product candidates and compete effectively will depend, in part, on our ability to effectively manage any future growth.</w:t>
      </w:r>
    </w:p>
    <w:p>
      <w:pPr>
        <w:spacing w:after="0" w:line="28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Our business and operations could suffer in the event of system failures.</w:t>
      </w:r>
    </w:p>
    <w:p>
      <w:pPr>
        <w:spacing w:after="0" w:line="117" w:lineRule="exact"/>
        <w:rPr>
          <w:sz w:val="20"/>
          <w:szCs w:val="20"/>
          <w:color w:val="auto"/>
        </w:rPr>
      </w:pPr>
    </w:p>
    <w:p>
      <w:pPr>
        <w:ind w:right="20" w:firstLine="518"/>
        <w:spacing w:after="0" w:line="255" w:lineRule="auto"/>
        <w:rPr>
          <w:sz w:val="20"/>
          <w:szCs w:val="20"/>
          <w:color w:val="auto"/>
        </w:rPr>
      </w:pPr>
      <w:r>
        <w:rPr>
          <w:rFonts w:ascii="Arial" w:cs="Arial" w:eastAsia="Arial" w:hAnsi="Arial"/>
          <w:sz w:val="18"/>
          <w:szCs w:val="18"/>
          <w:color w:val="auto"/>
        </w:rPr>
        <w:t>Computer system, network or telecommunications failures due to events such as damage from malware, unauthorized access, terrorism, war, or natural disasters could interrupt our internal or partner operations. For example, the loss of preclinical trial data or data from completed or ongoing clinical trials for our product candidates could result in delays in our regulatory filings and development efforts and significantly increase our costs. To the extent that any disruption or cybersecurity breach were to result in a loss of or damage to our data, or inappropriate disclosure of confidential or proprietary information, we could incur liability and the development of our product candidates could be delayed. While we have implemented security measures and, to date, have not detected a cybersecurity breach nor experienced a material system failure, our internal computer systems and those of our contractors and consultants remain potentially vulnerable to damage from these events.</w:t>
      </w:r>
    </w:p>
    <w:p>
      <w:pPr>
        <w:spacing w:after="0" w:line="297"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A variety of risks associated with international operations could materially adversely affect our business.</w:t>
      </w:r>
    </w:p>
    <w:p>
      <w:pPr>
        <w:spacing w:after="0" w:line="117" w:lineRule="exact"/>
        <w:rPr>
          <w:sz w:val="20"/>
          <w:szCs w:val="20"/>
          <w:color w:val="auto"/>
        </w:rPr>
      </w:pPr>
    </w:p>
    <w:p>
      <w:pPr>
        <w:ind w:right="140" w:firstLine="518"/>
        <w:spacing w:after="0" w:line="257" w:lineRule="auto"/>
        <w:rPr>
          <w:sz w:val="20"/>
          <w:szCs w:val="20"/>
          <w:color w:val="auto"/>
        </w:rPr>
      </w:pPr>
      <w:r>
        <w:rPr>
          <w:rFonts w:ascii="Arial" w:cs="Arial" w:eastAsia="Arial" w:hAnsi="Arial"/>
          <w:sz w:val="18"/>
          <w:szCs w:val="18"/>
          <w:color w:val="auto"/>
        </w:rPr>
        <w:t>Our collaborator for TV-45070, Teva, is based in Israel and a significant portion of the research and development activities under our collaboration with Teva are performed outside of North America. Glybera has been approved for commercial sale in the EU by the EMA, subject to uniQure’s compliance with certain post-approval reporting and monitoring obligations; however, uniQure announced in April 2017 that it will not pursue the renewal of marketing authorization in Europe when it is scheduled to expire in October 2017. If we continue to engage in significant cross-border activities, we will be subject to risks related to international operations, including:</w:t>
      </w:r>
    </w:p>
    <w:p>
      <w:pPr>
        <w:spacing w:after="0" w:line="80" w:lineRule="exact"/>
        <w:rPr>
          <w:sz w:val="20"/>
          <w:szCs w:val="20"/>
          <w:color w:val="auto"/>
        </w:rPr>
      </w:pPr>
    </w:p>
    <w:p>
      <w:pPr>
        <w:ind w:left="1040" w:hanging="519"/>
        <w:spacing w:after="0"/>
        <w:tabs>
          <w:tab w:leader="none" w:pos="10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different regulatory requirements for maintaining approval of drugs and biologics in foreign countries;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reduced protection for intellectual property rights in certain countries;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unexpected changes in tariffs, trade barriers and regulatory requirements;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economic weakness, including inflation, political instability or open conflict in particular foreign economies and markets;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compliance with tax, employment, immigration and labor laws for employees living or traveling abroad;</w:t>
      </w:r>
    </w:p>
    <w:p>
      <w:pPr>
        <w:spacing w:after="0" w:line="117" w:lineRule="exact"/>
        <w:rPr>
          <w:rFonts w:ascii="Arial" w:cs="Arial" w:eastAsia="Arial" w:hAnsi="Arial"/>
          <w:sz w:val="18"/>
          <w:szCs w:val="18"/>
          <w:color w:val="auto"/>
        </w:rPr>
      </w:pPr>
    </w:p>
    <w:p>
      <w:pPr>
        <w:ind w:left="1040" w:right="100" w:hanging="519"/>
        <w:spacing w:after="0" w:line="277" w:lineRule="auto"/>
        <w:tabs>
          <w:tab w:leader="none" w:pos="10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foreign currency fluctuations, which could result in increased operating expenses and reduced revenue, and other obligations of doing business in another country;</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workforce uncertainty in countries where labor unrest is more common than in North America;</w:t>
      </w:r>
    </w:p>
    <w:p>
      <w:pPr>
        <w:spacing w:after="0" w:line="117" w:lineRule="exact"/>
        <w:rPr>
          <w:rFonts w:ascii="Arial" w:cs="Arial" w:eastAsia="Arial" w:hAnsi="Arial"/>
          <w:sz w:val="18"/>
          <w:szCs w:val="18"/>
          <w:color w:val="auto"/>
        </w:rPr>
      </w:pPr>
    </w:p>
    <w:p>
      <w:pPr>
        <w:ind w:left="1040" w:right="80" w:hanging="519"/>
        <w:spacing w:after="0" w:line="264" w:lineRule="auto"/>
        <w:tabs>
          <w:tab w:leader="none" w:pos="10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likelihood of potential or actual violations of domestic and international anti-corruption laws, such as the U.S. Foreign Corrupt Practices Act and the U.K. Bribery Act, or of U.S. and international export control and sanctions regulations, which likelihood may increase with an increase of operations in foreign jurisdictions;</w:t>
      </w:r>
    </w:p>
    <w:p>
      <w:pPr>
        <w:spacing w:after="0" w:line="73" w:lineRule="exact"/>
        <w:rPr>
          <w:rFonts w:ascii="Arial" w:cs="Arial" w:eastAsia="Arial" w:hAnsi="Arial"/>
          <w:sz w:val="18"/>
          <w:szCs w:val="18"/>
          <w:color w:val="auto"/>
        </w:rPr>
      </w:pPr>
    </w:p>
    <w:p>
      <w:pPr>
        <w:ind w:left="1040" w:right="640" w:hanging="519"/>
        <w:spacing w:after="0" w:line="308" w:lineRule="auto"/>
        <w:tabs>
          <w:tab w:leader="none" w:pos="1040" w:val="left"/>
        </w:tabs>
        <w:numPr>
          <w:ilvl w:val="0"/>
          <w:numId w:val="25"/>
        </w:numPr>
        <w:rPr>
          <w:rFonts w:ascii="Arial" w:cs="Arial" w:eastAsia="Arial" w:hAnsi="Arial"/>
          <w:sz w:val="17"/>
          <w:szCs w:val="17"/>
          <w:color w:val="auto"/>
        </w:rPr>
      </w:pPr>
      <w:r>
        <w:rPr>
          <w:rFonts w:ascii="Arial" w:cs="Arial" w:eastAsia="Arial" w:hAnsi="Arial"/>
          <w:sz w:val="17"/>
          <w:szCs w:val="17"/>
          <w:color w:val="auto"/>
        </w:rPr>
        <w:t>tighter restrictions on privacy and the collection and use of data, including genetic material, may apply in jurisdictions outside of North America, where we find some of the families with individuals that exhibit the severe phenotypes that we study; and</w:t>
      </w:r>
    </w:p>
    <w:p>
      <w:pPr>
        <w:spacing w:after="0" w:line="38" w:lineRule="exact"/>
        <w:rPr>
          <w:rFonts w:ascii="Arial" w:cs="Arial" w:eastAsia="Arial" w:hAnsi="Arial"/>
          <w:sz w:val="17"/>
          <w:szCs w:val="17"/>
          <w:color w:val="auto"/>
        </w:rPr>
      </w:pPr>
    </w:p>
    <w:p>
      <w:pPr>
        <w:ind w:left="1040" w:right="320" w:hanging="519"/>
        <w:spacing w:after="0" w:line="277" w:lineRule="auto"/>
        <w:tabs>
          <w:tab w:leader="none" w:pos="10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business interruptions resulting from geopolitical actions, including war and terrorism, or natural disasters including earthquakes, typhoons, floods and fires.</w:t>
      </w:r>
    </w:p>
    <w:p>
      <w:pPr>
        <w:spacing w:after="0" w:line="17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If any of these issues were to occur, our business could be materially harmed.</w:t>
      </w:r>
    </w:p>
    <w:p>
      <w:pPr>
        <w:spacing w:after="0" w:line="333" w:lineRule="exact"/>
        <w:rPr>
          <w:sz w:val="20"/>
          <w:szCs w:val="20"/>
          <w:color w:val="auto"/>
        </w:rPr>
      </w:pPr>
    </w:p>
    <w:p>
      <w:pPr>
        <w:ind w:left="260"/>
        <w:spacing w:after="0"/>
        <w:rPr>
          <w:sz w:val="20"/>
          <w:szCs w:val="20"/>
          <w:color w:val="auto"/>
        </w:rPr>
      </w:pPr>
      <w:r>
        <w:rPr>
          <w:rFonts w:ascii="Arial" w:cs="Arial" w:eastAsia="Arial" w:hAnsi="Arial"/>
          <w:sz w:val="16"/>
          <w:szCs w:val="16"/>
          <w:b w:val="1"/>
          <w:bCs w:val="1"/>
          <w:i w:val="1"/>
          <w:iCs w:val="1"/>
          <w:color w:val="auto"/>
        </w:rPr>
        <w:t>U.S. Holders of our common shares may suffer adverse tax consequences if we are characterized as a passive foreign investment company.</w:t>
      </w:r>
    </w:p>
    <w:p>
      <w:pPr>
        <w:spacing w:after="0" w:line="140" w:lineRule="exact"/>
        <w:rPr>
          <w:sz w:val="20"/>
          <w:szCs w:val="20"/>
          <w:color w:val="auto"/>
        </w:rPr>
      </w:pPr>
    </w:p>
    <w:p>
      <w:pPr>
        <w:ind w:firstLine="518"/>
        <w:spacing w:after="0" w:line="255" w:lineRule="auto"/>
        <w:rPr>
          <w:sz w:val="20"/>
          <w:szCs w:val="20"/>
          <w:color w:val="auto"/>
        </w:rPr>
      </w:pPr>
      <w:r>
        <w:rPr>
          <w:rFonts w:ascii="Arial" w:cs="Arial" w:eastAsia="Arial" w:hAnsi="Arial"/>
          <w:sz w:val="18"/>
          <w:szCs w:val="18"/>
          <w:color w:val="auto"/>
        </w:rPr>
        <w:t>Generally, for any taxable year in which 75% or more of our gross income is passive income, or at least 50% of the average quarterly value of our assets (which may be determined in part by the market value of our common shares, which is subject to change) are held for the production of, or produce, passive income, we would be characterized as a passive foreign investment company, or PFIC, for U.S. federal income tax purposes. Based on the composition of our gross income and gross assets and the nature of our business, we do not believe that we were a PFIC for the taxable years ended December 31, 2016, 2015 and 2014, although we could be a PFIC for the calendar year ending December 31, 2017 or in subsequent years. Our status as a PFIC is a fact-intensive determination made on an annual basis and we cannot provide any assurance regarding our PFIC status for the taxable year ending December 31, 2017 or for future taxable years.</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55" w:right="239" w:bottom="1440" w:gutter="0" w:footer="0" w:header="0"/>
        </w:sectPr>
      </w:pPr>
    </w:p>
    <w:bookmarkStart w:id="30" w:name="page31"/>
    <w:bookmarkEnd w:id="30"/>
    <w:p>
      <w:pPr>
        <w:ind w:right="140" w:firstLine="518"/>
        <w:spacing w:after="0" w:line="312" w:lineRule="auto"/>
        <w:rPr>
          <w:sz w:val="20"/>
          <w:szCs w:val="20"/>
          <w:color w:val="auto"/>
        </w:rPr>
      </w:pPr>
      <w:r>
        <w:rPr>
          <w:rFonts w:ascii="Arial" w:cs="Arial" w:eastAsia="Arial" w:hAnsi="Arial"/>
          <w:sz w:val="16"/>
          <w:szCs w:val="16"/>
          <w:color w:val="auto"/>
        </w:rPr>
        <w:t>If we are a PFIC for any subsequent year, U.S. Holders of our common shares may suffer adverse tax consequences. Gains realized by non-corporate U.S. Holders on the sale of our common shares would be taxed as ordinary income, rather than as capital gain, and the preferential tax rate applicable to dividends received on our common shares would be lost. Interest charges would also be added to taxes on gains and dividends realized by all U.S. Holders.</w:t>
      </w:r>
    </w:p>
    <w:p>
      <w:pPr>
        <w:spacing w:after="0" w:line="147" w:lineRule="exact"/>
        <w:rPr>
          <w:sz w:val="20"/>
          <w:szCs w:val="20"/>
          <w:color w:val="auto"/>
        </w:rPr>
      </w:pPr>
    </w:p>
    <w:p>
      <w:pPr>
        <w:ind w:right="20" w:firstLine="518"/>
        <w:spacing w:after="0" w:line="255" w:lineRule="auto"/>
        <w:rPr>
          <w:sz w:val="20"/>
          <w:szCs w:val="20"/>
          <w:color w:val="auto"/>
        </w:rPr>
      </w:pPr>
      <w:r>
        <w:rPr>
          <w:rFonts w:ascii="Arial" w:cs="Arial" w:eastAsia="Arial" w:hAnsi="Arial"/>
          <w:sz w:val="18"/>
          <w:szCs w:val="18"/>
          <w:color w:val="auto"/>
        </w:rPr>
        <w:t>A U.S. Holder may avoid these adverse tax consequences by timely making a qualified electing fund election. For each year that we would meet the PFIC gross income or asset test, an electing U.S. Holder would be required to include in gross income its pro rata share of our net ordinary income and net capital gains, if any. A U.S. Holder may make a qualified electing fund election only if we commit to provide U.S. Holders with their pro rata share of our net ordinary income and net capital gains. If we are a PFIC in the current or a future tax year, we will provide our U.S. Holders with the information that is necessary in order for them to make a qualified electing fund election and to report their common shares of ordinary earnings and net capital gains for each year for which we are a PFIC.</w:t>
      </w:r>
    </w:p>
    <w:p>
      <w:pPr>
        <w:spacing w:after="0" w:line="193" w:lineRule="exact"/>
        <w:rPr>
          <w:sz w:val="20"/>
          <w:szCs w:val="20"/>
          <w:color w:val="auto"/>
        </w:rPr>
      </w:pPr>
    </w:p>
    <w:p>
      <w:pPr>
        <w:ind w:firstLine="518"/>
        <w:spacing w:after="0" w:line="255" w:lineRule="auto"/>
        <w:rPr>
          <w:sz w:val="20"/>
          <w:szCs w:val="20"/>
          <w:color w:val="auto"/>
        </w:rPr>
      </w:pPr>
      <w:r>
        <w:rPr>
          <w:rFonts w:ascii="Arial" w:cs="Arial" w:eastAsia="Arial" w:hAnsi="Arial"/>
          <w:sz w:val="18"/>
          <w:szCs w:val="18"/>
          <w:color w:val="auto"/>
        </w:rPr>
        <w:t>A U.S. Holder may also mitigate the adverse tax consequences if we are a PFIC by timely making a mark-to-market election. Generally, for each year that we would meet the PFIC gross income or asset test, an electing U.S. Holder would include in gross income the increase in the value of its common shares during each of its taxable years and deduct from gross income the decrease in the value of such shares during each of its taxable years. A mark-to-market election may be made and maintained only if our common shares are regularly traded on a qualified exchange, including The NASDAQ Global Market, or NASDAQ. Whether our common shares are regularly traded on a qualified exchange is an annual determination based on facts that, in part, are beyond our control. Accordingly, a U.S. Holder might not be eligible to make a mark-to-market election to mitigate the adverse tax consequences if we are characterized as a PFIC.</w:t>
      </w:r>
    </w:p>
    <w:p>
      <w:pPr>
        <w:spacing w:after="0" w:line="297" w:lineRule="exact"/>
        <w:rPr>
          <w:sz w:val="20"/>
          <w:szCs w:val="20"/>
          <w:color w:val="auto"/>
        </w:rPr>
      </w:pPr>
    </w:p>
    <w:p>
      <w:pPr>
        <w:ind w:left="260"/>
        <w:spacing w:after="0"/>
        <w:rPr>
          <w:sz w:val="20"/>
          <w:szCs w:val="20"/>
          <w:color w:val="auto"/>
        </w:rPr>
      </w:pPr>
      <w:r>
        <w:rPr>
          <w:rFonts w:ascii="Arial" w:cs="Arial" w:eastAsia="Arial" w:hAnsi="Arial"/>
          <w:sz w:val="17"/>
          <w:szCs w:val="17"/>
          <w:b w:val="1"/>
          <w:bCs w:val="1"/>
          <w:i w:val="1"/>
          <w:iCs w:val="1"/>
          <w:color w:val="auto"/>
        </w:rPr>
        <w:t>We may become subject to income tax in jurisdictions in which we are organized or operate, which would reduce our future earnings.</w:t>
      </w:r>
    </w:p>
    <w:p>
      <w:pPr>
        <w:spacing w:after="0" w:line="129" w:lineRule="exact"/>
        <w:rPr>
          <w:sz w:val="20"/>
          <w:szCs w:val="20"/>
          <w:color w:val="auto"/>
        </w:rPr>
      </w:pPr>
    </w:p>
    <w:p>
      <w:pPr>
        <w:ind w:right="80" w:firstLine="518"/>
        <w:spacing w:after="0" w:line="276" w:lineRule="auto"/>
        <w:rPr>
          <w:sz w:val="20"/>
          <w:szCs w:val="20"/>
          <w:color w:val="auto"/>
        </w:rPr>
      </w:pPr>
      <w:r>
        <w:rPr>
          <w:rFonts w:ascii="Arial" w:cs="Arial" w:eastAsia="Arial" w:hAnsi="Arial"/>
          <w:sz w:val="17"/>
          <w:szCs w:val="17"/>
          <w:color w:val="auto"/>
        </w:rPr>
        <w:t>There is a risk that we may become subject to income tax in jurisdictions outside of Canada and the United States, if under the laws of any such jurisdiction, we are considered to be carrying on a trade or business there or earn income that is considered to be sourced there and we do not qualify for an exemption. In jurisdictions where we do not believe we are subject to tax, we can provide no certainty that tax authorities in those jurisdictions will not subject one or more tax years to examination. Tax examinations are often complex as tax authorities may disagree with the treatment of items reported by us, the result of which could have a material adverse effect on our operating results and financial condition.</w:t>
      </w:r>
    </w:p>
    <w:p>
      <w:pPr>
        <w:spacing w:after="0" w:line="281"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Acquisitions or joint ventures could disrupt our business, cause dilution to our shareholders and otherwise harm our business.</w:t>
      </w:r>
    </w:p>
    <w:p>
      <w:pPr>
        <w:spacing w:after="0" w:line="117" w:lineRule="exact"/>
        <w:rPr>
          <w:sz w:val="20"/>
          <w:szCs w:val="20"/>
          <w:color w:val="auto"/>
        </w:rPr>
      </w:pPr>
    </w:p>
    <w:p>
      <w:pPr>
        <w:ind w:right="180" w:firstLine="518"/>
        <w:spacing w:after="0" w:line="264" w:lineRule="auto"/>
        <w:rPr>
          <w:sz w:val="20"/>
          <w:szCs w:val="20"/>
          <w:color w:val="auto"/>
        </w:rPr>
      </w:pPr>
      <w:r>
        <w:rPr>
          <w:rFonts w:ascii="Arial" w:cs="Arial" w:eastAsia="Arial" w:hAnsi="Arial"/>
          <w:sz w:val="18"/>
          <w:szCs w:val="18"/>
          <w:color w:val="auto"/>
        </w:rPr>
        <w:t>We actively evaluate various strategic transactions on an ongoing basis and may acquire other businesses, products or technologies as well as pursue strategic alliances, joint ventures or investments in complementary businesses. Any of these transactions could be material to our financial condition and operating results and expose us to many risks, including:</w:t>
      </w:r>
    </w:p>
    <w:p>
      <w:pPr>
        <w:spacing w:after="0" w:line="73" w:lineRule="exact"/>
        <w:rPr>
          <w:sz w:val="20"/>
          <w:szCs w:val="20"/>
          <w:color w:val="auto"/>
        </w:rPr>
      </w:pPr>
    </w:p>
    <w:p>
      <w:pPr>
        <w:ind w:left="1040" w:hanging="519"/>
        <w:spacing w:after="0"/>
        <w:tabs>
          <w:tab w:leader="none" w:pos="10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disruption in our relationships with collaborators or suppliers as a result of such a transaction;</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unanticipated liabilities related to acquired companies;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difficulties integrating acquired personnel, technologies and operations into our existing business;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retention of key employees;</w:t>
      </w:r>
    </w:p>
    <w:p>
      <w:pPr>
        <w:spacing w:after="0" w:line="117" w:lineRule="exact"/>
        <w:rPr>
          <w:rFonts w:ascii="Arial" w:cs="Arial" w:eastAsia="Arial" w:hAnsi="Arial"/>
          <w:sz w:val="18"/>
          <w:szCs w:val="18"/>
          <w:color w:val="auto"/>
        </w:rPr>
      </w:pPr>
    </w:p>
    <w:p>
      <w:pPr>
        <w:ind w:left="1040" w:right="440" w:hanging="519"/>
        <w:spacing w:after="0" w:line="277" w:lineRule="auto"/>
        <w:tabs>
          <w:tab w:leader="none" w:pos="10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diversion of management time and focus from operating our business to management of strategic alliances or joint ventures or acquisition integration challenges;</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increases in our expenses and reductions in our cash available for operations and other uses;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possible write-offs or impairment charges relating to acquired businesses.</w:t>
      </w:r>
    </w:p>
    <w:p>
      <w:pPr>
        <w:spacing w:after="0" w:line="225" w:lineRule="exact"/>
        <w:rPr>
          <w:sz w:val="20"/>
          <w:szCs w:val="20"/>
          <w:color w:val="auto"/>
        </w:rPr>
      </w:pPr>
    </w:p>
    <w:p>
      <w:pPr>
        <w:ind w:right="300" w:firstLine="518"/>
        <w:spacing w:after="0" w:line="308" w:lineRule="auto"/>
        <w:rPr>
          <w:sz w:val="20"/>
          <w:szCs w:val="20"/>
          <w:color w:val="auto"/>
        </w:rPr>
      </w:pPr>
      <w:r>
        <w:rPr>
          <w:rFonts w:ascii="Arial" w:cs="Arial" w:eastAsia="Arial" w:hAnsi="Arial"/>
          <w:sz w:val="17"/>
          <w:szCs w:val="17"/>
          <w:color w:val="auto"/>
        </w:rPr>
        <w:t>Foreign acquisitions involve unique risks in addition to those mentioned above, including those related to integration of operations across different cultures and languages, currency risks and the particular economic, political and regulatory risks associated with specific countries.</w:t>
      </w:r>
    </w:p>
    <w:p>
      <w:pPr>
        <w:spacing w:after="0" w:line="147" w:lineRule="exact"/>
        <w:rPr>
          <w:sz w:val="20"/>
          <w:szCs w:val="20"/>
          <w:color w:val="auto"/>
        </w:rPr>
      </w:pPr>
    </w:p>
    <w:p>
      <w:pPr>
        <w:jc w:val="both"/>
        <w:ind w:right="120" w:firstLine="518"/>
        <w:spacing w:after="0" w:line="259" w:lineRule="auto"/>
        <w:rPr>
          <w:sz w:val="20"/>
          <w:szCs w:val="20"/>
          <w:color w:val="auto"/>
        </w:rPr>
      </w:pPr>
      <w:r>
        <w:rPr>
          <w:rFonts w:ascii="Arial" w:cs="Arial" w:eastAsia="Arial" w:hAnsi="Arial"/>
          <w:sz w:val="18"/>
          <w:szCs w:val="18"/>
          <w:color w:val="auto"/>
        </w:rPr>
        <w:t>Also, the anticipated benefit of any strategic alliance, joint venture or acquisition may not materialize. Future acquisitions or dispositions could result in potentially dilutive issuances of our equity securities, the incurrence of debt, contingent liabilities or amortization expenses or write-offs of goodwill, any of which could harm our financial condition. We cannot predict the number, timing or size of future joint ventures or acquisitions, or the effect that any such transactions might have on our operating results.</w:t>
      </w: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55" w:right="25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color w:val="auto"/>
        </w:rPr>
        <w:t>Risks Related to Development, Clinical Testing and Regulatory Approval of Our Product Candidates</w:t>
      </w:r>
    </w:p>
    <w:p>
      <w:pPr>
        <w:spacing w:after="0" w:line="121" w:lineRule="exact"/>
        <w:rPr>
          <w:sz w:val="20"/>
          <w:szCs w:val="20"/>
          <w:color w:val="auto"/>
        </w:rPr>
      </w:pPr>
    </w:p>
    <w:p>
      <w:pPr>
        <w:ind w:left="260"/>
        <w:spacing w:after="0"/>
        <w:rPr>
          <w:sz w:val="20"/>
          <w:szCs w:val="20"/>
          <w:color w:val="auto"/>
        </w:rPr>
      </w:pPr>
      <w:r>
        <w:rPr>
          <w:rFonts w:ascii="Arial" w:cs="Arial" w:eastAsia="Arial" w:hAnsi="Arial"/>
          <w:sz w:val="15"/>
          <w:szCs w:val="15"/>
          <w:b w:val="1"/>
          <w:bCs w:val="1"/>
          <w:i w:val="1"/>
          <w:iCs w:val="1"/>
          <w:color w:val="auto"/>
        </w:rPr>
        <w:t>The regulatory approval processes of the FDA, EMA and regulators in other jurisdictions are lengthy, time-consuming and inherently unpredictable.</w:t>
      </w:r>
    </w:p>
    <w:p>
      <w:pPr>
        <w:spacing w:after="0" w:line="5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we, or our collaborators, are unable to obtain timely regulatory approval for our product candidates, our business will be substantially harmed.</w:t>
      </w:r>
    </w:p>
    <w:p>
      <w:pPr>
        <w:spacing w:after="0" w:line="126" w:lineRule="exact"/>
        <w:rPr>
          <w:sz w:val="20"/>
          <w:szCs w:val="20"/>
          <w:color w:val="auto"/>
        </w:rPr>
      </w:pPr>
    </w:p>
    <w:p>
      <w:pPr>
        <w:ind w:firstLine="518"/>
        <w:spacing w:after="0" w:line="255" w:lineRule="auto"/>
        <w:rPr>
          <w:sz w:val="20"/>
          <w:szCs w:val="20"/>
          <w:color w:val="auto"/>
        </w:rPr>
      </w:pPr>
      <w:r>
        <w:rPr>
          <w:rFonts w:ascii="Arial" w:cs="Arial" w:eastAsia="Arial" w:hAnsi="Arial"/>
          <w:sz w:val="18"/>
          <w:szCs w:val="18"/>
          <w:color w:val="auto"/>
        </w:rPr>
        <w:t>The regulatory approval process is expensive and the time required to obtain approval from the FDA, EMA or other regulatory authorities in other jurisdictions to sell any product is uncertain and may take years. Whether regulatory approval will be granted is unpredictable and depends upon numerous factors, including the substantial discretion of the regulatory authorities. Approval policies, regulations, or the type and amount of preclinical and clinical data necessary to gain approval may change during the course of a product candidate’s clinical development and may vary among jurisdictions. Other than for Glybera in the EU, neither we nor our collaborators have obtained regulatory approval for any of our product candidates. It is possible that none of our existing product candidates or any of our future product candidates will ever obtain regulatory approval, even if we expend substantial time and resources seeking such approval.</w:t>
      </w:r>
    </w:p>
    <w:p>
      <w:pPr>
        <w:spacing w:after="0" w:line="18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Our product candidates could fail to receive regulatory approval for many reasons, including the following:</w:t>
      </w:r>
    </w:p>
    <w:p>
      <w:pPr>
        <w:spacing w:after="0" w:line="117" w:lineRule="exact"/>
        <w:rPr>
          <w:sz w:val="20"/>
          <w:szCs w:val="20"/>
          <w:color w:val="auto"/>
        </w:rPr>
      </w:pPr>
    </w:p>
    <w:p>
      <w:pPr>
        <w:ind w:left="1040" w:hanging="519"/>
        <w:spacing w:after="0"/>
        <w:tabs>
          <w:tab w:leader="none" w:pos="1040" w:val="left"/>
        </w:tabs>
        <w:numPr>
          <w:ilvl w:val="0"/>
          <w:numId w:val="27"/>
        </w:numPr>
        <w:rPr>
          <w:rFonts w:ascii="Arial" w:cs="Arial" w:eastAsia="Arial" w:hAnsi="Arial"/>
          <w:sz w:val="17"/>
          <w:szCs w:val="17"/>
          <w:color w:val="auto"/>
        </w:rPr>
      </w:pPr>
      <w:r>
        <w:rPr>
          <w:rFonts w:ascii="Arial" w:cs="Arial" w:eastAsia="Arial" w:hAnsi="Arial"/>
          <w:sz w:val="17"/>
          <w:szCs w:val="17"/>
          <w:color w:val="auto"/>
        </w:rPr>
        <w:t>the FDA, EMA or other regulatory authorities may disagree with the design or implementation of our or our collaborators’ clinical trials;</w:t>
      </w:r>
    </w:p>
    <w:p>
      <w:pPr>
        <w:spacing w:after="0" w:line="128" w:lineRule="exact"/>
        <w:rPr>
          <w:rFonts w:ascii="Arial" w:cs="Arial" w:eastAsia="Arial" w:hAnsi="Arial"/>
          <w:sz w:val="17"/>
          <w:szCs w:val="17"/>
          <w:color w:val="auto"/>
        </w:rPr>
      </w:pPr>
    </w:p>
    <w:p>
      <w:pPr>
        <w:ind w:left="1040" w:right="560" w:hanging="519"/>
        <w:spacing w:after="0" w:line="277" w:lineRule="auto"/>
        <w:tabs>
          <w:tab w:leader="none" w:pos="10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we or our collaborators may be unable to demonstrate to the satisfaction of the FDA, EMA or other regulatory authorities that a product candidate is safe and effective for its proposed indication;</w:t>
      </w:r>
    </w:p>
    <w:p>
      <w:pPr>
        <w:spacing w:after="0" w:line="62" w:lineRule="exact"/>
        <w:rPr>
          <w:rFonts w:ascii="Arial" w:cs="Arial" w:eastAsia="Arial" w:hAnsi="Arial"/>
          <w:sz w:val="18"/>
          <w:szCs w:val="18"/>
          <w:color w:val="auto"/>
        </w:rPr>
      </w:pPr>
    </w:p>
    <w:p>
      <w:pPr>
        <w:ind w:left="1040" w:right="440" w:hanging="519"/>
        <w:spacing w:after="0" w:line="277" w:lineRule="auto"/>
        <w:tabs>
          <w:tab w:leader="none" w:pos="10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results of clinical trials may not meet the level of statistical significance required by the FDA, EMA or other regulatory authorities for approval;</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27"/>
        </w:numPr>
        <w:rPr>
          <w:rFonts w:ascii="Arial" w:cs="Arial" w:eastAsia="Arial" w:hAnsi="Arial"/>
          <w:sz w:val="17"/>
          <w:szCs w:val="17"/>
          <w:color w:val="auto"/>
        </w:rPr>
      </w:pPr>
      <w:r>
        <w:rPr>
          <w:rFonts w:ascii="Arial" w:cs="Arial" w:eastAsia="Arial" w:hAnsi="Arial"/>
          <w:sz w:val="17"/>
          <w:szCs w:val="17"/>
          <w:color w:val="auto"/>
        </w:rPr>
        <w:t>we, or our collaborators, may be unable to demonstrate that a product candidate’s clinical and other benefits outweigh its safety risks;</w:t>
      </w:r>
    </w:p>
    <w:p>
      <w:pPr>
        <w:spacing w:after="0" w:line="128" w:lineRule="exact"/>
        <w:rPr>
          <w:rFonts w:ascii="Arial" w:cs="Arial" w:eastAsia="Arial" w:hAnsi="Arial"/>
          <w:sz w:val="17"/>
          <w:szCs w:val="17"/>
          <w:color w:val="auto"/>
        </w:rPr>
      </w:pPr>
    </w:p>
    <w:p>
      <w:pPr>
        <w:ind w:left="1040" w:right="360" w:hanging="519"/>
        <w:spacing w:after="0" w:line="277" w:lineRule="auto"/>
        <w:tabs>
          <w:tab w:leader="none" w:pos="10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FDA, EMA or other regulatory authorities may disagree with our or our collaborators’ interpretation of data from preclinical studies or clinical trials;</w:t>
      </w:r>
    </w:p>
    <w:p>
      <w:pPr>
        <w:spacing w:after="0" w:line="62" w:lineRule="exact"/>
        <w:rPr>
          <w:rFonts w:ascii="Arial" w:cs="Arial" w:eastAsia="Arial" w:hAnsi="Arial"/>
          <w:sz w:val="18"/>
          <w:szCs w:val="18"/>
          <w:color w:val="auto"/>
        </w:rPr>
      </w:pPr>
    </w:p>
    <w:p>
      <w:pPr>
        <w:ind w:left="1040" w:right="120" w:hanging="519"/>
        <w:spacing w:after="0" w:line="277" w:lineRule="auto"/>
        <w:tabs>
          <w:tab w:leader="none" w:pos="10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data collected from clinical trials of our product candidates may not be sufficient to support the submission of a New Drug Application, or NDA, or other submission or to obtain regulatory approval in the U.S. or elsewhere;</w:t>
      </w:r>
    </w:p>
    <w:p>
      <w:pPr>
        <w:spacing w:after="0" w:line="62" w:lineRule="exact"/>
        <w:rPr>
          <w:rFonts w:ascii="Arial" w:cs="Arial" w:eastAsia="Arial" w:hAnsi="Arial"/>
          <w:sz w:val="18"/>
          <w:szCs w:val="18"/>
          <w:color w:val="auto"/>
        </w:rPr>
      </w:pPr>
    </w:p>
    <w:p>
      <w:pPr>
        <w:ind w:left="1040" w:right="180" w:hanging="519"/>
        <w:spacing w:after="0" w:line="277" w:lineRule="auto"/>
        <w:tabs>
          <w:tab w:leader="none" w:pos="10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FDA, EMA or other regulatory authorities may fail to approve the manufacturing processes or facilities of third-party manufacturers with which we or our collaborators contract for clinical and commercial supplies; and</w:t>
      </w:r>
    </w:p>
    <w:p>
      <w:pPr>
        <w:spacing w:after="0" w:line="62" w:lineRule="exact"/>
        <w:rPr>
          <w:rFonts w:ascii="Arial" w:cs="Arial" w:eastAsia="Arial" w:hAnsi="Arial"/>
          <w:sz w:val="18"/>
          <w:szCs w:val="18"/>
          <w:color w:val="auto"/>
        </w:rPr>
      </w:pPr>
    </w:p>
    <w:p>
      <w:pPr>
        <w:ind w:left="1040" w:right="120" w:hanging="519"/>
        <w:spacing w:after="0" w:line="277" w:lineRule="auto"/>
        <w:tabs>
          <w:tab w:leader="none" w:pos="10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approval policies or regulations of the FDA, EMA or other regulatory authorities outside of the U.S. may significantly change in a manner rendering our or our collaborators’ clinical data insufficient for approval.</w:t>
      </w:r>
    </w:p>
    <w:p>
      <w:pPr>
        <w:spacing w:after="0" w:line="170" w:lineRule="exact"/>
        <w:rPr>
          <w:sz w:val="20"/>
          <w:szCs w:val="20"/>
          <w:color w:val="auto"/>
        </w:rPr>
      </w:pPr>
    </w:p>
    <w:p>
      <w:pPr>
        <w:ind w:right="120" w:firstLine="518"/>
        <w:spacing w:after="0" w:line="264" w:lineRule="auto"/>
        <w:rPr>
          <w:sz w:val="20"/>
          <w:szCs w:val="20"/>
          <w:color w:val="auto"/>
        </w:rPr>
      </w:pPr>
      <w:r>
        <w:rPr>
          <w:rFonts w:ascii="Arial" w:cs="Arial" w:eastAsia="Arial" w:hAnsi="Arial"/>
          <w:sz w:val="18"/>
          <w:szCs w:val="18"/>
          <w:color w:val="auto"/>
        </w:rPr>
        <w:t>Even if we, or our collaborators, obtain approval for a particular product, regulatory authorities may grant approval contingent on the performance of costly post-approval clinical trials, or may approve a product with a label that does not include the labeling claims necessary or desirable for the successful commercialization of that product.</w:t>
      </w:r>
    </w:p>
    <w:p>
      <w:pPr>
        <w:spacing w:after="0" w:line="289" w:lineRule="exact"/>
        <w:rPr>
          <w:sz w:val="20"/>
          <w:szCs w:val="20"/>
          <w:color w:val="auto"/>
        </w:rPr>
      </w:pPr>
    </w:p>
    <w:p>
      <w:pPr>
        <w:ind w:right="100" w:firstLine="259"/>
        <w:spacing w:after="0" w:line="277" w:lineRule="auto"/>
        <w:rPr>
          <w:sz w:val="20"/>
          <w:szCs w:val="20"/>
          <w:color w:val="auto"/>
        </w:rPr>
      </w:pPr>
      <w:r>
        <w:rPr>
          <w:rFonts w:ascii="Arial" w:cs="Arial" w:eastAsia="Arial" w:hAnsi="Arial"/>
          <w:sz w:val="18"/>
          <w:szCs w:val="18"/>
          <w:b w:val="1"/>
          <w:bCs w:val="1"/>
          <w:i w:val="1"/>
          <w:iCs w:val="1"/>
          <w:color w:val="auto"/>
        </w:rPr>
        <w:t>Clinical drug development involves a lengthy and expensive process with uncertain timelines and uncertain outcomes. If clinical trials are prolonged or delayed, we, or our collaborators, may be unable to commercialize our product candidates on a timely basis.</w:t>
      </w:r>
    </w:p>
    <w:p>
      <w:pPr>
        <w:spacing w:after="0" w:line="62" w:lineRule="exact"/>
        <w:rPr>
          <w:sz w:val="20"/>
          <w:szCs w:val="20"/>
          <w:color w:val="auto"/>
        </w:rPr>
      </w:pPr>
    </w:p>
    <w:p>
      <w:pPr>
        <w:ind w:left="520"/>
        <w:spacing w:after="0"/>
        <w:rPr>
          <w:sz w:val="20"/>
          <w:szCs w:val="20"/>
          <w:color w:val="auto"/>
        </w:rPr>
      </w:pPr>
      <w:r>
        <w:rPr>
          <w:rFonts w:ascii="Arial" w:cs="Arial" w:eastAsia="Arial" w:hAnsi="Arial"/>
          <w:sz w:val="16"/>
          <w:szCs w:val="16"/>
          <w:color w:val="auto"/>
        </w:rPr>
        <w:t>Clinical testing of product candidates is expensive and, depending on the stage of development, can take a substantial period of time to complete.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Clinical trial outcomes are inherently uncertain, and failure can occur at any time during the clinical development process.</w:t>
      </w:r>
    </w:p>
    <w:p>
      <w:pPr>
        <w:spacing w:after="0" w:line="21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Clinical trials can be halted or delayed for a variety of reasons, including those related to:</w:t>
      </w:r>
    </w:p>
    <w:p>
      <w:pPr>
        <w:spacing w:after="0" w:line="117" w:lineRule="exact"/>
        <w:rPr>
          <w:sz w:val="20"/>
          <w:szCs w:val="20"/>
          <w:color w:val="auto"/>
        </w:rPr>
      </w:pPr>
    </w:p>
    <w:p>
      <w:pPr>
        <w:ind w:left="1040" w:hanging="519"/>
        <w:spacing w:after="0"/>
        <w:tabs>
          <w:tab w:leader="none" w:pos="10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side effects or adverse events in study participants presenting an unacceptable safety risk;</w:t>
      </w:r>
    </w:p>
    <w:p>
      <w:pPr>
        <w:spacing w:after="0" w:line="117" w:lineRule="exact"/>
        <w:rPr>
          <w:rFonts w:ascii="Arial" w:cs="Arial" w:eastAsia="Arial" w:hAnsi="Arial"/>
          <w:sz w:val="18"/>
          <w:szCs w:val="18"/>
          <w:color w:val="auto"/>
        </w:rPr>
      </w:pPr>
    </w:p>
    <w:p>
      <w:pPr>
        <w:ind w:left="1040" w:right="860" w:hanging="519"/>
        <w:spacing w:after="0" w:line="277" w:lineRule="auto"/>
        <w:tabs>
          <w:tab w:leader="none" w:pos="10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inability to reach agreement with prospective contract research organizations, or CROs, and clinical trial sites, or the breach of such agreements;</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failure of third-party contractors, such as CROs, or investigators to comply with regulatory requirements;</w:t>
      </w:r>
    </w:p>
    <w:p>
      <w:pPr>
        <w:spacing w:after="0" w:line="117" w:lineRule="exact"/>
        <w:rPr>
          <w:rFonts w:ascii="Arial" w:cs="Arial" w:eastAsia="Arial" w:hAnsi="Arial"/>
          <w:sz w:val="18"/>
          <w:szCs w:val="18"/>
          <w:color w:val="auto"/>
        </w:rPr>
      </w:pPr>
    </w:p>
    <w:p>
      <w:pPr>
        <w:ind w:left="1040" w:right="240" w:hanging="519"/>
        <w:spacing w:after="0" w:line="277" w:lineRule="auto"/>
        <w:tabs>
          <w:tab w:leader="none" w:pos="10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delay or failure in obtaining the necessary approvals from regulators or institutional review boards, or IRBs, in order to commence a clinical trial at a prospective trial site, or their suspension or termination of a clinical trial once commenced;</w:t>
      </w:r>
    </w:p>
    <w:p>
      <w:pPr>
        <w:spacing w:after="0" w:line="200" w:lineRule="exact"/>
        <w:rPr>
          <w:sz w:val="20"/>
          <w:szCs w:val="20"/>
          <w:color w:val="auto"/>
        </w:rPr>
      </w:pPr>
    </w:p>
    <w:p>
      <w:pPr>
        <w:spacing w:after="0" w:line="2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459" w:right="279" w:bottom="1440" w:gutter="0" w:footer="0" w:header="0"/>
        </w:sectPr>
      </w:pPr>
    </w:p>
    <w:bookmarkStart w:id="32" w:name="page33"/>
    <w:bookmarkEnd w:id="32"/>
    <w:p>
      <w:pPr>
        <w:ind w:left="1040" w:hanging="519"/>
        <w:spacing w:after="0"/>
        <w:tabs>
          <w:tab w:leader="none" w:pos="1040" w:val="left"/>
        </w:tabs>
        <w:numPr>
          <w:ilvl w:val="0"/>
          <w:numId w:val="29"/>
        </w:numPr>
        <w:rPr>
          <w:rFonts w:ascii="Arial" w:cs="Arial" w:eastAsia="Arial" w:hAnsi="Arial"/>
          <w:sz w:val="17"/>
          <w:szCs w:val="17"/>
          <w:color w:val="auto"/>
        </w:rPr>
      </w:pPr>
      <w:r>
        <w:rPr>
          <w:rFonts w:ascii="Arial" w:cs="Arial" w:eastAsia="Arial" w:hAnsi="Arial"/>
          <w:sz w:val="17"/>
          <w:szCs w:val="17"/>
          <w:color w:val="auto"/>
        </w:rPr>
        <w:t>a requirement to undertake and complete additional preclinical studies to generate data required to support the submission of an NDA;</w:t>
      </w:r>
    </w:p>
    <w:p>
      <w:pPr>
        <w:spacing w:after="0" w:line="128" w:lineRule="exact"/>
        <w:rPr>
          <w:rFonts w:ascii="Arial" w:cs="Arial" w:eastAsia="Arial" w:hAnsi="Arial"/>
          <w:sz w:val="17"/>
          <w:szCs w:val="17"/>
          <w:color w:val="auto"/>
        </w:rPr>
      </w:pPr>
    </w:p>
    <w:p>
      <w:pPr>
        <w:ind w:left="1040" w:hanging="519"/>
        <w:spacing w:after="0"/>
        <w:tabs>
          <w:tab w:leader="none" w:pos="10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inability to enroll sufficient patients to complete a protocol, particularly in orphan diseases;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difficulty in having patients complete a trial or return for post-treatment follow-up;</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clinical sites deviating from trial protocol or dropping out of a trial;</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problems with drug product or drug substance storage and distribution;</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adding new clinical trial sites;</w:t>
      </w:r>
    </w:p>
    <w:p>
      <w:pPr>
        <w:spacing w:after="0" w:line="117" w:lineRule="exact"/>
        <w:rPr>
          <w:rFonts w:ascii="Arial" w:cs="Arial" w:eastAsia="Arial" w:hAnsi="Arial"/>
          <w:sz w:val="18"/>
          <w:szCs w:val="18"/>
          <w:color w:val="auto"/>
        </w:rPr>
      </w:pPr>
    </w:p>
    <w:p>
      <w:pPr>
        <w:ind w:left="1040" w:right="700" w:hanging="519"/>
        <w:spacing w:after="0" w:line="277" w:lineRule="auto"/>
        <w:tabs>
          <w:tab w:leader="none" w:pos="10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our inability to manufacture, or obtain from third parties, adequate supply of drug substance or drug product sufficient to complete our preclinical studies and clinical trials; and</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governmental or regulatory delays and changes in regulatory requirements, policy and guidelines.</w:t>
      </w:r>
    </w:p>
    <w:p>
      <w:pPr>
        <w:spacing w:after="0" w:line="225" w:lineRule="exact"/>
        <w:rPr>
          <w:sz w:val="20"/>
          <w:szCs w:val="20"/>
          <w:color w:val="auto"/>
        </w:rPr>
      </w:pPr>
    </w:p>
    <w:p>
      <w:pPr>
        <w:ind w:right="120" w:firstLine="518"/>
        <w:spacing w:after="0" w:line="255" w:lineRule="auto"/>
        <w:rPr>
          <w:sz w:val="20"/>
          <w:szCs w:val="20"/>
          <w:color w:val="auto"/>
        </w:rPr>
      </w:pPr>
      <w:r>
        <w:rPr>
          <w:rFonts w:ascii="Arial" w:cs="Arial" w:eastAsia="Arial" w:hAnsi="Arial"/>
          <w:sz w:val="18"/>
          <w:szCs w:val="18"/>
          <w:color w:val="auto"/>
        </w:rPr>
        <w:t>The results of any Phase 3 or other pivotal clinical trial may not be adequate to support marketing approval. These clinical trials are lengthy and, with respect to non-orphan indications, usually involve many hundreds to thousands of patients. In addition, if the FDA, EMA or another applicable regulator disagrees with our or our collaborator’s choice of the key testing criterion, or primary endpoint, or the results for the primary endpoint are not robust or significant relative to the control group of patients not receiving the experimental therapy, such regulator may refuse to approve our product candidate in the region in which it has jurisdiction. The FDA, EMA or other applicable non-U.S. regulators also may require additional clinical trials as a condition for approving any of these product candidates.</w:t>
      </w:r>
    </w:p>
    <w:p>
      <w:pPr>
        <w:spacing w:after="0" w:line="193" w:lineRule="exact"/>
        <w:rPr>
          <w:sz w:val="20"/>
          <w:szCs w:val="20"/>
          <w:color w:val="auto"/>
        </w:rPr>
      </w:pPr>
    </w:p>
    <w:p>
      <w:pPr>
        <w:ind w:right="20" w:firstLine="518"/>
        <w:spacing w:after="0" w:line="291" w:lineRule="auto"/>
        <w:rPr>
          <w:sz w:val="20"/>
          <w:szCs w:val="20"/>
          <w:color w:val="auto"/>
        </w:rPr>
      </w:pPr>
      <w:r>
        <w:rPr>
          <w:rFonts w:ascii="Arial" w:cs="Arial" w:eastAsia="Arial" w:hAnsi="Arial"/>
          <w:sz w:val="16"/>
          <w:szCs w:val="16"/>
          <w:color w:val="auto"/>
        </w:rPr>
        <w:t>We could also encounter delays if a clinical trial is suspended or terminated by us, by our collaborators, by the IRBs of the institutions in which such trial is being conducted, by any Data Safety Monitoring Board for such trial, or by the FDA, EMA or other regulatory authorities. Such authorities may impose such a suspension or termination due to a number of factors, including failure to conduct the clinical trial in accordance with regulatory requirements or our clinical protocols, inspection of the clinical trial operations or trial site by the FDA, EMA or other regulatory authorities resulting in the imposition of a clinical hold, product candidate manufacturing problems, unforeseen safety issues or adverse side effects, failure to demonstrate a benefit from using a drug, changes in governmental regulations or administrative actions or lack of adequate funding to continue the clinical trial. In addition, delays can occur due to safety concerns arising from trials or other clinical data regarding another company’s product candidate in the same compound class as one of ours.</w:t>
      </w:r>
    </w:p>
    <w:p>
      <w:pPr>
        <w:spacing w:after="0" w:line="167" w:lineRule="exact"/>
        <w:rPr>
          <w:sz w:val="20"/>
          <w:szCs w:val="20"/>
          <w:color w:val="auto"/>
        </w:rPr>
      </w:pPr>
    </w:p>
    <w:p>
      <w:pPr>
        <w:ind w:right="60" w:firstLine="518"/>
        <w:spacing w:after="0" w:line="293" w:lineRule="auto"/>
        <w:rPr>
          <w:sz w:val="20"/>
          <w:szCs w:val="20"/>
          <w:color w:val="auto"/>
        </w:rPr>
      </w:pPr>
      <w:r>
        <w:rPr>
          <w:rFonts w:ascii="Arial" w:cs="Arial" w:eastAsia="Arial" w:hAnsi="Arial"/>
          <w:sz w:val="16"/>
          <w:szCs w:val="16"/>
          <w:color w:val="auto"/>
        </w:rPr>
        <w:t>If we or our collaborators experience delays in the completion of, or termination of, any clinical trial of one of our product candidates, the commercial prospects of the product candidate will be harmed, could shorten the patent protection period during which we may have the exclusive right to commercialize our products and our or our collaborators’ ability to commence product sales and generate product revenue from the product will be delayed. In addition, any delays in completing our clinical trials will increase our costs and slow down our product candidate development and approval process. Any of these occurrences may harm our business, financial condition and prospects significantly. In addition, many of the factors that cause, or lead to, a delay in the commencement or completion of clinical trials may also ultimately lead to the denial of regulatory approval of our product candidates.</w:t>
      </w:r>
    </w:p>
    <w:p>
      <w:pPr>
        <w:spacing w:after="0" w:line="165" w:lineRule="exact"/>
        <w:rPr>
          <w:sz w:val="20"/>
          <w:szCs w:val="20"/>
          <w:color w:val="auto"/>
        </w:rPr>
      </w:pPr>
    </w:p>
    <w:p>
      <w:pPr>
        <w:ind w:left="520"/>
        <w:spacing w:after="0"/>
        <w:rPr>
          <w:sz w:val="20"/>
          <w:szCs w:val="20"/>
          <w:color w:val="auto"/>
        </w:rPr>
      </w:pPr>
      <w:r>
        <w:rPr>
          <w:rFonts w:ascii="Arial" w:cs="Arial" w:eastAsia="Arial" w:hAnsi="Arial"/>
          <w:sz w:val="16"/>
          <w:szCs w:val="16"/>
          <w:color w:val="auto"/>
        </w:rPr>
        <w:t>Our product candidates – including TV-45070 and GDC-0310 for the treatment of pain, as well as XEN1101 and XEN901 for the treatment of epilepsy</w:t>
      </w:r>
    </w:p>
    <w:p>
      <w:pPr>
        <w:spacing w:after="0" w:line="46" w:lineRule="exact"/>
        <w:rPr>
          <w:sz w:val="20"/>
          <w:szCs w:val="20"/>
          <w:color w:val="auto"/>
        </w:rPr>
      </w:pPr>
    </w:p>
    <w:p>
      <w:pPr>
        <w:ind w:right="480"/>
        <w:spacing w:after="0" w:line="323" w:lineRule="auto"/>
        <w:rPr>
          <w:sz w:val="20"/>
          <w:szCs w:val="20"/>
          <w:color w:val="auto"/>
        </w:rPr>
      </w:pPr>
      <w:r>
        <w:rPr>
          <w:rFonts w:ascii="Arial" w:cs="Arial" w:eastAsia="Arial" w:hAnsi="Arial"/>
          <w:sz w:val="16"/>
          <w:szCs w:val="16"/>
          <w:color w:val="auto"/>
        </w:rPr>
        <w:t>– target novel molecular mechanisms. Regulatory authorities may require more extensive studies of the long-term effects of such product candidates for regulatory approval, which could delay development of our product candidates or our future product candidates based on novel mechanisms.</w:t>
      </w:r>
    </w:p>
    <w:p>
      <w:pPr>
        <w:spacing w:after="0" w:line="247" w:lineRule="exact"/>
        <w:rPr>
          <w:sz w:val="20"/>
          <w:szCs w:val="20"/>
          <w:color w:val="auto"/>
        </w:rPr>
      </w:pPr>
    </w:p>
    <w:p>
      <w:pPr>
        <w:ind w:right="500" w:firstLine="259"/>
        <w:spacing w:after="0" w:line="277" w:lineRule="auto"/>
        <w:rPr>
          <w:sz w:val="20"/>
          <w:szCs w:val="20"/>
          <w:color w:val="auto"/>
        </w:rPr>
      </w:pPr>
      <w:r>
        <w:rPr>
          <w:rFonts w:ascii="Arial" w:cs="Arial" w:eastAsia="Arial" w:hAnsi="Arial"/>
          <w:sz w:val="18"/>
          <w:szCs w:val="18"/>
          <w:b w:val="1"/>
          <w:bCs w:val="1"/>
          <w:i w:val="1"/>
          <w:iCs w:val="1"/>
          <w:color w:val="auto"/>
        </w:rPr>
        <w:t>Our clinical trials may fail to demonstrate adequately the safety and efficacy of our product candidates, which could prevent or delay regulatory approval and commercialization.</w:t>
      </w:r>
    </w:p>
    <w:p>
      <w:pPr>
        <w:spacing w:after="0" w:line="62" w:lineRule="exact"/>
        <w:rPr>
          <w:sz w:val="20"/>
          <w:szCs w:val="20"/>
          <w:color w:val="auto"/>
        </w:rPr>
      </w:pPr>
    </w:p>
    <w:p>
      <w:pPr>
        <w:ind w:right="60" w:firstLine="518"/>
        <w:spacing w:after="0" w:line="255" w:lineRule="auto"/>
        <w:rPr>
          <w:sz w:val="20"/>
          <w:szCs w:val="20"/>
          <w:color w:val="auto"/>
        </w:rPr>
      </w:pPr>
      <w:r>
        <w:rPr>
          <w:rFonts w:ascii="Arial" w:cs="Arial" w:eastAsia="Arial" w:hAnsi="Arial"/>
          <w:sz w:val="18"/>
          <w:szCs w:val="18"/>
          <w:color w:val="auto"/>
        </w:rPr>
        <w:t>Before obtaining regulatory approvals for the commercial sale of our products, we must demonstrate through lengthy, complex and expensive preclinical testing and clinical trials that the product candidate is both safe and effective for use in each target indication. Clinical trials often fail to demonstrate safety and efficacy of the product candidate studied for the target indication. Most product candidates that commence clinical trials are never approved as products. For example, in June 2017, we, along with Teva, announced topline results from a Phase 2b study designed to evaluate the efficacy and safety of TV-45070 in PHN. Results from this trial showed that TV-45070 did not meet the primary endpoint of a statistically significant change in pain from baseline to week four as assessed by the numeric rating scale. Secondary endpoints were also not met. We and Teva plan to further analyze the data from this study to determine the next steps for TV-45070.</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247" w:right="239" w:bottom="1440" w:gutter="0" w:footer="0" w:header="0"/>
        </w:sectPr>
      </w:pPr>
    </w:p>
    <w:bookmarkStart w:id="33" w:name="page34"/>
    <w:bookmarkEnd w:id="33"/>
    <w:p>
      <w:pPr>
        <w:ind w:right="120" w:firstLine="518"/>
        <w:spacing w:after="0" w:line="272" w:lineRule="auto"/>
        <w:rPr>
          <w:sz w:val="20"/>
          <w:szCs w:val="20"/>
          <w:color w:val="auto"/>
        </w:rPr>
      </w:pPr>
      <w:r>
        <w:rPr>
          <w:rFonts w:ascii="Arial" w:cs="Arial" w:eastAsia="Arial" w:hAnsi="Arial"/>
          <w:sz w:val="17"/>
          <w:szCs w:val="17"/>
          <w:color w:val="auto"/>
        </w:rPr>
        <w:t>In the case of some of our product candidates, we are seeking to develop treatments for diseases for which there is relatively limited clinical experience, and, in some cases our clinical trials use novel end points and measurement methodologies or subjective patient feedback, which adds a layer of complexity to our clinical trials and may delay regulatory approval. In addition, our focus on orphan and niche markets may cause us to select target indications that are in more challenging therapeutic areas. For example, clinical trials for pain, the indication for which TV-45070 and GDC-0310 are being developed, are inherently difficult to conduct. The primary measure of pain is based on subjective patient feedback, which can be influenced by factors outside of our control, and can vary widely from day to day for a particular patient, and from patient to patient and site to site within a clinical study. The placebo effect also tends to have a more significant impact on pain trials.</w:t>
      </w:r>
    </w:p>
    <w:p>
      <w:pPr>
        <w:spacing w:after="0" w:line="178" w:lineRule="exact"/>
        <w:rPr>
          <w:sz w:val="20"/>
          <w:szCs w:val="20"/>
          <w:color w:val="auto"/>
        </w:rPr>
      </w:pPr>
    </w:p>
    <w:p>
      <w:pPr>
        <w:ind w:right="240" w:firstLine="518"/>
        <w:spacing w:after="0" w:line="259" w:lineRule="auto"/>
        <w:rPr>
          <w:sz w:val="20"/>
          <w:szCs w:val="20"/>
          <w:color w:val="auto"/>
        </w:rPr>
      </w:pPr>
      <w:r>
        <w:rPr>
          <w:rFonts w:ascii="Arial" w:cs="Arial" w:eastAsia="Arial" w:hAnsi="Arial"/>
          <w:sz w:val="18"/>
          <w:szCs w:val="18"/>
          <w:color w:val="auto"/>
        </w:rPr>
        <w:t>If our product candidates are not shown to be both safe and effective in clinical trials, we will not be able to obtain regulatory approval or commercialize these product candidates and products. In such case, we would need to develop other compounds and conduct associated preclinical testing and clinical trials, as well as potentially seek additional financing, all of which would have a material adverse effect on our business, growth prospects, operating results, financial condition and results of operations.</w:t>
      </w:r>
    </w:p>
    <w:p>
      <w:pPr>
        <w:spacing w:after="0" w:line="295" w:lineRule="exact"/>
        <w:rPr>
          <w:sz w:val="20"/>
          <w:szCs w:val="20"/>
          <w:color w:val="auto"/>
        </w:rPr>
      </w:pPr>
    </w:p>
    <w:p>
      <w:pPr>
        <w:ind w:right="440" w:firstLine="259"/>
        <w:spacing w:after="0" w:line="277" w:lineRule="auto"/>
        <w:rPr>
          <w:sz w:val="20"/>
          <w:szCs w:val="20"/>
          <w:color w:val="auto"/>
        </w:rPr>
      </w:pPr>
      <w:r>
        <w:rPr>
          <w:rFonts w:ascii="Arial" w:cs="Arial" w:eastAsia="Arial" w:hAnsi="Arial"/>
          <w:sz w:val="18"/>
          <w:szCs w:val="18"/>
          <w:b w:val="1"/>
          <w:bCs w:val="1"/>
          <w:i w:val="1"/>
          <w:iCs w:val="1"/>
          <w:color w:val="auto"/>
        </w:rPr>
        <w:t>We may find it difficult to enroll patients in our clinical studies, including for orphan or niche indications, which could delay or prevent clinical studies of our product candidates.</w:t>
      </w:r>
    </w:p>
    <w:p>
      <w:pPr>
        <w:spacing w:after="0" w:line="62" w:lineRule="exact"/>
        <w:rPr>
          <w:sz w:val="20"/>
          <w:szCs w:val="20"/>
          <w:color w:val="auto"/>
        </w:rPr>
      </w:pPr>
    </w:p>
    <w:p>
      <w:pPr>
        <w:ind w:right="100" w:firstLine="518"/>
        <w:spacing w:after="0" w:line="264" w:lineRule="auto"/>
        <w:rPr>
          <w:sz w:val="20"/>
          <w:szCs w:val="20"/>
          <w:color w:val="auto"/>
        </w:rPr>
      </w:pPr>
      <w:r>
        <w:rPr>
          <w:rFonts w:ascii="Arial" w:cs="Arial" w:eastAsia="Arial" w:hAnsi="Arial"/>
          <w:sz w:val="18"/>
          <w:szCs w:val="18"/>
          <w:color w:val="auto"/>
        </w:rPr>
        <w:t>We may not be able to identify, recruit and enroll a sufficient number of patients, or those with required or desired characteristics to achieve diversity in a study, to complete our clinical studies in a timely manner. Patient enrollment for clinical trials for orphan and niche indications and for more prevalent conditions is affected by factors including:</w:t>
      </w:r>
    </w:p>
    <w:p>
      <w:pPr>
        <w:spacing w:after="0" w:line="73" w:lineRule="exact"/>
        <w:rPr>
          <w:sz w:val="20"/>
          <w:szCs w:val="20"/>
          <w:color w:val="auto"/>
        </w:rPr>
      </w:pPr>
    </w:p>
    <w:p>
      <w:pPr>
        <w:ind w:left="1040" w:hanging="519"/>
        <w:spacing w:after="0"/>
        <w:tabs>
          <w:tab w:leader="none" w:pos="10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severity of the disease under investigation;</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design of the study protocol;</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size of the patient population;</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eligibility criteria for the study in question;</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perceived risks and benefits of the product candidate under study;</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proximity and availability of clinical study sites for prospective patients;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availability of competing therapies and clinical studies;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efforts to facilitate timely enrollment in clinical studies;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patient referral practices of physicians.</w:t>
      </w:r>
    </w:p>
    <w:p>
      <w:pPr>
        <w:spacing w:after="0" w:line="225" w:lineRule="exact"/>
        <w:rPr>
          <w:sz w:val="20"/>
          <w:szCs w:val="20"/>
          <w:color w:val="auto"/>
        </w:rPr>
      </w:pPr>
    </w:p>
    <w:p>
      <w:pPr>
        <w:ind w:firstLine="518"/>
        <w:spacing w:after="0" w:line="272" w:lineRule="auto"/>
        <w:rPr>
          <w:sz w:val="20"/>
          <w:szCs w:val="20"/>
          <w:color w:val="auto"/>
        </w:rPr>
      </w:pPr>
      <w:r>
        <w:rPr>
          <w:rFonts w:ascii="Arial" w:cs="Arial" w:eastAsia="Arial" w:hAnsi="Arial"/>
          <w:sz w:val="17"/>
          <w:szCs w:val="17"/>
          <w:color w:val="auto"/>
        </w:rPr>
        <w:t>The limited patient populations in orphan and niche indications present significant recruitment challenges for clinical trials. As an example of a rare childhood epilepsy disorder, the prevalence of Dravet Syndrome is estimated to be 7,500-15,000 patients in the U.S. It is estimated that the population of SCN8A epilepsy represents an even smaller subset amongst rare, childhood epilepsies when compared to Dravet Syndrome; however a full understanding of this population size is still unknown. Many of these patients may not be suitable or available for clinical trials. This means that we or our collaborators generally will have to run multi-site and potentially multi-national trials, which can be expensive and require close coordination and supervision. If we experience delays in completing our clinical trials, such delays could result in increased costs, delays in advancing our product development, delays in testing the effectiveness of our technology or termination of the clinical studies altogether.</w:t>
      </w:r>
    </w:p>
    <w:p>
      <w:pPr>
        <w:spacing w:after="0" w:line="286" w:lineRule="exact"/>
        <w:rPr>
          <w:sz w:val="20"/>
          <w:szCs w:val="20"/>
          <w:color w:val="auto"/>
        </w:rPr>
      </w:pPr>
    </w:p>
    <w:p>
      <w:pPr>
        <w:ind w:right="120" w:firstLine="259"/>
        <w:spacing w:after="0" w:line="277" w:lineRule="auto"/>
        <w:rPr>
          <w:sz w:val="20"/>
          <w:szCs w:val="20"/>
          <w:color w:val="auto"/>
        </w:rPr>
      </w:pPr>
      <w:r>
        <w:rPr>
          <w:rFonts w:ascii="Arial" w:cs="Arial" w:eastAsia="Arial" w:hAnsi="Arial"/>
          <w:sz w:val="18"/>
          <w:szCs w:val="18"/>
          <w:b w:val="1"/>
          <w:bCs w:val="1"/>
          <w:i w:val="1"/>
          <w:iCs w:val="1"/>
          <w:color w:val="auto"/>
        </w:rPr>
        <w:t>If we fail to obtain or maintain orphan drug designation or other regulatory exclusivity for some of our product candidates, our competitive position would be harmed.</w:t>
      </w:r>
    </w:p>
    <w:p>
      <w:pPr>
        <w:spacing w:after="0" w:line="62" w:lineRule="exact"/>
        <w:rPr>
          <w:sz w:val="20"/>
          <w:szCs w:val="20"/>
          <w:color w:val="auto"/>
        </w:rPr>
      </w:pPr>
    </w:p>
    <w:p>
      <w:pPr>
        <w:ind w:right="80" w:firstLine="518"/>
        <w:spacing w:after="0" w:line="273" w:lineRule="auto"/>
        <w:rPr>
          <w:sz w:val="20"/>
          <w:szCs w:val="20"/>
          <w:color w:val="auto"/>
        </w:rPr>
      </w:pPr>
      <w:r>
        <w:rPr>
          <w:rFonts w:ascii="Arial" w:cs="Arial" w:eastAsia="Arial" w:hAnsi="Arial"/>
          <w:sz w:val="17"/>
          <w:szCs w:val="17"/>
          <w:color w:val="auto"/>
        </w:rPr>
        <w:t>A product candidate that receives orphan drug designation can benefit from a streamlined regulatory process as well as potential commercial benefits following approval. Currently, this designation provides market exclusivity in the U.S. and the EU for seven years and ten years, respectively, if a product is the first such product approved for such orphan indication. This market exclusivity does not, however, pertain to indications other than those for which the drug was specifically designated in the approval, nor does it prevent other types of drugs from receiving orphan designations or approvals in these same indications. Further, even after an orphan drug is approved, the FDA can subsequently approve a drug with similar chemical structure for the same condition if the FDA concludes that the new drug is clinically superior to the orphan product or a market shortage occurs.</w:t>
      </w:r>
    </w:p>
    <w:p>
      <w:pPr>
        <w:spacing w:after="0" w:line="200" w:lineRule="exact"/>
        <w:rPr>
          <w:sz w:val="20"/>
          <w:szCs w:val="20"/>
          <w:color w:val="auto"/>
        </w:rPr>
      </w:pPr>
    </w:p>
    <w:p>
      <w:pPr>
        <w:spacing w:after="0" w:line="22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355" w:right="299" w:bottom="1440" w:gutter="0" w:footer="0" w:header="0"/>
        </w:sectPr>
      </w:pPr>
    </w:p>
    <w:bookmarkStart w:id="34" w:name="page35"/>
    <w:bookmarkEnd w:id="34"/>
    <w:p>
      <w:pPr>
        <w:ind w:right="40" w:firstLine="518"/>
        <w:spacing w:after="0" w:line="272" w:lineRule="auto"/>
        <w:rPr>
          <w:sz w:val="20"/>
          <w:szCs w:val="20"/>
          <w:color w:val="auto"/>
        </w:rPr>
      </w:pPr>
      <w:r>
        <w:rPr>
          <w:rFonts w:ascii="Arial" w:cs="Arial" w:eastAsia="Arial" w:hAnsi="Arial"/>
          <w:sz w:val="17"/>
          <w:szCs w:val="17"/>
          <w:color w:val="auto"/>
        </w:rPr>
        <w:t>In the EU, orphan exclusivity may be reduced to six years if the drug no longer satisfies the original designation criteria or can be lost altogether if the marketing authorization holder consents to a second orphan drug application or cannot supply enough drug, or when a second applicant demonstrates its drug is “clinically superior” to the original orphan drug. TV-45070 has received both fast track and orphan drug designations for the treatment of erythromelalgia, or EM, from the FDA, and flunarizine, a drug we are evaluating internally for the potential treatment of hemiplegic migraine, has received orphan drug designation from the FDA. If we seek orphan drug designations for other indications or in other jurisdictions, such as for TV-45070 in the EU, we may fail to receive such orphan drug designations and, even if we succeed, such orphan drug designations may fail to result in or maintain orphan drug exclusivity upon approval, which would harm our competitive position.</w:t>
      </w:r>
    </w:p>
    <w:p>
      <w:pPr>
        <w:spacing w:after="0" w:line="286"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Results of earlier clinical trials may not be predictive of the results of later-stage clinical trials.</w:t>
      </w:r>
    </w:p>
    <w:p>
      <w:pPr>
        <w:spacing w:after="0" w:line="117" w:lineRule="exact"/>
        <w:rPr>
          <w:sz w:val="20"/>
          <w:szCs w:val="20"/>
          <w:color w:val="auto"/>
        </w:rPr>
      </w:pPr>
    </w:p>
    <w:p>
      <w:pPr>
        <w:ind w:firstLine="518"/>
        <w:spacing w:after="0" w:line="270" w:lineRule="auto"/>
        <w:rPr>
          <w:sz w:val="20"/>
          <w:szCs w:val="20"/>
          <w:color w:val="auto"/>
        </w:rPr>
      </w:pPr>
      <w:r>
        <w:rPr>
          <w:rFonts w:ascii="Arial" w:cs="Arial" w:eastAsia="Arial" w:hAnsi="Arial"/>
          <w:sz w:val="17"/>
          <w:szCs w:val="17"/>
          <w:color w:val="auto"/>
        </w:rPr>
        <w:t>The results of preclinical studies and early clinical trials of our product candidates may not be predictive of the results of later-stage clinical trials. Interpretation of results from early, usually smaller, studies that suggest a clinically meaningful response in some patients, requires caution. Results from later stages of clinical trials enrolling more patients may fail to show the desired safety and efficacy results or otherwise fail to be consistent with the results of earlier trials of the same product candidates. Later clinical trial results may not replicate earlier clinical trials for a variety of reasons, including differences in trial design, different trial endpoints (or lack of trial endpoints in exploratory studies), patient population, number of patients, patient selection criteria, trial duration, drug dosage and formulation and lack of statistical power in the earlier studies. These uncertainties are enhanced where the diseases under study lack established clinical endpoints and validated measures of efficacy, as is often the case with orphan diseases for which no drugs have been developed previously. For example, our results for two small exploratory clinical trials for primary EM pain, one using a topical formulation and the other an oral formulation of TV-45070, used novel measures of efficacy assessment. While these studies provided promising results, further larger clinical trials would be necessary to confirm and extend these observations.</w:t>
      </w:r>
    </w:p>
    <w:p>
      <w:pPr>
        <w:spacing w:after="0" w:line="286"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Changes in methods of product candidate manufacturing or formulation may result in additional costs or delay.</w:t>
      </w:r>
    </w:p>
    <w:p>
      <w:pPr>
        <w:spacing w:after="0" w:line="117" w:lineRule="exact"/>
        <w:rPr>
          <w:sz w:val="20"/>
          <w:szCs w:val="20"/>
          <w:color w:val="auto"/>
        </w:rPr>
      </w:pPr>
    </w:p>
    <w:p>
      <w:pPr>
        <w:ind w:firstLine="518"/>
        <w:spacing w:after="0" w:line="273" w:lineRule="auto"/>
        <w:rPr>
          <w:sz w:val="20"/>
          <w:szCs w:val="20"/>
          <w:color w:val="auto"/>
        </w:rPr>
      </w:pPr>
      <w:r>
        <w:rPr>
          <w:rFonts w:ascii="Arial" w:cs="Arial" w:eastAsia="Arial" w:hAnsi="Arial"/>
          <w:sz w:val="17"/>
          <w:szCs w:val="17"/>
          <w:color w:val="auto"/>
        </w:rPr>
        <w:t>As product candidates are developed through preclinical to late stage clinical trials towards approval and commercialization, it is common that various aspects of the development program, such as manufacturing methods and formulation, are altered along the way in an effort to optimize processes and results. Such changes carry the risk that they will not achieve these intended objectives. Any of these changes could cause our product candidates to perform differently and affect the results of planned clinical trials or other future clinical trials conducted with the altered materials. This could delay completion of clinical trials, require the conduct of bridging clinical trials or the repetition of one or more clinical trials, increase clinical trial costs, delay approval of our product candidates and/or jeopardize our or our collaborators’ ability to commence product sales and generate revenue.</w:t>
      </w:r>
    </w:p>
    <w:p>
      <w:pPr>
        <w:spacing w:after="0" w:line="287" w:lineRule="exact"/>
        <w:rPr>
          <w:sz w:val="20"/>
          <w:szCs w:val="20"/>
          <w:color w:val="auto"/>
        </w:rPr>
      </w:pPr>
    </w:p>
    <w:p>
      <w:pPr>
        <w:ind w:right="120" w:firstLine="259"/>
        <w:spacing w:after="0" w:line="277" w:lineRule="auto"/>
        <w:rPr>
          <w:sz w:val="20"/>
          <w:szCs w:val="20"/>
          <w:color w:val="auto"/>
        </w:rPr>
      </w:pPr>
      <w:r>
        <w:rPr>
          <w:rFonts w:ascii="Arial" w:cs="Arial" w:eastAsia="Arial" w:hAnsi="Arial"/>
          <w:sz w:val="18"/>
          <w:szCs w:val="18"/>
          <w:b w:val="1"/>
          <w:bCs w:val="1"/>
          <w:i w:val="1"/>
          <w:iCs w:val="1"/>
          <w:color w:val="auto"/>
        </w:rPr>
        <w:t>Even if we obtain and maintain approval for our product candidates from one jurisdiction, we may never obtain approval for our product candidates in other jurisdictions, which would limit our market opportunities and adversely affect our business.</w:t>
      </w:r>
    </w:p>
    <w:p>
      <w:pPr>
        <w:spacing w:after="0" w:line="62" w:lineRule="exact"/>
        <w:rPr>
          <w:sz w:val="20"/>
          <w:szCs w:val="20"/>
          <w:color w:val="auto"/>
        </w:rPr>
      </w:pPr>
    </w:p>
    <w:p>
      <w:pPr>
        <w:ind w:right="20" w:firstLine="518"/>
        <w:spacing w:after="0" w:line="270" w:lineRule="auto"/>
        <w:rPr>
          <w:sz w:val="20"/>
          <w:szCs w:val="20"/>
          <w:color w:val="auto"/>
        </w:rPr>
      </w:pPr>
      <w:r>
        <w:rPr>
          <w:rFonts w:ascii="Arial" w:cs="Arial" w:eastAsia="Arial" w:hAnsi="Arial"/>
          <w:sz w:val="17"/>
          <w:szCs w:val="17"/>
          <w:color w:val="auto"/>
        </w:rPr>
        <w:t>Sales of our approved products are, and will be, subject to U.S. and foreign regulatory requirements governing clinical trials and marketing approval, and we plan to seek regulatory approval to commercialize our product candidates in North America, the EU and in additional foreign countries. Clinical trials conducted in one country may not be accepted by regulatory authorities in other countries and regulatory approval in one country does not ensure approval in any other country, while a failure or delay in obtaining regulatory approval in one country may have a negative effect on the regulatory approval process in others. For example, approval in the U.S. by the FDA does not ensure approval by regulatory authorities in other countries or jurisdictions, and approval by one foreign regulatory authority does not ensure approval by regulatory authorities in other countries. Approval procedures vary among jurisdictions and can be lengthy and expensive, and involve requirements and administrative review periods different from, and greater than, those in the U.S., including additional preclinical studies or clinical trials. Even if our product candidates are approved, regulatory approval for any product may be withdrawn by the regulatory authorities in a particular jurisdiction.</w:t>
      </w:r>
    </w:p>
    <w:p>
      <w:pPr>
        <w:spacing w:after="0" w:line="182" w:lineRule="exact"/>
        <w:rPr>
          <w:sz w:val="20"/>
          <w:szCs w:val="20"/>
          <w:color w:val="auto"/>
        </w:rPr>
      </w:pPr>
    </w:p>
    <w:p>
      <w:pPr>
        <w:ind w:right="100" w:firstLine="518"/>
        <w:spacing w:after="0" w:line="259" w:lineRule="auto"/>
        <w:rPr>
          <w:sz w:val="20"/>
          <w:szCs w:val="20"/>
          <w:color w:val="auto"/>
        </w:rPr>
      </w:pPr>
      <w:r>
        <w:rPr>
          <w:rFonts w:ascii="Arial" w:cs="Arial" w:eastAsia="Arial" w:hAnsi="Arial"/>
          <w:sz w:val="18"/>
          <w:szCs w:val="18"/>
          <w:color w:val="auto"/>
        </w:rPr>
        <w:t>Even if a product is approved, the FDA or the EMA, as the case may be, may limit the indications for which the product may be marketed, require extensive warnings on the product labeling or require expensive and time-consuming clinical trials or reporting as conditions of approval. In many countries outside the U.S., a product candidate must be approved for reimbursement before it can be approved for sale in that country. In some cases, the price that we intend to charge for a product is also subject to approval.</w:t>
      </w:r>
    </w:p>
    <w:p>
      <w:pPr>
        <w:spacing w:after="0" w:line="187" w:lineRule="exact"/>
        <w:rPr>
          <w:sz w:val="20"/>
          <w:szCs w:val="20"/>
          <w:color w:val="auto"/>
        </w:rPr>
      </w:pPr>
    </w:p>
    <w:p>
      <w:pPr>
        <w:ind w:right="140" w:firstLine="518"/>
        <w:spacing w:after="0" w:line="259" w:lineRule="auto"/>
        <w:rPr>
          <w:sz w:val="20"/>
          <w:szCs w:val="20"/>
          <w:color w:val="auto"/>
        </w:rPr>
      </w:pPr>
      <w:r>
        <w:rPr>
          <w:rFonts w:ascii="Arial" w:cs="Arial" w:eastAsia="Arial" w:hAnsi="Arial"/>
          <w:sz w:val="18"/>
          <w:szCs w:val="18"/>
          <w:color w:val="auto"/>
        </w:rPr>
        <w:t>Regulatory authorities in countries outside of the U.S. and the EMA also have their own requirements for approval of product candidates with which we must comply prior to marketing in those countries. Obtaining foreign regulatory approvals and compliance with such foreign regulatory requirements could result in significant delays, difficulties and costs for us and could delay or prevent the introduction of our current and any future products, in certain countries.</w:t>
      </w:r>
    </w:p>
    <w:p>
      <w:pPr>
        <w:spacing w:after="0" w:line="200" w:lineRule="exact"/>
        <w:rPr>
          <w:sz w:val="20"/>
          <w:szCs w:val="20"/>
          <w:color w:val="auto"/>
        </w:rPr>
      </w:pPr>
    </w:p>
    <w:p>
      <w:pPr>
        <w:spacing w:after="0" w:line="2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355" w:right="279" w:bottom="1440" w:gutter="0" w:footer="0" w:header="0"/>
        </w:sectPr>
      </w:pPr>
    </w:p>
    <w:bookmarkStart w:id="35" w:name="page36"/>
    <w:bookmarkEnd w:id="35"/>
    <w:p>
      <w:pPr>
        <w:ind w:right="340" w:firstLine="518"/>
        <w:spacing w:after="0" w:line="342" w:lineRule="auto"/>
        <w:rPr>
          <w:sz w:val="20"/>
          <w:szCs w:val="20"/>
          <w:color w:val="auto"/>
        </w:rPr>
      </w:pPr>
      <w:r>
        <w:rPr>
          <w:rFonts w:ascii="Arial" w:cs="Arial" w:eastAsia="Arial" w:hAnsi="Arial"/>
          <w:sz w:val="16"/>
          <w:szCs w:val="16"/>
          <w:color w:val="auto"/>
        </w:rPr>
        <w:t>If we fail to receive applicable marketing approvals or comply with the regulatory requirements in international markets, our target market will be reduced and our ability to realize the full market potential of our product candidates will be harmed and our business will be adversely affected.</w:t>
      </w:r>
    </w:p>
    <w:p>
      <w:pPr>
        <w:spacing w:after="0" w:line="232" w:lineRule="exact"/>
        <w:rPr>
          <w:sz w:val="20"/>
          <w:szCs w:val="20"/>
          <w:color w:val="auto"/>
        </w:rPr>
      </w:pPr>
    </w:p>
    <w:p>
      <w:pPr>
        <w:ind w:right="340" w:firstLine="259"/>
        <w:spacing w:after="0" w:line="264" w:lineRule="auto"/>
        <w:rPr>
          <w:sz w:val="20"/>
          <w:szCs w:val="20"/>
          <w:color w:val="auto"/>
        </w:rPr>
      </w:pPr>
      <w:r>
        <w:rPr>
          <w:rFonts w:ascii="Arial" w:cs="Arial" w:eastAsia="Arial" w:hAnsi="Arial"/>
          <w:sz w:val="18"/>
          <w:szCs w:val="18"/>
          <w:b w:val="1"/>
          <w:bCs w:val="1"/>
          <w:i w:val="1"/>
          <w:iCs w:val="1"/>
          <w:color w:val="auto"/>
        </w:rPr>
        <w:t>We work with outside scientists and their institutions in executing our business strategy of developing product candidates using our discovery platform. These scientists may have other commitments or conflicts of interest, which could limit our access to their expertise and harm our ability to leverage our discovery platform.</w:t>
      </w:r>
    </w:p>
    <w:p>
      <w:pPr>
        <w:spacing w:after="0" w:line="73" w:lineRule="exact"/>
        <w:rPr>
          <w:sz w:val="20"/>
          <w:szCs w:val="20"/>
          <w:color w:val="auto"/>
        </w:rPr>
      </w:pPr>
    </w:p>
    <w:p>
      <w:pPr>
        <w:ind w:right="500" w:firstLine="518"/>
        <w:spacing w:after="0" w:line="277" w:lineRule="auto"/>
        <w:rPr>
          <w:sz w:val="20"/>
          <w:szCs w:val="20"/>
          <w:color w:val="auto"/>
        </w:rPr>
      </w:pPr>
      <w:r>
        <w:rPr>
          <w:rFonts w:ascii="Arial" w:cs="Arial" w:eastAsia="Arial" w:hAnsi="Arial"/>
          <w:sz w:val="18"/>
          <w:szCs w:val="18"/>
          <w:color w:val="auto"/>
        </w:rPr>
        <w:t>We work with scientific advisors and collaborators at academic research institutions in connection with our discovery platform. These scientific advisors serve as our link to the various families with extreme phenotypes in that these advisors may:</w:t>
      </w:r>
    </w:p>
    <w:p>
      <w:pPr>
        <w:spacing w:after="0" w:line="62" w:lineRule="exact"/>
        <w:rPr>
          <w:sz w:val="20"/>
          <w:szCs w:val="20"/>
          <w:color w:val="auto"/>
        </w:rPr>
      </w:pPr>
    </w:p>
    <w:p>
      <w:pPr>
        <w:ind w:left="1040" w:hanging="519"/>
        <w:spacing w:after="0"/>
        <w:tabs>
          <w:tab w:leader="none" w:pos="10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identify families as potential candidates for study;</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obtain their consent to participate in our research;</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perform medical examinations and gather medical histories;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conduct the initial analysis of suitability of the families to participate in our research based on the foregoing;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collect data and biological samples from the family members periodically in accordance with our study protocols.</w:t>
      </w:r>
    </w:p>
    <w:p>
      <w:pPr>
        <w:spacing w:after="0" w:line="225" w:lineRule="exact"/>
        <w:rPr>
          <w:sz w:val="20"/>
          <w:szCs w:val="20"/>
          <w:color w:val="auto"/>
        </w:rPr>
      </w:pPr>
    </w:p>
    <w:p>
      <w:pPr>
        <w:ind w:right="120" w:firstLine="518"/>
        <w:spacing w:after="0" w:line="255" w:lineRule="auto"/>
        <w:rPr>
          <w:sz w:val="20"/>
          <w:szCs w:val="20"/>
          <w:color w:val="auto"/>
        </w:rPr>
      </w:pPr>
      <w:r>
        <w:rPr>
          <w:rFonts w:ascii="Arial" w:cs="Arial" w:eastAsia="Arial" w:hAnsi="Arial"/>
          <w:sz w:val="18"/>
          <w:szCs w:val="18"/>
          <w:color w:val="auto"/>
        </w:rPr>
        <w:t>These scientists and collaborators are not our employees, rather they serve as either independent contractors or the primary investigators under research collaboration agreements that we have with their sponsoring academic or research institution. Such scientists and collaborators may have other commitments that would limit their availability to us. Although our scientific advisors generally agree not to do competing work, if an actual or potential conflict of interest between their work for us and their work for another entity arises, we may lose their services. It is also possible that some of our valuable proprietary knowledge may become publicly known through these scientific advisors if they breach their confidentiality agreements with us, which would cause competitive harm to our business.</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Commercialization</w:t>
      </w:r>
    </w:p>
    <w:p>
      <w:pPr>
        <w:spacing w:after="0" w:line="121" w:lineRule="exact"/>
        <w:rPr>
          <w:sz w:val="20"/>
          <w:szCs w:val="20"/>
          <w:color w:val="auto"/>
        </w:rPr>
      </w:pPr>
    </w:p>
    <w:p>
      <w:pPr>
        <w:ind w:right="100" w:firstLine="259"/>
        <w:spacing w:after="0" w:line="277" w:lineRule="auto"/>
        <w:rPr>
          <w:sz w:val="20"/>
          <w:szCs w:val="20"/>
          <w:color w:val="auto"/>
        </w:rPr>
      </w:pPr>
      <w:r>
        <w:rPr>
          <w:rFonts w:ascii="Arial" w:cs="Arial" w:eastAsia="Arial" w:hAnsi="Arial"/>
          <w:sz w:val="18"/>
          <w:szCs w:val="18"/>
          <w:b w:val="1"/>
          <w:bCs w:val="1"/>
          <w:i w:val="1"/>
          <w:iCs w:val="1"/>
          <w:color w:val="auto"/>
        </w:rPr>
        <w:t>If, in the future, we are unable to establish our own sales, marketing and distribution capabilities or enter into licensing or collaboration agreements for these purposes, we may not be successful in independently commercializing any future products.</w:t>
      </w:r>
    </w:p>
    <w:p>
      <w:pPr>
        <w:spacing w:after="0" w:line="62" w:lineRule="exact"/>
        <w:rPr>
          <w:sz w:val="20"/>
          <w:szCs w:val="20"/>
          <w:color w:val="auto"/>
        </w:rPr>
      </w:pPr>
    </w:p>
    <w:p>
      <w:pPr>
        <w:ind w:right="240" w:firstLine="518"/>
        <w:spacing w:after="0" w:line="259" w:lineRule="auto"/>
        <w:rPr>
          <w:sz w:val="20"/>
          <w:szCs w:val="20"/>
          <w:color w:val="auto"/>
        </w:rPr>
      </w:pPr>
      <w:r>
        <w:rPr>
          <w:rFonts w:ascii="Arial" w:cs="Arial" w:eastAsia="Arial" w:hAnsi="Arial"/>
          <w:sz w:val="18"/>
          <w:szCs w:val="18"/>
          <w:color w:val="auto"/>
        </w:rPr>
        <w:t>We do not have a sales or marketing infrastructure and, as a company, have no sales, marketing or distribution experience. Our strategy involves, in part, building our own commercial infrastructure to selectively commercialize future products in niche or orphan indications. Where we believe such involvement would advance our business, we seek to retain the right to participate in the future development and commercialization of such products. For example, we have a co-promotion option for TV-45070 with Teva in the U.S.</w:t>
      </w:r>
    </w:p>
    <w:p>
      <w:pPr>
        <w:spacing w:after="0" w:line="187" w:lineRule="exact"/>
        <w:rPr>
          <w:sz w:val="20"/>
          <w:szCs w:val="20"/>
          <w:color w:val="auto"/>
        </w:rPr>
      </w:pPr>
    </w:p>
    <w:p>
      <w:pPr>
        <w:jc w:val="both"/>
        <w:ind w:right="140" w:firstLine="518"/>
        <w:spacing w:after="0" w:line="312" w:lineRule="auto"/>
        <w:rPr>
          <w:sz w:val="20"/>
          <w:szCs w:val="20"/>
          <w:color w:val="auto"/>
        </w:rPr>
      </w:pPr>
      <w:r>
        <w:rPr>
          <w:rFonts w:ascii="Arial" w:cs="Arial" w:eastAsia="Arial" w:hAnsi="Arial"/>
          <w:sz w:val="16"/>
          <w:szCs w:val="16"/>
          <w:color w:val="auto"/>
        </w:rPr>
        <w:t>To develop internal sales, distribution and marketing capabilities, we will have to invest significant amounts of financial and management resources, some of which will need to be committed prior to any confirmation that any of our proprietary product candidates will be approved. For any future products for which we decide to perform sales, marketing and distribution functions ourselves, we could face a number of additional risks, including:</w:t>
      </w:r>
    </w:p>
    <w:p>
      <w:pPr>
        <w:spacing w:after="0" w:line="39" w:lineRule="exact"/>
        <w:rPr>
          <w:sz w:val="20"/>
          <w:szCs w:val="20"/>
          <w:color w:val="auto"/>
        </w:rPr>
      </w:pPr>
    </w:p>
    <w:p>
      <w:pPr>
        <w:ind w:left="1040" w:hanging="519"/>
        <w:spacing w:after="0"/>
        <w:tabs>
          <w:tab w:leader="none" w:pos="1040" w:val="left"/>
        </w:tabs>
        <w:numPr>
          <w:ilvl w:val="0"/>
          <w:numId w:val="33"/>
        </w:numPr>
        <w:rPr>
          <w:rFonts w:ascii="Arial" w:cs="Arial" w:eastAsia="Arial" w:hAnsi="Arial"/>
          <w:sz w:val="17"/>
          <w:szCs w:val="17"/>
          <w:color w:val="auto"/>
        </w:rPr>
      </w:pPr>
      <w:r>
        <w:rPr>
          <w:rFonts w:ascii="Arial" w:cs="Arial" w:eastAsia="Arial" w:hAnsi="Arial"/>
          <w:sz w:val="17"/>
          <w:szCs w:val="17"/>
          <w:color w:val="auto"/>
        </w:rPr>
        <w:t>our inability to recruit and retain adequate numbers of effective sales and marketing personnel or develop alternative sales channels;</w:t>
      </w:r>
    </w:p>
    <w:p>
      <w:pPr>
        <w:spacing w:after="0" w:line="128" w:lineRule="exact"/>
        <w:rPr>
          <w:rFonts w:ascii="Arial" w:cs="Arial" w:eastAsia="Arial" w:hAnsi="Arial"/>
          <w:sz w:val="17"/>
          <w:szCs w:val="17"/>
          <w:color w:val="auto"/>
        </w:rPr>
      </w:pPr>
    </w:p>
    <w:p>
      <w:pPr>
        <w:ind w:left="1040" w:hanging="519"/>
        <w:spacing w:after="0"/>
        <w:tabs>
          <w:tab w:leader="none" w:pos="1040" w:val="left"/>
        </w:tabs>
        <w:numPr>
          <w:ilvl w:val="0"/>
          <w:numId w:val="33"/>
        </w:numPr>
        <w:rPr>
          <w:rFonts w:ascii="Arial" w:cs="Arial" w:eastAsia="Arial" w:hAnsi="Arial"/>
          <w:sz w:val="16"/>
          <w:szCs w:val="16"/>
          <w:color w:val="auto"/>
        </w:rPr>
      </w:pPr>
      <w:r>
        <w:rPr>
          <w:rFonts w:ascii="Arial" w:cs="Arial" w:eastAsia="Arial" w:hAnsi="Arial"/>
          <w:sz w:val="16"/>
          <w:szCs w:val="16"/>
          <w:color w:val="auto"/>
        </w:rPr>
        <w:t>the inability of sales personnel to obtain access to physicians or persuade adequate numbers of physicians to prescribe any future products;</w:t>
      </w:r>
    </w:p>
    <w:p>
      <w:pPr>
        <w:spacing w:after="0" w:line="140" w:lineRule="exact"/>
        <w:rPr>
          <w:rFonts w:ascii="Arial" w:cs="Arial" w:eastAsia="Arial" w:hAnsi="Arial"/>
          <w:sz w:val="16"/>
          <w:szCs w:val="16"/>
          <w:color w:val="auto"/>
        </w:rPr>
      </w:pPr>
    </w:p>
    <w:p>
      <w:pPr>
        <w:ind w:left="1040" w:right="300" w:hanging="519"/>
        <w:spacing w:after="0" w:line="277" w:lineRule="auto"/>
        <w:tabs>
          <w:tab w:leader="none" w:pos="10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lack of complementary products to be offered by sales personnel, which may put us at a competitive disadvantage relative to companies with more extensive product lines; and</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unforeseen costs and expenses associated with creating and maintaining an independent sales and marketing organization.</w:t>
      </w:r>
    </w:p>
    <w:p>
      <w:pPr>
        <w:spacing w:after="0" w:line="225" w:lineRule="exact"/>
        <w:rPr>
          <w:sz w:val="20"/>
          <w:szCs w:val="20"/>
          <w:color w:val="auto"/>
        </w:rPr>
      </w:pPr>
    </w:p>
    <w:p>
      <w:pPr>
        <w:ind w:firstLine="518"/>
        <w:spacing w:after="0" w:line="273" w:lineRule="auto"/>
        <w:rPr>
          <w:sz w:val="20"/>
          <w:szCs w:val="20"/>
          <w:color w:val="auto"/>
        </w:rPr>
      </w:pPr>
      <w:r>
        <w:rPr>
          <w:rFonts w:ascii="Arial" w:cs="Arial" w:eastAsia="Arial" w:hAnsi="Arial"/>
          <w:sz w:val="17"/>
          <w:szCs w:val="17"/>
          <w:color w:val="auto"/>
        </w:rPr>
        <w:t>Where and when appropriate, we may elect to utilize contract sales forces or distribution partners to assist in the commercialization of our product candidates. If we enter into arrangements with third parties to perform sales, marketing and distribution services for a product, the resulting revenue or the profitability from this revenue to us is likely to be lower than if we had sold, marketed and distributed that product ourselves. In addition, we may not be successful in entering into arrangements with third parties to sell, market, and distribute our product candidates or may be unable to do so on terms that are favorable to us. We likely will have little control over such third parties, and any of these third parties may fail to devote the necessary resources and attention to sell, market, and distribute our current or any future products effectively.</w:t>
      </w:r>
    </w:p>
    <w:p>
      <w:pPr>
        <w:spacing w:after="0" w:line="200" w:lineRule="exact"/>
        <w:rPr>
          <w:sz w:val="20"/>
          <w:szCs w:val="20"/>
          <w:color w:val="auto"/>
        </w:rPr>
      </w:pPr>
    </w:p>
    <w:p>
      <w:pPr>
        <w:spacing w:after="0" w:line="22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355" w:right="279" w:bottom="1440" w:gutter="0" w:footer="0" w:header="0"/>
        </w:sectPr>
      </w:pPr>
    </w:p>
    <w:bookmarkStart w:id="36" w:name="page37"/>
    <w:bookmarkEnd w:id="36"/>
    <w:p>
      <w:pPr>
        <w:ind w:right="280" w:firstLine="259"/>
        <w:spacing w:after="0" w:line="277" w:lineRule="auto"/>
        <w:rPr>
          <w:sz w:val="20"/>
          <w:szCs w:val="20"/>
          <w:color w:val="auto"/>
        </w:rPr>
      </w:pPr>
      <w:r>
        <w:rPr>
          <w:rFonts w:ascii="Arial" w:cs="Arial" w:eastAsia="Arial" w:hAnsi="Arial"/>
          <w:sz w:val="18"/>
          <w:szCs w:val="18"/>
          <w:b w:val="1"/>
          <w:bCs w:val="1"/>
          <w:i w:val="1"/>
          <w:iCs w:val="1"/>
          <w:color w:val="auto"/>
        </w:rPr>
        <w:t>Even if we receive regulatory approval to commercialize any of the product candidates that we develop independently, we will be subject to ongoing regulatory obligations and continued regulatory review, which may result in significant additional expense.</w:t>
      </w:r>
    </w:p>
    <w:p>
      <w:pPr>
        <w:spacing w:after="0" w:line="62" w:lineRule="exact"/>
        <w:rPr>
          <w:sz w:val="20"/>
          <w:szCs w:val="20"/>
          <w:color w:val="auto"/>
        </w:rPr>
      </w:pPr>
    </w:p>
    <w:p>
      <w:pPr>
        <w:ind w:firstLine="518"/>
        <w:spacing w:after="0" w:line="264" w:lineRule="auto"/>
        <w:rPr>
          <w:sz w:val="20"/>
          <w:szCs w:val="20"/>
          <w:color w:val="auto"/>
        </w:rPr>
      </w:pPr>
      <w:r>
        <w:rPr>
          <w:rFonts w:ascii="Arial" w:cs="Arial" w:eastAsia="Arial" w:hAnsi="Arial"/>
          <w:sz w:val="18"/>
          <w:szCs w:val="18"/>
          <w:color w:val="auto"/>
        </w:rPr>
        <w:t>Any regulatory approvals that we receive for our product candidates we commercialize will be subject to limitations on the approved indicated uses for which the product may be marketed or subject to certain conditions of approval, and may contain requirements for potentially costly post-approval trials, including Phase 4 clinical trials, and surveillance to monitor the safety and efficacy of the marketed product.</w:t>
      </w:r>
    </w:p>
    <w:p>
      <w:pPr>
        <w:spacing w:after="0" w:line="181" w:lineRule="exact"/>
        <w:rPr>
          <w:sz w:val="20"/>
          <w:szCs w:val="20"/>
          <w:color w:val="auto"/>
        </w:rPr>
      </w:pPr>
    </w:p>
    <w:p>
      <w:pPr>
        <w:ind w:right="20" w:firstLine="518"/>
        <w:spacing w:after="0" w:line="273" w:lineRule="auto"/>
        <w:rPr>
          <w:sz w:val="20"/>
          <w:szCs w:val="20"/>
          <w:color w:val="auto"/>
        </w:rPr>
      </w:pPr>
      <w:r>
        <w:rPr>
          <w:rFonts w:ascii="Arial" w:cs="Arial" w:eastAsia="Arial" w:hAnsi="Arial"/>
          <w:sz w:val="17"/>
          <w:szCs w:val="17"/>
          <w:color w:val="auto"/>
        </w:rPr>
        <w:t>For any approved product, we will need to ensure continued compliance with extensive regulations and requirements regarding the manufacturing processes, labeling, packaging, distribution, adverse event reporting, storage, advertising, promotion and recordkeeping for the product. These requirements include submissions of safety and other post-approval information and reports, as well as continued compliance with current good manufacturing practices, or cGMP, and current good clinical practices, or cGCP, for any clinical trials that we or our collaborators conduct post-approval. Later discovery of previously unknown problems with a product, including adverse events of unanticipated severity or frequency, or with third-party manufacturers or manufacturing processes, or failure to comply with regulatory requirements, may result in, among other things:</w:t>
      </w:r>
    </w:p>
    <w:p>
      <w:pPr>
        <w:spacing w:after="0" w:line="70" w:lineRule="exact"/>
        <w:rPr>
          <w:sz w:val="20"/>
          <w:szCs w:val="20"/>
          <w:color w:val="auto"/>
        </w:rPr>
      </w:pPr>
    </w:p>
    <w:p>
      <w:pPr>
        <w:ind w:left="1040" w:right="280" w:hanging="519"/>
        <w:spacing w:after="0" w:line="277" w:lineRule="auto"/>
        <w:tabs>
          <w:tab w:leader="none" w:pos="10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restrictions on the marketing or manufacturing of the product, withdrawal of the product from the market or voluntary or mandatory product recalls;</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fines, warning letters or holds on any post-approval clinical trials;</w:t>
      </w:r>
    </w:p>
    <w:p>
      <w:pPr>
        <w:spacing w:after="0" w:line="117" w:lineRule="exact"/>
        <w:rPr>
          <w:rFonts w:ascii="Arial" w:cs="Arial" w:eastAsia="Arial" w:hAnsi="Arial"/>
          <w:sz w:val="18"/>
          <w:szCs w:val="18"/>
          <w:color w:val="auto"/>
        </w:rPr>
      </w:pPr>
    </w:p>
    <w:p>
      <w:pPr>
        <w:ind w:left="1040" w:right="160" w:hanging="519"/>
        <w:spacing w:after="0" w:line="277" w:lineRule="auto"/>
        <w:tabs>
          <w:tab w:leader="none" w:pos="10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refusal by the FDA, EMA or another applicable regulatory authority to approve pending applications or supplements to approved applications filed by us or our collaborators, or suspension or revocation of product license approvals;</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product seizure or detention, or refusal to permit the import or export of products;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injunctions or the imposition of civil or criminal penalties.</w:t>
      </w:r>
    </w:p>
    <w:p>
      <w:pPr>
        <w:spacing w:after="0" w:line="22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Occurrence of any of the foregoing could have a material and adverse effect on our business and results of operations.</w:t>
      </w:r>
    </w:p>
    <w:p>
      <w:pPr>
        <w:spacing w:after="0" w:line="333" w:lineRule="exact"/>
        <w:rPr>
          <w:sz w:val="20"/>
          <w:szCs w:val="20"/>
          <w:color w:val="auto"/>
        </w:rPr>
      </w:pPr>
    </w:p>
    <w:p>
      <w:pPr>
        <w:ind w:right="240" w:firstLine="259"/>
        <w:spacing w:after="0" w:line="277" w:lineRule="auto"/>
        <w:rPr>
          <w:sz w:val="20"/>
          <w:szCs w:val="20"/>
          <w:color w:val="auto"/>
        </w:rPr>
      </w:pPr>
      <w:r>
        <w:rPr>
          <w:rFonts w:ascii="Arial" w:cs="Arial" w:eastAsia="Arial" w:hAnsi="Arial"/>
          <w:sz w:val="18"/>
          <w:szCs w:val="18"/>
          <w:b w:val="1"/>
          <w:bCs w:val="1"/>
          <w:i w:val="1"/>
          <w:iCs w:val="1"/>
          <w:color w:val="auto"/>
        </w:rPr>
        <w:t>If the market opportunities for any product that we or our collaborators develop are smaller than we believe they are, our revenue may be adversely affected and our business may suffer.</w:t>
      </w:r>
    </w:p>
    <w:p>
      <w:pPr>
        <w:spacing w:after="0" w:line="62" w:lineRule="exact"/>
        <w:rPr>
          <w:sz w:val="20"/>
          <w:szCs w:val="20"/>
          <w:color w:val="auto"/>
        </w:rPr>
      </w:pPr>
    </w:p>
    <w:p>
      <w:pPr>
        <w:ind w:right="20" w:firstLine="518"/>
        <w:spacing w:after="0" w:line="276" w:lineRule="auto"/>
        <w:rPr>
          <w:sz w:val="20"/>
          <w:szCs w:val="20"/>
          <w:color w:val="auto"/>
        </w:rPr>
      </w:pPr>
      <w:r>
        <w:rPr>
          <w:rFonts w:ascii="Arial" w:cs="Arial" w:eastAsia="Arial" w:hAnsi="Arial"/>
          <w:sz w:val="17"/>
          <w:szCs w:val="17"/>
          <w:color w:val="auto"/>
        </w:rPr>
        <w:t>We intend to focus our independent product development on treatments for rare diseases. Our projections of both the number of people who have these diseases, as well as the subset of people with these diseases who have the potential to benefit from treatment with our product candidates, are based on estimates. Currently, most reported estimates of the prevalence of these diseases are based on studies of small subsets of the population in specific geographic areas, which are then extrapolated to estimate the prevalence of the diseases in the U.S. or elsewhere. If the prevalence of such diseases is smaller than we have projected, then, even if our products are approved, we may not be able to successfully commercialize them.</w:t>
      </w:r>
    </w:p>
    <w:p>
      <w:pPr>
        <w:spacing w:after="0" w:line="281" w:lineRule="exact"/>
        <w:rPr>
          <w:sz w:val="20"/>
          <w:szCs w:val="20"/>
          <w:color w:val="auto"/>
        </w:rPr>
      </w:pPr>
    </w:p>
    <w:p>
      <w:pPr>
        <w:ind w:right="40" w:firstLine="259"/>
        <w:spacing w:after="0" w:line="277" w:lineRule="auto"/>
        <w:rPr>
          <w:sz w:val="20"/>
          <w:szCs w:val="20"/>
          <w:color w:val="auto"/>
        </w:rPr>
      </w:pPr>
      <w:r>
        <w:rPr>
          <w:rFonts w:ascii="Arial" w:cs="Arial" w:eastAsia="Arial" w:hAnsi="Arial"/>
          <w:sz w:val="18"/>
          <w:szCs w:val="18"/>
          <w:b w:val="1"/>
          <w:bCs w:val="1"/>
          <w:i w:val="1"/>
          <w:iCs w:val="1"/>
          <w:color w:val="auto"/>
        </w:rPr>
        <w:t>Even if we or our collaborators receive approval to commercialize our products, unfavorable pricing regulations and challenging third-party coverage and reimbursement practices could harm our business.</w:t>
      </w:r>
    </w:p>
    <w:p>
      <w:pPr>
        <w:spacing w:after="0" w:line="62" w:lineRule="exact"/>
        <w:rPr>
          <w:sz w:val="20"/>
          <w:szCs w:val="20"/>
          <w:color w:val="auto"/>
        </w:rPr>
      </w:pPr>
    </w:p>
    <w:p>
      <w:pPr>
        <w:ind w:right="40" w:firstLine="518"/>
        <w:spacing w:after="0" w:line="288" w:lineRule="auto"/>
        <w:rPr>
          <w:sz w:val="20"/>
          <w:szCs w:val="20"/>
          <w:color w:val="auto"/>
        </w:rPr>
      </w:pPr>
      <w:r>
        <w:rPr>
          <w:rFonts w:ascii="Arial" w:cs="Arial" w:eastAsia="Arial" w:hAnsi="Arial"/>
          <w:sz w:val="16"/>
          <w:szCs w:val="16"/>
          <w:color w:val="auto"/>
        </w:rPr>
        <w:t>Our or any collaborators’ ability to commercialize any products successfully will depend, in part, on the extent to which coverage and reimbursement for these products and related treatments will be available from government healthcare programs, private health insurers, managed care plans, and other organizations. Government authorities and third-party payers, such as private health insurers and health maintenance organizations, decide which medications they will pay for and establish reimbursement levels. A primary trend in the U.S. healthcare industry is cost containment. Government authorities and third-party payers have attempted to control costs by limiting coverage and the amount of reimbursement for particular medications. Increasingly, third-party payers are requiring that drug companies provide them with predetermined discounts from list prices and are challenging the prices charged for medical products. We cannot be sure that coverage and reimbursement will be available for any product that we or any collaborator commercialize and, if reimbursement is available, the level of reimbursement. In addition, coverage and reimbursement may impact the demand for, or the price of, any product candidate for which we or a collaborator obtains marketing approval. If coverage and reimbursement are not available or reimbursement is available only to limited levels, we or our collaborators may not be able to successfully commercialize any product candidate for which marketing approval is obtained.</w:t>
      </w: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63" w:right="239" w:bottom="1440" w:gutter="0" w:footer="0" w:header="0"/>
        </w:sectPr>
      </w:pPr>
    </w:p>
    <w:bookmarkStart w:id="37" w:name="page38"/>
    <w:bookmarkEnd w:id="37"/>
    <w:p>
      <w:pPr>
        <w:ind w:firstLine="518"/>
        <w:spacing w:after="0" w:line="269" w:lineRule="auto"/>
        <w:rPr>
          <w:sz w:val="20"/>
          <w:szCs w:val="20"/>
          <w:color w:val="auto"/>
        </w:rPr>
      </w:pPr>
      <w:r>
        <w:rPr>
          <w:rFonts w:ascii="Arial" w:cs="Arial" w:eastAsia="Arial" w:hAnsi="Arial"/>
          <w:sz w:val="17"/>
          <w:szCs w:val="17"/>
          <w:color w:val="auto"/>
        </w:rPr>
        <w:t>There may be significant delays in obtaining coverage and reimbursement for newly approved drugs, and coverage may be more limited than the purposes for which the drug is approved by the FDA, EMA or other regulatory authorities. Moreover, eligibility for coverage and reimbursement does not imply that a drug will be paid for in all cases or at a rate that covers our costs, including research, development, manufacture, sale and distribution expenses. Interim reimbursement levels for new drugs, if applicable, may also be insufficient to cover our and any collaborator’s costs and may not be made permanent. Reimbursement rates may vary according to the use of the drug and the clinical setting in which it is used, may be based on reimbursement levels already set for lower cost drugs and may be incorporated into existing payments for other services. Net prices for drugs may be reduced by mandatory discounts or rebates required by government healthcare programs or private payers and by any future relaxation of laws that presently restrict imports of drugs from countries where they may be sold at lower prices than in the U.S. Third-party payers often rely upon Medicare coverage policy and payment limitations in setting their own reimbursement policies. Our or any collaborator’s inability to promptly obtain coverage and profitable payment rates from both government-funded and private payers for any approved products that we or our collaborators develop could have a material adverse effect on our operating results, our ability to raise capital needed to commercialize products and our overall financial condition.</w:t>
      </w:r>
    </w:p>
    <w:p>
      <w:pPr>
        <w:spacing w:after="0" w:line="183" w:lineRule="exact"/>
        <w:rPr>
          <w:sz w:val="20"/>
          <w:szCs w:val="20"/>
          <w:color w:val="auto"/>
        </w:rPr>
      </w:pPr>
    </w:p>
    <w:p>
      <w:pPr>
        <w:ind w:firstLine="518"/>
        <w:spacing w:after="0" w:line="273" w:lineRule="auto"/>
        <w:rPr>
          <w:sz w:val="20"/>
          <w:szCs w:val="20"/>
          <w:color w:val="auto"/>
        </w:rPr>
      </w:pPr>
      <w:r>
        <w:rPr>
          <w:rFonts w:ascii="Arial" w:cs="Arial" w:eastAsia="Arial" w:hAnsi="Arial"/>
          <w:sz w:val="17"/>
          <w:szCs w:val="17"/>
          <w:color w:val="auto"/>
        </w:rPr>
        <w:t>Our target patient populations in orphan and niche indications, where we intend to selectively develop and commercialize products independently, are relatively small. In order for therapies that are designed to treat smaller patient populations to be commercially viable, the reimbursement for such therapies needs to be higher, on a relative basis, to account for the lack of volume. Accordingly, we will need to implement a coverage and reimbursement strategy for any approved product that accounts for the smaller potential market size. If we are unable to establish or sustain coverage and adequate reimbursement for our current and any future products from third party payers or the government, the adoption of those products and sales revenue will be adversely affected, which, in turn, could adversely affect the ability to market or sell those products.</w:t>
      </w:r>
    </w:p>
    <w:p>
      <w:pPr>
        <w:spacing w:after="0" w:line="287" w:lineRule="exact"/>
        <w:rPr>
          <w:sz w:val="20"/>
          <w:szCs w:val="20"/>
          <w:color w:val="auto"/>
        </w:rPr>
      </w:pPr>
    </w:p>
    <w:p>
      <w:pPr>
        <w:ind w:right="60" w:firstLine="259"/>
        <w:spacing w:after="0" w:line="277" w:lineRule="auto"/>
        <w:rPr>
          <w:sz w:val="20"/>
          <w:szCs w:val="20"/>
          <w:color w:val="auto"/>
        </w:rPr>
      </w:pPr>
      <w:r>
        <w:rPr>
          <w:rFonts w:ascii="Arial" w:cs="Arial" w:eastAsia="Arial" w:hAnsi="Arial"/>
          <w:sz w:val="18"/>
          <w:szCs w:val="18"/>
          <w:b w:val="1"/>
          <w:bCs w:val="1"/>
          <w:i w:val="1"/>
          <w:iCs w:val="1"/>
          <w:color w:val="auto"/>
        </w:rPr>
        <w:t>Recently enacted and future legislation may increase the difficulty and cost for us to commercialize any products that we or our collaborators develop and affect the prices we may obtain.</w:t>
      </w:r>
    </w:p>
    <w:p>
      <w:pPr>
        <w:spacing w:after="0" w:line="62" w:lineRule="exact"/>
        <w:rPr>
          <w:sz w:val="20"/>
          <w:szCs w:val="20"/>
          <w:color w:val="auto"/>
        </w:rPr>
      </w:pPr>
    </w:p>
    <w:p>
      <w:pPr>
        <w:ind w:right="80" w:firstLine="518"/>
        <w:spacing w:after="0" w:line="257" w:lineRule="auto"/>
        <w:rPr>
          <w:sz w:val="20"/>
          <w:szCs w:val="20"/>
          <w:color w:val="auto"/>
        </w:rPr>
      </w:pPr>
      <w:r>
        <w:rPr>
          <w:rFonts w:ascii="Arial" w:cs="Arial" w:eastAsia="Arial" w:hAnsi="Arial"/>
          <w:sz w:val="18"/>
          <w:szCs w:val="18"/>
          <w:color w:val="auto"/>
        </w:rPr>
        <w:t>The U.S. and some foreign jurisdictions are considering or have enacted a number of legislative and regulatory proposals to change the healthcare system in ways that could affect our ability to sell any of our products profitably, once such products are approved for sale. Among policy makers and payers in the U.S. and elsewhere, there is significant interest in promoting changes in healthcare systems with the stated goals of containing healthcare costs, improving quality and/or expanding access. In the U.S., the pharmaceutical industry has been a particular focus of these efforts and has been significantly affected by major legislative initiatives.</w:t>
      </w:r>
    </w:p>
    <w:p>
      <w:pPr>
        <w:spacing w:after="0" w:line="188" w:lineRule="exact"/>
        <w:rPr>
          <w:sz w:val="20"/>
          <w:szCs w:val="20"/>
          <w:color w:val="auto"/>
        </w:rPr>
      </w:pPr>
    </w:p>
    <w:p>
      <w:pPr>
        <w:ind w:right="20" w:firstLine="518"/>
        <w:spacing w:after="0" w:line="286" w:lineRule="auto"/>
        <w:rPr>
          <w:sz w:val="20"/>
          <w:szCs w:val="20"/>
          <w:color w:val="auto"/>
        </w:rPr>
      </w:pPr>
      <w:r>
        <w:rPr>
          <w:rFonts w:ascii="Arial" w:cs="Arial" w:eastAsia="Arial" w:hAnsi="Arial"/>
          <w:sz w:val="17"/>
          <w:szCs w:val="17"/>
          <w:color w:val="auto"/>
        </w:rPr>
        <w:t>The Patient Protection and Affordable Care Act, as amended by the Health Care and Education Reconciliation Act of 2010, collectively, the PPACA, was enacted in 2010 and includes measures that have significantly changed, or will significantly change, the way healthcare is financed by both governmental and private insurers. Among the provisions of the PPACA of importance to the pharmaceutical industry are the following:</w:t>
      </w:r>
    </w:p>
    <w:p>
      <w:pPr>
        <w:spacing w:after="0" w:line="57" w:lineRule="exact"/>
        <w:rPr>
          <w:sz w:val="20"/>
          <w:szCs w:val="20"/>
          <w:color w:val="auto"/>
        </w:rPr>
      </w:pPr>
    </w:p>
    <w:p>
      <w:pPr>
        <w:ind w:left="1040" w:right="280" w:hanging="519"/>
        <w:spacing w:after="0" w:line="308" w:lineRule="auto"/>
        <w:tabs>
          <w:tab w:leader="none" w:pos="1040" w:val="left"/>
        </w:tabs>
        <w:numPr>
          <w:ilvl w:val="0"/>
          <w:numId w:val="35"/>
        </w:numPr>
        <w:rPr>
          <w:rFonts w:ascii="Arial" w:cs="Arial" w:eastAsia="Arial" w:hAnsi="Arial"/>
          <w:sz w:val="17"/>
          <w:szCs w:val="17"/>
          <w:color w:val="auto"/>
        </w:rPr>
      </w:pPr>
      <w:r>
        <w:rPr>
          <w:rFonts w:ascii="Arial" w:cs="Arial" w:eastAsia="Arial" w:hAnsi="Arial"/>
          <w:sz w:val="17"/>
          <w:szCs w:val="17"/>
          <w:color w:val="auto"/>
        </w:rPr>
        <w:t>an annual, nondeductible fee on any entity that manufactures or imports certain branded prescription drugs and biologic agents, apportioned among these entities according to their market share in certain government healthcare programs, that began in 2011;</w:t>
      </w:r>
    </w:p>
    <w:p>
      <w:pPr>
        <w:spacing w:after="0" w:line="38" w:lineRule="exact"/>
        <w:rPr>
          <w:rFonts w:ascii="Arial" w:cs="Arial" w:eastAsia="Arial" w:hAnsi="Arial"/>
          <w:sz w:val="17"/>
          <w:szCs w:val="17"/>
          <w:color w:val="auto"/>
        </w:rPr>
      </w:pPr>
    </w:p>
    <w:p>
      <w:pPr>
        <w:ind w:left="1040" w:right="340" w:hanging="519"/>
        <w:spacing w:after="0" w:line="277" w:lineRule="auto"/>
        <w:tabs>
          <w:tab w:leader="none" w:pos="10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an increase in the rebates a manufacturer must pay under the Medicaid Drug Rebate Program to 23% and 13% of the average manufacturer price for branded and generic drugs, respectively;</w:t>
      </w:r>
    </w:p>
    <w:p>
      <w:pPr>
        <w:spacing w:after="0" w:line="62" w:lineRule="exact"/>
        <w:rPr>
          <w:rFonts w:ascii="Arial" w:cs="Arial" w:eastAsia="Arial" w:hAnsi="Arial"/>
          <w:sz w:val="18"/>
          <w:szCs w:val="18"/>
          <w:color w:val="auto"/>
        </w:rPr>
      </w:pPr>
    </w:p>
    <w:p>
      <w:pPr>
        <w:ind w:left="1040" w:right="160" w:hanging="519"/>
        <w:spacing w:after="0" w:line="264" w:lineRule="auto"/>
        <w:tabs>
          <w:tab w:leader="none" w:pos="10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 new Medicare Part D coverage gap discount program, in which manufacturers must agree to offer 50% point-of-sale discounts to negotiated prices of applicable brand drugs to eligible beneficiaries during their coverage gap period, as a condition for the manufacturer’s outpatient drugs to be covered under Medicare Part D;</w:t>
      </w:r>
    </w:p>
    <w:p>
      <w:pPr>
        <w:spacing w:after="0" w:line="73" w:lineRule="exact"/>
        <w:rPr>
          <w:rFonts w:ascii="Arial" w:cs="Arial" w:eastAsia="Arial" w:hAnsi="Arial"/>
          <w:sz w:val="18"/>
          <w:szCs w:val="18"/>
          <w:color w:val="auto"/>
        </w:rPr>
      </w:pPr>
    </w:p>
    <w:p>
      <w:pPr>
        <w:ind w:left="1040" w:right="300" w:hanging="519"/>
        <w:spacing w:after="0" w:line="277" w:lineRule="auto"/>
        <w:tabs>
          <w:tab w:leader="none" w:pos="10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extension of manufacturers’ Medicaid rebate liability to covered drugs dispensed to individuals who are enrolled in Medicaid managed care organizations;</w:t>
      </w:r>
    </w:p>
    <w:p>
      <w:pPr>
        <w:spacing w:after="0" w:line="62" w:lineRule="exact"/>
        <w:rPr>
          <w:rFonts w:ascii="Arial" w:cs="Arial" w:eastAsia="Arial" w:hAnsi="Arial"/>
          <w:sz w:val="18"/>
          <w:szCs w:val="18"/>
          <w:color w:val="auto"/>
        </w:rPr>
      </w:pPr>
    </w:p>
    <w:p>
      <w:pPr>
        <w:ind w:left="1040" w:right="280" w:hanging="519"/>
        <w:spacing w:after="0" w:line="264" w:lineRule="auto"/>
        <w:tabs>
          <w:tab w:leader="none" w:pos="10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expansion of eligibility criteria for Medicaid programs by, among other things, allowing states to offer Medicaid coverage to additional individuals and by adding new mandatory eligibility categories for certain individuals with income at or below 133% of the Federal Poverty Level beginning in 2014, thereby potentially increasing manufacturers’ Medicaid rebate liability;</w:t>
      </w:r>
    </w:p>
    <w:p>
      <w:pPr>
        <w:spacing w:after="0" w:line="73" w:lineRule="exact"/>
        <w:rPr>
          <w:rFonts w:ascii="Arial" w:cs="Arial" w:eastAsia="Arial" w:hAnsi="Arial"/>
          <w:sz w:val="18"/>
          <w:szCs w:val="18"/>
          <w:color w:val="auto"/>
        </w:rPr>
      </w:pPr>
    </w:p>
    <w:p>
      <w:pPr>
        <w:ind w:left="1040" w:hanging="519"/>
        <w:spacing w:after="0"/>
        <w:tabs>
          <w:tab w:leader="none" w:pos="10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expansion of the entities eligible for discounts under the Public Health Service pharmaceutical pricing program;</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55" w:right="259" w:bottom="1440" w:gutter="0" w:footer="0" w:header="0"/>
        </w:sectPr>
      </w:pPr>
    </w:p>
    <w:bookmarkStart w:id="38" w:name="page39"/>
    <w:bookmarkEnd w:id="38"/>
    <w:p>
      <w:pPr>
        <w:ind w:left="1040" w:right="60" w:hanging="519"/>
        <w:spacing w:after="0" w:line="253" w:lineRule="auto"/>
        <w:tabs>
          <w:tab w:leader="none" w:pos="10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new requirements under the federal Open Payments program, created under Section 6002 of the PPACA and its implementing regulations that manufacturers of drugs, devices, biologics and medical supplies for which payment is available under Medicare, Medicaid or the Children’s Health Insurance Program (with certain exceptions) report annually to the U.S. Department of Health and Human Services, or HHS, information related to “payments or other transfers of value” made or distributed to physicians (defined to include doctors, dentists, optometrists, podiatrists and chiropractors) and teaching hospitals and that applicable manufacturers and applicable group purchasing organizations report annually to the HHS ownership and investment interests held by physicians (as defined above) and their immediate family members, with data collection required beginning August 1, 2013 and reporting to the Centers for Medicare &amp; Medicaid Services, or CMS, required by the 90th day of each subsequent calendar year, and disclosure of such information made on a publicly available website starting September 2014;</w:t>
      </w:r>
    </w:p>
    <w:p>
      <w:pPr>
        <w:spacing w:after="0" w:line="89" w:lineRule="exact"/>
        <w:rPr>
          <w:rFonts w:ascii="Arial" w:cs="Arial" w:eastAsia="Arial" w:hAnsi="Arial"/>
          <w:sz w:val="18"/>
          <w:szCs w:val="18"/>
          <w:color w:val="auto"/>
        </w:rPr>
      </w:pPr>
    </w:p>
    <w:p>
      <w:pPr>
        <w:ind w:left="1040" w:hanging="519"/>
        <w:spacing w:after="0"/>
        <w:tabs>
          <w:tab w:leader="none" w:pos="10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 requirement to annually report drug samples that manufacturers and distributors provide to physicians;</w:t>
      </w:r>
    </w:p>
    <w:p>
      <w:pPr>
        <w:spacing w:after="0" w:line="117" w:lineRule="exact"/>
        <w:rPr>
          <w:rFonts w:ascii="Arial" w:cs="Arial" w:eastAsia="Arial" w:hAnsi="Arial"/>
          <w:sz w:val="18"/>
          <w:szCs w:val="18"/>
          <w:color w:val="auto"/>
        </w:rPr>
      </w:pPr>
    </w:p>
    <w:p>
      <w:pPr>
        <w:ind w:left="1040" w:right="280" w:hanging="519"/>
        <w:spacing w:after="0" w:line="277" w:lineRule="auto"/>
        <w:tabs>
          <w:tab w:leader="none" w:pos="10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expansion of healthcare fraud and abuse laws, including the False Claims Act and the Anti-Kickback Statute, new government investigative powers, and enhanced penalties for noncompliance;</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 licensure framework for follow-on biologic products;</w:t>
      </w:r>
    </w:p>
    <w:p>
      <w:pPr>
        <w:spacing w:after="0" w:line="117" w:lineRule="exact"/>
        <w:rPr>
          <w:rFonts w:ascii="Arial" w:cs="Arial" w:eastAsia="Arial" w:hAnsi="Arial"/>
          <w:sz w:val="18"/>
          <w:szCs w:val="18"/>
          <w:color w:val="auto"/>
        </w:rPr>
      </w:pPr>
    </w:p>
    <w:p>
      <w:pPr>
        <w:ind w:left="1040" w:right="120" w:hanging="519"/>
        <w:spacing w:after="0" w:line="277" w:lineRule="auto"/>
        <w:tabs>
          <w:tab w:leader="none" w:pos="10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 new Patient-Centered Outcomes Research Institute to oversee, identify priorities in, and conduct comparative clinical effectiveness research, along with funding for such research;</w:t>
      </w:r>
    </w:p>
    <w:p>
      <w:pPr>
        <w:spacing w:after="0" w:line="62" w:lineRule="exact"/>
        <w:rPr>
          <w:rFonts w:ascii="Arial" w:cs="Arial" w:eastAsia="Arial" w:hAnsi="Arial"/>
          <w:sz w:val="18"/>
          <w:szCs w:val="18"/>
          <w:color w:val="auto"/>
        </w:rPr>
      </w:pPr>
    </w:p>
    <w:p>
      <w:pPr>
        <w:ind w:left="1040" w:right="60" w:hanging="519"/>
        <w:spacing w:after="0" w:line="264" w:lineRule="auto"/>
        <w:tabs>
          <w:tab w:leader="none" w:pos="10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creation of the Independent Payment Advisory Board which, beginning in 2014, has authority to recommend certain changes to the Medicare program that could result in reduced payments for prescription drugs and those recommendations could have the effect of law even if Congress does not act on the recommendations; and</w:t>
      </w:r>
    </w:p>
    <w:p>
      <w:pPr>
        <w:spacing w:after="0" w:line="73" w:lineRule="exact"/>
        <w:rPr>
          <w:rFonts w:ascii="Arial" w:cs="Arial" w:eastAsia="Arial" w:hAnsi="Arial"/>
          <w:sz w:val="18"/>
          <w:szCs w:val="18"/>
          <w:color w:val="auto"/>
        </w:rPr>
      </w:pPr>
    </w:p>
    <w:p>
      <w:pPr>
        <w:ind w:left="1040" w:right="440" w:hanging="519"/>
        <w:spacing w:after="0" w:line="277" w:lineRule="auto"/>
        <w:tabs>
          <w:tab w:leader="none" w:pos="10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establishment of a Center for Medicare Innovation at CMS to test innovative payment and service delivery models to lower Medicare and Medicaid spending, potentially including prescription drug spending, that began, in 2011.</w:t>
      </w:r>
    </w:p>
    <w:p>
      <w:pPr>
        <w:spacing w:after="0" w:line="170" w:lineRule="exact"/>
        <w:rPr>
          <w:sz w:val="20"/>
          <w:szCs w:val="20"/>
          <w:color w:val="auto"/>
        </w:rPr>
      </w:pPr>
    </w:p>
    <w:p>
      <w:pPr>
        <w:ind w:right="80" w:firstLine="518"/>
        <w:spacing w:after="0" w:line="255" w:lineRule="auto"/>
        <w:rPr>
          <w:sz w:val="20"/>
          <w:szCs w:val="20"/>
          <w:color w:val="auto"/>
        </w:rPr>
      </w:pPr>
      <w:r>
        <w:rPr>
          <w:rFonts w:ascii="Arial" w:cs="Arial" w:eastAsia="Arial" w:hAnsi="Arial"/>
          <w:sz w:val="18"/>
          <w:szCs w:val="18"/>
          <w:color w:val="auto"/>
        </w:rPr>
        <w:t>In the EU, similar political, economic and regulatory developments may affect our ability to profitably commercialize our current or any future products. In addition to continuing pressure on prices and cost containment measures, legislative developments at the EU or member state level may result in significant additional requirements or obstacles that may increase our operating costs. In international markets, reimbursement and healthcare payment systems vary significantly by country, and many countries have instituted price ceilings on specific products and therapies. Our future products, if any, might not be considered medically reasonable and necessary for a specific indication or cost-effective by third-party payers. An adequate level of reimbursement might not be available for such products and third-party payers’ reimbursement policies might adversely affect our or our collaborators’ ability to sell any future products profitably.</w:t>
      </w:r>
    </w:p>
    <w:p>
      <w:pPr>
        <w:spacing w:after="0" w:line="189" w:lineRule="exact"/>
        <w:rPr>
          <w:sz w:val="20"/>
          <w:szCs w:val="20"/>
          <w:color w:val="auto"/>
        </w:rPr>
      </w:pPr>
    </w:p>
    <w:p>
      <w:pPr>
        <w:ind w:right="180" w:firstLine="518"/>
        <w:spacing w:after="0" w:line="257" w:lineRule="auto"/>
        <w:rPr>
          <w:sz w:val="20"/>
          <w:szCs w:val="20"/>
          <w:color w:val="auto"/>
        </w:rPr>
      </w:pPr>
      <w:r>
        <w:rPr>
          <w:rFonts w:ascii="Arial" w:cs="Arial" w:eastAsia="Arial" w:hAnsi="Arial"/>
          <w:sz w:val="18"/>
          <w:szCs w:val="18"/>
          <w:color w:val="auto"/>
        </w:rPr>
        <w:t>Legislative and regulatory proposals have been made to expand post-approval requirements and restrict sales and promotional activities for pharmaceutical products. We cannot be sure whether additional legislative changes will be enacted, or whether the FDA regulations, guidance or interpretations will be changed, or what the impact of such changes on the marketing approvals of our product candidates, if any, may be. In addition, increased scrutiny by the U.S. Congress of the FDA’s approval process may significantly delay or prevent marketing approval, as well as subject us to more stringent product labeling and post-approval testing and other requirements.</w:t>
      </w:r>
    </w:p>
    <w:p>
      <w:pPr>
        <w:spacing w:after="0" w:line="188" w:lineRule="exact"/>
        <w:rPr>
          <w:sz w:val="20"/>
          <w:szCs w:val="20"/>
          <w:color w:val="auto"/>
        </w:rPr>
      </w:pPr>
    </w:p>
    <w:p>
      <w:pPr>
        <w:ind w:firstLine="518"/>
        <w:spacing w:after="0" w:line="255" w:lineRule="auto"/>
        <w:rPr>
          <w:sz w:val="20"/>
          <w:szCs w:val="20"/>
          <w:color w:val="auto"/>
        </w:rPr>
      </w:pPr>
      <w:r>
        <w:rPr>
          <w:rFonts w:ascii="Arial" w:cs="Arial" w:eastAsia="Arial" w:hAnsi="Arial"/>
          <w:sz w:val="18"/>
          <w:szCs w:val="18"/>
          <w:color w:val="auto"/>
        </w:rPr>
        <w:t>The Trump administration and Congress are also expected to attempt broad sweeping changes to the current health care laws, including PPACA. The impact of those changes on us and the pharmaceutical industry as a whole is currently unknown. Any changes to the PPACA are likely to have an impact on our results of operations, and may have a material adverse effect on our result of operations. We cannot predict the likelihood, nature or extent of government regulation that may arise from future legislation or administrative action, either in the U.S. or abroad. If we or our collaborators are slow or unable to adapt to changes in existing requirements or the adoption of new requirements or policies, or if we or our collaborators are not able to maintain regulatory compliance, our product candidates may lose any marketing approval that may have been obtained and we may not achieve or sustain profitability, which would adversely affect our business.</w:t>
      </w:r>
    </w:p>
    <w:p>
      <w:pPr>
        <w:spacing w:after="0" w:line="297"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Foreign governments tend to impose strict price controls, which may adversely affect our future profitability.</w:t>
      </w:r>
    </w:p>
    <w:p>
      <w:pPr>
        <w:spacing w:after="0" w:line="117" w:lineRule="exact"/>
        <w:rPr>
          <w:sz w:val="20"/>
          <w:szCs w:val="20"/>
          <w:color w:val="auto"/>
        </w:rPr>
      </w:pPr>
    </w:p>
    <w:p>
      <w:pPr>
        <w:ind w:right="60" w:firstLine="518"/>
        <w:spacing w:after="0" w:line="259" w:lineRule="auto"/>
        <w:rPr>
          <w:sz w:val="20"/>
          <w:szCs w:val="20"/>
          <w:color w:val="auto"/>
        </w:rPr>
      </w:pPr>
      <w:r>
        <w:rPr>
          <w:rFonts w:ascii="Arial" w:cs="Arial" w:eastAsia="Arial" w:hAnsi="Arial"/>
          <w:sz w:val="18"/>
          <w:szCs w:val="18"/>
          <w:color w:val="auto"/>
        </w:rPr>
        <w:t>In most foreign countries, particularly those in the EU, prescription drug pricing and/or reimbursement is subject to governmental control. In those countries that impose price controls, pricing negotiations with governmental authorities can take considerable time after the receipt of marketing approval for a product. To obtain reimbursement or pricing approval in some countries, we or our collaborators may be required to conduct a clinical trial that compares the cost-effectiveness of our product candidate to other available therapies.</w:t>
      </w:r>
    </w:p>
    <w:p>
      <w:pPr>
        <w:spacing w:after="0" w:line="200" w:lineRule="exact"/>
        <w:rPr>
          <w:sz w:val="20"/>
          <w:szCs w:val="20"/>
          <w:color w:val="auto"/>
        </w:rPr>
      </w:pPr>
    </w:p>
    <w:p>
      <w:pPr>
        <w:spacing w:after="0" w:line="2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247" w:right="259" w:bottom="1440" w:gutter="0" w:footer="0" w:header="0"/>
        </w:sectPr>
      </w:pPr>
    </w:p>
    <w:bookmarkStart w:id="39" w:name="page40"/>
    <w:bookmarkEnd w:id="39"/>
    <w:p>
      <w:pPr>
        <w:ind w:firstLine="518"/>
        <w:spacing w:after="0" w:line="293" w:lineRule="auto"/>
        <w:rPr>
          <w:sz w:val="20"/>
          <w:szCs w:val="20"/>
          <w:color w:val="auto"/>
        </w:rPr>
      </w:pPr>
      <w:r>
        <w:rPr>
          <w:rFonts w:ascii="Arial" w:cs="Arial" w:eastAsia="Arial" w:hAnsi="Arial"/>
          <w:sz w:val="16"/>
          <w:szCs w:val="16"/>
          <w:color w:val="auto"/>
        </w:rPr>
        <w:t>Some countries require approval of the sale price of a drug before it can be marketed. In many countries, the pricing review period begins after marketing or product licensing approval is granted. In some foreign markets, prescription pharmaceutical pricing remains subject to continuing governmental control even after initial approval is granted. As a result, we or our collaborators might obtain marketing approval for a product in a particular country, but then be subject to price regulations that delay commercial launch of the product, possibly for lengthy time periods, and negatively impact the revenue that are generated from the sale of the product in that country. If reimbursement of such products is unavailable or limited in scope or amount, or if pricing is set at unsatisfactory levels, or if there is competition from lower priced cross-border sales, our profitability will be negatively affected.</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Dependence on Third Parties</w:t>
      </w:r>
    </w:p>
    <w:p>
      <w:pPr>
        <w:spacing w:after="0" w:line="121" w:lineRule="exact"/>
        <w:rPr>
          <w:sz w:val="20"/>
          <w:szCs w:val="20"/>
          <w:color w:val="auto"/>
        </w:rPr>
      </w:pPr>
    </w:p>
    <w:p>
      <w:pPr>
        <w:ind w:right="80" w:firstLine="259"/>
        <w:spacing w:after="0" w:line="381" w:lineRule="auto"/>
        <w:rPr>
          <w:sz w:val="20"/>
          <w:szCs w:val="20"/>
          <w:color w:val="auto"/>
        </w:rPr>
      </w:pPr>
      <w:r>
        <w:rPr>
          <w:rFonts w:ascii="Arial" w:cs="Arial" w:eastAsia="Arial" w:hAnsi="Arial"/>
          <w:sz w:val="15"/>
          <w:szCs w:val="15"/>
          <w:b w:val="1"/>
          <w:bCs w:val="1"/>
          <w:i w:val="1"/>
          <w:iCs w:val="1"/>
          <w:color w:val="auto"/>
        </w:rPr>
        <w:t>We depend on our collaborative relationship with Teva to further develop and commercialize TV-45070, and if our relationship is not successful or is terminated, we may not be able to effectively develop and/or commercialize TV-45070, which could have a material adverse effect on our business.</w:t>
      </w:r>
    </w:p>
    <w:p>
      <w:pPr>
        <w:spacing w:after="0" w:line="101" w:lineRule="exact"/>
        <w:rPr>
          <w:sz w:val="20"/>
          <w:szCs w:val="20"/>
          <w:color w:val="auto"/>
        </w:rPr>
      </w:pPr>
    </w:p>
    <w:p>
      <w:pPr>
        <w:ind w:right="60" w:firstLine="518"/>
        <w:spacing w:after="0" w:line="277" w:lineRule="auto"/>
        <w:rPr>
          <w:sz w:val="20"/>
          <w:szCs w:val="20"/>
          <w:color w:val="auto"/>
        </w:rPr>
      </w:pPr>
      <w:r>
        <w:rPr>
          <w:rFonts w:ascii="Arial" w:cs="Arial" w:eastAsia="Arial" w:hAnsi="Arial"/>
          <w:sz w:val="18"/>
          <w:szCs w:val="18"/>
          <w:color w:val="auto"/>
        </w:rPr>
        <w:t>We depend on Teva to collaborate with us to develop and globally commercialize TV-45070. Under the agreement, Teva controls all decision-making with respect to the clinical development and commercialization for TV-45070.</w:t>
      </w:r>
    </w:p>
    <w:p>
      <w:pPr>
        <w:spacing w:after="0" w:line="170" w:lineRule="exact"/>
        <w:rPr>
          <w:sz w:val="20"/>
          <w:szCs w:val="20"/>
          <w:color w:val="auto"/>
        </w:rPr>
      </w:pPr>
    </w:p>
    <w:p>
      <w:pPr>
        <w:ind w:firstLine="518"/>
        <w:spacing w:after="0" w:line="302" w:lineRule="auto"/>
        <w:rPr>
          <w:sz w:val="20"/>
          <w:szCs w:val="20"/>
          <w:color w:val="auto"/>
        </w:rPr>
      </w:pPr>
      <w:r>
        <w:rPr>
          <w:rFonts w:ascii="Arial" w:cs="Arial" w:eastAsia="Arial" w:hAnsi="Arial"/>
          <w:sz w:val="16"/>
          <w:szCs w:val="16"/>
          <w:color w:val="auto"/>
        </w:rPr>
        <w:t>As a result of our dependence on Teva, the eventual success or commercial viability of TV-45070 is largely beyond our control. The financial returns to us, if any, depend in large part on the achievement of development and commercialization milestones, plus a share of any revenue from sales. Therefore, our success, and any associated financial returns to us and our investors, will depend in large part on Teva’s performance under the agreement. We are subject to a number of additional specific risks associated with our dependence on our collaborative relationship with Teva, including:</w:t>
      </w:r>
    </w:p>
    <w:p>
      <w:pPr>
        <w:spacing w:after="0" w:line="46" w:lineRule="exact"/>
        <w:rPr>
          <w:sz w:val="20"/>
          <w:szCs w:val="20"/>
          <w:color w:val="auto"/>
        </w:rPr>
      </w:pPr>
    </w:p>
    <w:p>
      <w:pPr>
        <w:ind w:left="1040" w:hanging="519"/>
        <w:spacing w:after="0"/>
        <w:tabs>
          <w:tab w:leader="none" w:pos="10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adverse decisions by Teva or the Joint Development Committee regarding the development and commercialization of TV-45070;</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7"/>
        </w:numPr>
        <w:rPr>
          <w:rFonts w:ascii="Arial" w:cs="Arial" w:eastAsia="Arial" w:hAnsi="Arial"/>
          <w:sz w:val="17"/>
          <w:szCs w:val="17"/>
          <w:color w:val="auto"/>
        </w:rPr>
      </w:pPr>
      <w:r>
        <w:rPr>
          <w:rFonts w:ascii="Arial" w:cs="Arial" w:eastAsia="Arial" w:hAnsi="Arial"/>
          <w:sz w:val="17"/>
          <w:szCs w:val="17"/>
          <w:color w:val="auto"/>
        </w:rPr>
        <w:t>possible disagreements as to the timing, nature and extent of development plans, including clinical trials or regulatory approval strategy;</w:t>
      </w:r>
    </w:p>
    <w:p>
      <w:pPr>
        <w:spacing w:after="0" w:line="128" w:lineRule="exact"/>
        <w:rPr>
          <w:rFonts w:ascii="Arial" w:cs="Arial" w:eastAsia="Arial" w:hAnsi="Arial"/>
          <w:sz w:val="17"/>
          <w:szCs w:val="17"/>
          <w:color w:val="auto"/>
        </w:rPr>
      </w:pPr>
    </w:p>
    <w:p>
      <w:pPr>
        <w:ind w:left="1040" w:hanging="519"/>
        <w:spacing w:after="0"/>
        <w:tabs>
          <w:tab w:leader="none" w:pos="10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loss of significant rights if we fail to meet our obligations under the agreement;</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our limited control over clinical trials of TV-45070;</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changes in key management personnel at Teva, including in members of the Joint Development Committee;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possible disagreements with Teva regarding the agreement, for example, with regard to ownership of intellectual property rights.</w:t>
      </w:r>
    </w:p>
    <w:p>
      <w:pPr>
        <w:spacing w:after="0" w:line="225" w:lineRule="exact"/>
        <w:rPr>
          <w:sz w:val="20"/>
          <w:szCs w:val="20"/>
          <w:color w:val="auto"/>
        </w:rPr>
      </w:pPr>
    </w:p>
    <w:p>
      <w:pPr>
        <w:ind w:right="220" w:firstLine="518"/>
        <w:spacing w:after="0" w:line="342" w:lineRule="auto"/>
        <w:rPr>
          <w:sz w:val="20"/>
          <w:szCs w:val="20"/>
          <w:color w:val="auto"/>
        </w:rPr>
      </w:pPr>
      <w:r>
        <w:rPr>
          <w:rFonts w:ascii="Arial" w:cs="Arial" w:eastAsia="Arial" w:hAnsi="Arial"/>
          <w:sz w:val="16"/>
          <w:szCs w:val="16"/>
          <w:color w:val="auto"/>
        </w:rPr>
        <w:t>If either we or Teva fail to perform our respective obligations, any clinical trial, regulatory approval or development progress could be significantly delayed or halted, could result in costly or time-consuming litigation or arbitration and could have a material adverse effect on our business.</w:t>
      </w:r>
    </w:p>
    <w:p>
      <w:pPr>
        <w:spacing w:after="0" w:line="124" w:lineRule="exact"/>
        <w:rPr>
          <w:sz w:val="20"/>
          <w:szCs w:val="20"/>
          <w:color w:val="auto"/>
        </w:rPr>
      </w:pPr>
    </w:p>
    <w:p>
      <w:pPr>
        <w:ind w:right="80" w:firstLine="518"/>
        <w:spacing w:after="0" w:line="264" w:lineRule="auto"/>
        <w:rPr>
          <w:sz w:val="20"/>
          <w:szCs w:val="20"/>
          <w:color w:val="auto"/>
        </w:rPr>
      </w:pPr>
      <w:r>
        <w:rPr>
          <w:rFonts w:ascii="Arial" w:cs="Arial" w:eastAsia="Arial" w:hAnsi="Arial"/>
          <w:sz w:val="18"/>
          <w:szCs w:val="18"/>
          <w:color w:val="auto"/>
        </w:rPr>
        <w:t>Decisions by Teva to emphasize other drug candidates currently in its portfolio ahead of our product candidates, or to add competitive agents to its portfolio could result in a decision to terminate the agreement, in which event, among other things, we may be responsible for paying any remaining costs of all ongoing or future clinical trials.</w:t>
      </w:r>
    </w:p>
    <w:p>
      <w:pPr>
        <w:spacing w:after="0" w:line="181" w:lineRule="exact"/>
        <w:rPr>
          <w:sz w:val="20"/>
          <w:szCs w:val="20"/>
          <w:color w:val="auto"/>
        </w:rPr>
      </w:pPr>
    </w:p>
    <w:p>
      <w:pPr>
        <w:ind w:right="60" w:firstLine="518"/>
        <w:spacing w:after="0" w:line="279" w:lineRule="auto"/>
        <w:rPr>
          <w:sz w:val="20"/>
          <w:szCs w:val="20"/>
          <w:color w:val="auto"/>
        </w:rPr>
      </w:pPr>
      <w:r>
        <w:rPr>
          <w:rFonts w:ascii="Arial" w:cs="Arial" w:eastAsia="Arial" w:hAnsi="Arial"/>
          <w:sz w:val="17"/>
          <w:szCs w:val="17"/>
          <w:color w:val="auto"/>
        </w:rPr>
        <w:t>In addition, Teva’s executive offices and a substantial percentage of their manufacturing capabilities are located in Israel. Teva’s Israeli operations are dependent upon materials imported from outside Israel, and Teva also exports significant amounts of products from Israel. Accordingly, our collaboration with Teva could be materially and adversely affected by acts of terrorism or if major hostilities were to occur in the Middle East or trade between Israel and its present trading partners were curtailed, including as a result of acts of terrorism in the U.S. or elsewhere.</w:t>
      </w:r>
    </w:p>
    <w:p>
      <w:pPr>
        <w:spacing w:after="0" w:line="171" w:lineRule="exact"/>
        <w:rPr>
          <w:sz w:val="20"/>
          <w:szCs w:val="20"/>
          <w:color w:val="auto"/>
        </w:rPr>
      </w:pPr>
    </w:p>
    <w:p>
      <w:pPr>
        <w:ind w:right="120" w:firstLine="518"/>
        <w:spacing w:after="0" w:line="277" w:lineRule="auto"/>
        <w:rPr>
          <w:sz w:val="20"/>
          <w:szCs w:val="20"/>
          <w:color w:val="auto"/>
        </w:rPr>
      </w:pPr>
      <w:r>
        <w:rPr>
          <w:rFonts w:ascii="Arial" w:cs="Arial" w:eastAsia="Arial" w:hAnsi="Arial"/>
          <w:sz w:val="18"/>
          <w:szCs w:val="18"/>
          <w:color w:val="auto"/>
        </w:rPr>
        <w:t>Any of the above discussed scenarios could adversely affect the timing and extent of our development and commercialization activities, which could cause significant delays and funding shortfalls for those activities and seriously harm our business.</w:t>
      </w:r>
    </w:p>
    <w:p>
      <w:pPr>
        <w:spacing w:after="0" w:line="200" w:lineRule="exact"/>
        <w:rPr>
          <w:sz w:val="20"/>
          <w:szCs w:val="20"/>
          <w:color w:val="auto"/>
        </w:rPr>
      </w:pPr>
    </w:p>
    <w:p>
      <w:pPr>
        <w:spacing w:after="0" w:line="2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355" w:right="299" w:bottom="1440" w:gutter="0" w:footer="0" w:header="0"/>
        </w:sectPr>
      </w:pPr>
    </w:p>
    <w:bookmarkStart w:id="40" w:name="page41"/>
    <w:bookmarkEnd w:id="40"/>
    <w:p>
      <w:pPr>
        <w:ind w:right="80" w:firstLine="259"/>
        <w:spacing w:after="0" w:line="277" w:lineRule="auto"/>
        <w:rPr>
          <w:sz w:val="20"/>
          <w:szCs w:val="20"/>
          <w:color w:val="auto"/>
        </w:rPr>
      </w:pPr>
      <w:r>
        <w:rPr>
          <w:rFonts w:ascii="Arial" w:cs="Arial" w:eastAsia="Arial" w:hAnsi="Arial"/>
          <w:sz w:val="18"/>
          <w:szCs w:val="18"/>
          <w:b w:val="1"/>
          <w:bCs w:val="1"/>
          <w:i w:val="1"/>
          <w:iCs w:val="1"/>
          <w:color w:val="auto"/>
        </w:rPr>
        <w:t>Our prospects for successful development and commercialization of our partnered products and product candidates are dependent upon the research, development and marketing efforts of our collaborators.</w:t>
      </w:r>
    </w:p>
    <w:p>
      <w:pPr>
        <w:spacing w:after="0" w:line="62" w:lineRule="exact"/>
        <w:rPr>
          <w:sz w:val="20"/>
          <w:szCs w:val="20"/>
          <w:color w:val="auto"/>
        </w:rPr>
      </w:pPr>
    </w:p>
    <w:p>
      <w:pPr>
        <w:ind w:right="40" w:firstLine="518"/>
        <w:spacing w:after="0" w:line="279" w:lineRule="auto"/>
        <w:rPr>
          <w:sz w:val="20"/>
          <w:szCs w:val="20"/>
          <w:color w:val="auto"/>
        </w:rPr>
      </w:pPr>
      <w:r>
        <w:rPr>
          <w:rFonts w:ascii="Arial" w:cs="Arial" w:eastAsia="Arial" w:hAnsi="Arial"/>
          <w:sz w:val="17"/>
          <w:szCs w:val="17"/>
          <w:color w:val="auto"/>
        </w:rPr>
        <w:t>We have no control over the resources, time and effort that our collaborators may devote to our programs and limited access to information regarding or resulting from such programs. We are dependent on Teva, Genentech, and Merck to fund and conduct the research and any clinical development of product candidates under our collaboration with each of them, and for the successful regulatory approval, marketing and commercialization of one or more of such products or product candidates. Such success will be subject to significant uncertainty.</w:t>
      </w:r>
    </w:p>
    <w:p>
      <w:pPr>
        <w:spacing w:after="0" w:line="17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Our ability to recognize revenue from successful collaborations may be impaired by multiple factors including:</w:t>
      </w:r>
    </w:p>
    <w:p>
      <w:pPr>
        <w:spacing w:after="0" w:line="117" w:lineRule="exact"/>
        <w:rPr>
          <w:sz w:val="20"/>
          <w:szCs w:val="20"/>
          <w:color w:val="auto"/>
        </w:rPr>
      </w:pPr>
    </w:p>
    <w:p>
      <w:pPr>
        <w:ind w:left="1040" w:hanging="519"/>
        <w:spacing w:after="0" w:line="277" w:lineRule="auto"/>
        <w:tabs>
          <w:tab w:leader="none" w:pos="10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 collaborator may shift its priorities and resources away from our programs due to a change in business strategies, or a merger, acquisition, sale or downsizing of its company or business unit;</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 collaborator may cease development in therapeutic areas which are the subject of our strategic alliances;</w:t>
      </w:r>
    </w:p>
    <w:p>
      <w:pPr>
        <w:spacing w:after="0" w:line="117" w:lineRule="exact"/>
        <w:rPr>
          <w:rFonts w:ascii="Arial" w:cs="Arial" w:eastAsia="Arial" w:hAnsi="Arial"/>
          <w:sz w:val="18"/>
          <w:szCs w:val="18"/>
          <w:color w:val="auto"/>
        </w:rPr>
      </w:pPr>
    </w:p>
    <w:p>
      <w:pPr>
        <w:ind w:left="1040" w:right="200" w:hanging="519"/>
        <w:spacing w:after="0" w:line="277" w:lineRule="auto"/>
        <w:tabs>
          <w:tab w:leader="none" w:pos="10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 collaborator may change the success criteria for a particular program or product candidate thereby delaying or ceasing development of such program or candidate;</w:t>
      </w:r>
    </w:p>
    <w:p>
      <w:pPr>
        <w:spacing w:after="0" w:line="62" w:lineRule="exact"/>
        <w:rPr>
          <w:rFonts w:ascii="Arial" w:cs="Arial" w:eastAsia="Arial" w:hAnsi="Arial"/>
          <w:sz w:val="18"/>
          <w:szCs w:val="18"/>
          <w:color w:val="auto"/>
        </w:rPr>
      </w:pPr>
    </w:p>
    <w:p>
      <w:pPr>
        <w:ind w:left="1040" w:right="140" w:hanging="519"/>
        <w:spacing w:after="0" w:line="277" w:lineRule="auto"/>
        <w:tabs>
          <w:tab w:leader="none" w:pos="10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 significant delay in initiation of certain development activities by a collaborator will also delay payment of milestones tied to such activities, thereby impacting our ability to fund our own activities;</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 collaborator could develop a product that competes, either directly or indirectly, with our current or future products, if any;</w:t>
      </w:r>
    </w:p>
    <w:p>
      <w:pPr>
        <w:spacing w:after="0" w:line="117" w:lineRule="exact"/>
        <w:rPr>
          <w:rFonts w:ascii="Arial" w:cs="Arial" w:eastAsia="Arial" w:hAnsi="Arial"/>
          <w:sz w:val="18"/>
          <w:szCs w:val="18"/>
          <w:color w:val="auto"/>
        </w:rPr>
      </w:pPr>
    </w:p>
    <w:p>
      <w:pPr>
        <w:ind w:left="1040" w:right="60" w:hanging="519"/>
        <w:spacing w:after="0" w:line="277" w:lineRule="auto"/>
        <w:tabs>
          <w:tab w:leader="none" w:pos="10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 collaborator with commercialization obligations may not commit sufficient financial or human resources to the marketing, distribution or sale of a product;</w:t>
      </w:r>
    </w:p>
    <w:p>
      <w:pPr>
        <w:spacing w:after="0" w:line="62" w:lineRule="exact"/>
        <w:rPr>
          <w:rFonts w:ascii="Arial" w:cs="Arial" w:eastAsia="Arial" w:hAnsi="Arial"/>
          <w:sz w:val="18"/>
          <w:szCs w:val="18"/>
          <w:color w:val="auto"/>
        </w:rPr>
      </w:pPr>
    </w:p>
    <w:p>
      <w:pPr>
        <w:ind w:left="1040" w:right="760" w:hanging="519"/>
        <w:spacing w:after="0" w:line="277" w:lineRule="auto"/>
        <w:tabs>
          <w:tab w:leader="none" w:pos="10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 collaborator with manufacturing responsibilities may encounter regulatory, resource or quality issues and be unable to meet demand requirements;</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 collaborator may exercise its rights under the agreement to terminate our collaboration;</w:t>
      </w:r>
    </w:p>
    <w:p>
      <w:pPr>
        <w:spacing w:after="0" w:line="117" w:lineRule="exact"/>
        <w:rPr>
          <w:rFonts w:ascii="Arial" w:cs="Arial" w:eastAsia="Arial" w:hAnsi="Arial"/>
          <w:sz w:val="18"/>
          <w:szCs w:val="18"/>
          <w:color w:val="auto"/>
        </w:rPr>
      </w:pPr>
    </w:p>
    <w:p>
      <w:pPr>
        <w:ind w:left="1040" w:right="60" w:hanging="519"/>
        <w:spacing w:after="0" w:line="286" w:lineRule="auto"/>
        <w:tabs>
          <w:tab w:leader="none" w:pos="1040" w:val="left"/>
        </w:tabs>
        <w:numPr>
          <w:ilvl w:val="0"/>
          <w:numId w:val="38"/>
        </w:numPr>
        <w:rPr>
          <w:rFonts w:ascii="Arial" w:cs="Arial" w:eastAsia="Arial" w:hAnsi="Arial"/>
          <w:sz w:val="17"/>
          <w:szCs w:val="17"/>
          <w:color w:val="auto"/>
        </w:rPr>
      </w:pPr>
      <w:r>
        <w:rPr>
          <w:rFonts w:ascii="Arial" w:cs="Arial" w:eastAsia="Arial" w:hAnsi="Arial"/>
          <w:sz w:val="17"/>
          <w:szCs w:val="17"/>
          <w:color w:val="auto"/>
        </w:rPr>
        <w:t>a dispute may arise between us and a collaborator concerning the research or development of a product candidate, commercialization of a product or payment of royalties or milestone payments, any of which could result in a delay in milestones, royalty payments or termination of a program and possibly resulting in costly litigation or arbitration which may divert management attention and resources;</w:t>
      </w:r>
    </w:p>
    <w:p>
      <w:pPr>
        <w:spacing w:after="0" w:line="57" w:lineRule="exact"/>
        <w:rPr>
          <w:rFonts w:ascii="Arial" w:cs="Arial" w:eastAsia="Arial" w:hAnsi="Arial"/>
          <w:sz w:val="17"/>
          <w:szCs w:val="17"/>
          <w:color w:val="auto"/>
        </w:rPr>
      </w:pPr>
    </w:p>
    <w:p>
      <w:pPr>
        <w:ind w:left="1040" w:hanging="519"/>
        <w:spacing w:after="0"/>
        <w:tabs>
          <w:tab w:leader="none" w:pos="10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 collaborator may not adequately protect the intellectual property rights associated with a product or product candidate;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 collaborator may use our proprietary information or intellectual property in such a way as to invite litigation from a third party.</w:t>
      </w:r>
    </w:p>
    <w:p>
      <w:pPr>
        <w:spacing w:after="0" w:line="225" w:lineRule="exact"/>
        <w:rPr>
          <w:sz w:val="20"/>
          <w:szCs w:val="20"/>
          <w:color w:val="auto"/>
        </w:rPr>
      </w:pPr>
    </w:p>
    <w:p>
      <w:pPr>
        <w:ind w:right="80" w:firstLine="518"/>
        <w:spacing w:after="0" w:line="273" w:lineRule="auto"/>
        <w:rPr>
          <w:sz w:val="20"/>
          <w:szCs w:val="20"/>
          <w:color w:val="auto"/>
        </w:rPr>
      </w:pPr>
      <w:r>
        <w:rPr>
          <w:rFonts w:ascii="Arial" w:cs="Arial" w:eastAsia="Arial" w:hAnsi="Arial"/>
          <w:sz w:val="17"/>
          <w:szCs w:val="17"/>
          <w:color w:val="auto"/>
        </w:rPr>
        <w:t>If our collaborators do not perform in the manner we expect or fulfill their responsibilities in a timely manner, or at all, the clinical development, regulatory approval and commercialization efforts could be delayed, terminated or be commercially unsuccessful. Conflicts between us and our collaborators may arise. In the event of termination of one or more of our collaboration agreements, it may become necessary for us to assume the responsibility of any terminated product or product candidates at our own expense or seek new collaborators. In that event, we would likely be required to limit the size and scope of one or more of our independent programs or increase our expenditures and seek additional funding which may not be available on acceptable terms or at all, and our business would be materially and adversely affected.</w:t>
      </w:r>
    </w:p>
    <w:p>
      <w:pPr>
        <w:spacing w:after="0" w:line="287" w:lineRule="exact"/>
        <w:rPr>
          <w:sz w:val="20"/>
          <w:szCs w:val="20"/>
          <w:color w:val="auto"/>
        </w:rPr>
      </w:pPr>
    </w:p>
    <w:p>
      <w:pPr>
        <w:ind w:right="100" w:firstLine="259"/>
        <w:spacing w:after="0" w:line="277" w:lineRule="auto"/>
        <w:rPr>
          <w:sz w:val="20"/>
          <w:szCs w:val="20"/>
          <w:color w:val="auto"/>
        </w:rPr>
      </w:pPr>
      <w:r>
        <w:rPr>
          <w:rFonts w:ascii="Arial" w:cs="Arial" w:eastAsia="Arial" w:hAnsi="Arial"/>
          <w:sz w:val="18"/>
          <w:szCs w:val="18"/>
          <w:b w:val="1"/>
          <w:bCs w:val="1"/>
          <w:i w:val="1"/>
          <w:iCs w:val="1"/>
          <w:color w:val="auto"/>
        </w:rPr>
        <w:t>We may not be successful in establishing new collaborations or maintaining our existing alliances, which could adversely affect our ability to develop future product candidates and commercialize future products.</w:t>
      </w:r>
    </w:p>
    <w:p>
      <w:pPr>
        <w:spacing w:after="0" w:line="62" w:lineRule="exact"/>
        <w:rPr>
          <w:sz w:val="20"/>
          <w:szCs w:val="20"/>
          <w:color w:val="auto"/>
        </w:rPr>
      </w:pPr>
    </w:p>
    <w:p>
      <w:pPr>
        <w:ind w:right="20" w:firstLine="518"/>
        <w:spacing w:after="0" w:line="271" w:lineRule="auto"/>
        <w:rPr>
          <w:sz w:val="20"/>
          <w:szCs w:val="20"/>
          <w:color w:val="auto"/>
        </w:rPr>
      </w:pPr>
      <w:r>
        <w:rPr>
          <w:rFonts w:ascii="Arial" w:cs="Arial" w:eastAsia="Arial" w:hAnsi="Arial"/>
          <w:sz w:val="17"/>
          <w:szCs w:val="17"/>
          <w:color w:val="auto"/>
        </w:rPr>
        <w:t>We may seek to enter into additional product collaborations in the future, including alliances with other biotechnology or pharmaceutical companies, to enhance and accelerate the development of our future product candidates and the commercialization of any resulting products. We face significant competition in seeking appropriate collaborators and the negotiation process is time-consuming and complex. Moreover, we may not be successful in our efforts to establish other collaborations or other alternative arrangements for any future product candidates because our research and development pipeline may be insufficient, our product candidates may be deemed to be at too early of a stage of development for collaboration effort and/or third parties may view our product candidates as lacking the requisite potential to demonstrate safety and efficacy. Even if we are successful in our efforts to establish collaborations, the terms that we agree upon may not be favorable to us and we may not be able to maintain such collaborations if, for example, development or approval of a product candidate is delayed or sales of an approved product are disappointing.</w:t>
      </w: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63" w:right="239" w:bottom="1440" w:gutter="0" w:footer="0" w:header="0"/>
        </w:sectPr>
      </w:pPr>
    </w:p>
    <w:bookmarkStart w:id="41" w:name="page42"/>
    <w:bookmarkEnd w:id="41"/>
    <w:p>
      <w:pPr>
        <w:ind w:right="200" w:firstLine="518"/>
        <w:spacing w:after="0" w:line="277" w:lineRule="auto"/>
        <w:rPr>
          <w:sz w:val="20"/>
          <w:szCs w:val="20"/>
          <w:color w:val="auto"/>
        </w:rPr>
      </w:pPr>
      <w:r>
        <w:rPr>
          <w:rFonts w:ascii="Arial" w:cs="Arial" w:eastAsia="Arial" w:hAnsi="Arial"/>
          <w:sz w:val="18"/>
          <w:szCs w:val="18"/>
          <w:color w:val="auto"/>
        </w:rPr>
        <w:t>If any of our existing collaboration agreements is terminated, or if we determine that entering into other product collaborations is in our best interest but we either fail to enter into, delay in entering into or fail to maintain such collaborations:</w:t>
      </w:r>
    </w:p>
    <w:p>
      <w:pPr>
        <w:spacing w:after="0" w:line="62" w:lineRule="exact"/>
        <w:rPr>
          <w:sz w:val="20"/>
          <w:szCs w:val="20"/>
          <w:color w:val="auto"/>
        </w:rPr>
      </w:pPr>
    </w:p>
    <w:p>
      <w:pPr>
        <w:ind w:left="1040" w:hanging="519"/>
        <w:spacing w:after="0"/>
        <w:tabs>
          <w:tab w:leader="none" w:pos="10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development of certain of our current or future product candidates may be terminated or delayed;</w:t>
      </w:r>
    </w:p>
    <w:p>
      <w:pPr>
        <w:spacing w:after="0" w:line="117" w:lineRule="exact"/>
        <w:rPr>
          <w:rFonts w:ascii="Arial" w:cs="Arial" w:eastAsia="Arial" w:hAnsi="Arial"/>
          <w:sz w:val="18"/>
          <w:szCs w:val="18"/>
          <w:color w:val="auto"/>
        </w:rPr>
      </w:pPr>
    </w:p>
    <w:p>
      <w:pPr>
        <w:ind w:left="1040" w:right="540" w:hanging="519"/>
        <w:spacing w:after="0" w:line="277" w:lineRule="auto"/>
        <w:tabs>
          <w:tab w:leader="none" w:pos="10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our cash expenditures related to development of our product candidates would increase significantly and we may need to seek additional financing sooner than expected;</w:t>
      </w:r>
    </w:p>
    <w:p>
      <w:pPr>
        <w:spacing w:after="0" w:line="62" w:lineRule="exact"/>
        <w:rPr>
          <w:rFonts w:ascii="Arial" w:cs="Arial" w:eastAsia="Arial" w:hAnsi="Arial"/>
          <w:sz w:val="18"/>
          <w:szCs w:val="18"/>
          <w:color w:val="auto"/>
        </w:rPr>
      </w:pPr>
    </w:p>
    <w:p>
      <w:pPr>
        <w:ind w:left="1040" w:right="340" w:hanging="519"/>
        <w:spacing w:after="0" w:line="277" w:lineRule="auto"/>
        <w:tabs>
          <w:tab w:leader="none" w:pos="10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we may be required to hire additional employees or otherwise develop expertise, such as clinical, regulatory, sales and marketing expertise, which we do not currently have;</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we will bear all of the risk related to the development of any such product candidates;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competitiveness of any product that is commercialized could be reduced.</w:t>
      </w:r>
    </w:p>
    <w:p>
      <w:pPr>
        <w:spacing w:after="0" w:line="333" w:lineRule="exact"/>
        <w:rPr>
          <w:sz w:val="20"/>
          <w:szCs w:val="20"/>
          <w:color w:val="auto"/>
        </w:rPr>
      </w:pPr>
    </w:p>
    <w:p>
      <w:pPr>
        <w:ind w:right="520" w:firstLine="259"/>
        <w:spacing w:after="0" w:line="375" w:lineRule="auto"/>
        <w:rPr>
          <w:sz w:val="20"/>
          <w:szCs w:val="20"/>
          <w:color w:val="auto"/>
        </w:rPr>
      </w:pPr>
      <w:r>
        <w:rPr>
          <w:rFonts w:ascii="Arial" w:cs="Arial" w:eastAsia="Arial" w:hAnsi="Arial"/>
          <w:sz w:val="15"/>
          <w:szCs w:val="15"/>
          <w:b w:val="1"/>
          <w:bCs w:val="1"/>
          <w:i w:val="1"/>
          <w:iCs w:val="1"/>
          <w:color w:val="auto"/>
        </w:rPr>
        <w:t>We intend to rely on third-party manufacturers to produce our clinical product candidate supplies. Any failure by a third-party manufacturer to produce acceptable supplies for us may delay or impair our ability to initiate or complete our clinical trials or commercialize approved products.</w:t>
      </w:r>
    </w:p>
    <w:p>
      <w:pPr>
        <w:spacing w:after="0" w:line="1" w:lineRule="exact"/>
        <w:rPr>
          <w:sz w:val="20"/>
          <w:szCs w:val="20"/>
          <w:color w:val="auto"/>
        </w:rPr>
      </w:pPr>
    </w:p>
    <w:p>
      <w:pPr>
        <w:ind w:firstLine="518"/>
        <w:spacing w:after="0" w:line="255" w:lineRule="auto"/>
        <w:rPr>
          <w:sz w:val="20"/>
          <w:szCs w:val="20"/>
          <w:color w:val="auto"/>
        </w:rPr>
      </w:pPr>
      <w:r>
        <w:rPr>
          <w:rFonts w:ascii="Arial" w:cs="Arial" w:eastAsia="Arial" w:hAnsi="Arial"/>
          <w:sz w:val="18"/>
          <w:szCs w:val="18"/>
          <w:color w:val="auto"/>
        </w:rPr>
        <w:t>We do not currently own or operate any manufacturing facilities nor do we have any in-house manufacturing experience or personnel. We rely on our collaborators to manufacture product candidates licensed to them or work with multiple third party contract manufacturers to produce sufficient quantities of materials required for the manufacture of our product candidates for preclinical testing and clinical trials and intend to do so for the commercial manufacture of our products. If we are unable to arrange for such third-party manufacturing sources, or fail to do so on commercially reasonable terms, we may not be able to successfully produce sufficient supply of product candidate or we may be delayed in doing so. Such failure or substantial delay could materially harm our business.</w:t>
      </w:r>
    </w:p>
    <w:p>
      <w:pPr>
        <w:spacing w:after="0" w:line="193" w:lineRule="exact"/>
        <w:rPr>
          <w:sz w:val="20"/>
          <w:szCs w:val="20"/>
          <w:color w:val="auto"/>
        </w:rPr>
      </w:pPr>
    </w:p>
    <w:p>
      <w:pPr>
        <w:ind w:right="40" w:firstLine="518"/>
        <w:spacing w:after="0" w:line="287" w:lineRule="auto"/>
        <w:rPr>
          <w:sz w:val="20"/>
          <w:szCs w:val="20"/>
          <w:color w:val="auto"/>
        </w:rPr>
      </w:pPr>
      <w:r>
        <w:rPr>
          <w:rFonts w:ascii="Arial" w:cs="Arial" w:eastAsia="Arial" w:hAnsi="Arial"/>
          <w:sz w:val="16"/>
          <w:szCs w:val="16"/>
          <w:color w:val="auto"/>
        </w:rPr>
        <w:t>Reliance on third-party manufacturers entails risks to which we would not be subject if we manufactured product candidates ourselves, including reliance on the third party for regulatory compliance and quality control and assurance, volume production, the possibility of breach of the manufacturing agreement by the third party because of factors beyond our control (including a failure to synthesize and manufacture our product candidates in accordance with our product specifications) and the possibility of termination or nonrenewal of the agreement by the third party at a time that is costly or damaging to us. In addition, the FDA, EMA and other regulatory authorities require that our product candidates be manufactured according to cGMP and similar foreign standards. Pharmaceutical manufacturers and their subcontractors are required to register their facilities and/or products manufactured at the time of submission of the marketing application and then annually thereafter with the FDA and certain state and foreign agencies. They are also subject to periodic unannounced inspections by the FDA, state and other foreign authorities. Any subsequent discovery of problems with a product, or a manufacturing or laboratory facility used by us or our collaborators, may result in restrictions on the product or on the manufacturing or laboratory facility, including marketed product recall, suspension of manufacturing, product seizure, or a voluntary withdrawal of the drug from the market. Any failure by our third-party manufacturers to comply with cGMP or failure to scale up manufacturing processes, including any failure to deliver sufficient quantities of product candidates in a timely manner, could lead to a delay in, or failure to obtain, regulatory approval of any of our product candidates.</w:t>
      </w:r>
    </w:p>
    <w:p>
      <w:pPr>
        <w:spacing w:after="0" w:line="277" w:lineRule="exact"/>
        <w:rPr>
          <w:sz w:val="20"/>
          <w:szCs w:val="20"/>
          <w:color w:val="auto"/>
        </w:rPr>
      </w:pPr>
    </w:p>
    <w:p>
      <w:pPr>
        <w:ind w:right="20" w:firstLine="259"/>
        <w:spacing w:after="0" w:line="257" w:lineRule="auto"/>
        <w:rPr>
          <w:sz w:val="20"/>
          <w:szCs w:val="20"/>
          <w:color w:val="auto"/>
        </w:rPr>
      </w:pPr>
      <w:r>
        <w:rPr>
          <w:rFonts w:ascii="Arial" w:cs="Arial" w:eastAsia="Arial" w:hAnsi="Arial"/>
          <w:sz w:val="18"/>
          <w:szCs w:val="18"/>
          <w:b w:val="1"/>
          <w:bCs w:val="1"/>
          <w:i w:val="1"/>
          <w:iCs w:val="1"/>
          <w:color w:val="auto"/>
        </w:rPr>
        <w:t>We rely on third parties to monitor, support, conduct and/or oversee clinical trials of the product candidates that we are developing independently and, in some cases, to maintain regulatory files for those product candidates. We may not be able to obtain regulatory approval for our product candidates or commercialize any products that may result from our development efforts, if we are not able to maintain or secure agreements with such third parties on acceptable terms, if these third parties do not perform their services as required, or if these third parties fail to timely transfer any regulatory information held by them to us.</w:t>
      </w:r>
    </w:p>
    <w:p>
      <w:pPr>
        <w:spacing w:after="0" w:line="80" w:lineRule="exact"/>
        <w:rPr>
          <w:sz w:val="20"/>
          <w:szCs w:val="20"/>
          <w:color w:val="auto"/>
        </w:rPr>
      </w:pPr>
    </w:p>
    <w:p>
      <w:pPr>
        <w:ind w:right="60" w:firstLine="518"/>
        <w:spacing w:after="0" w:line="279" w:lineRule="auto"/>
        <w:rPr>
          <w:sz w:val="20"/>
          <w:szCs w:val="20"/>
          <w:color w:val="auto"/>
        </w:rPr>
      </w:pPr>
      <w:r>
        <w:rPr>
          <w:rFonts w:ascii="Arial" w:cs="Arial" w:eastAsia="Arial" w:hAnsi="Arial"/>
          <w:sz w:val="17"/>
          <w:szCs w:val="17"/>
          <w:color w:val="auto"/>
        </w:rPr>
        <w:t>We rely on entities outside of our control, which may include academic institutions, CROs, hospitals, clinics and other third-party collaborators, to monitor, support, conduct and/or oversee preclinical and clinical studies of our current and future product candidates. We also rely on third parties to perform clinical trials on our current and future product candidates when they reach that stage. As a result, we have less control over the timing and cost of these studies and the ability to recruit trial subjects than if we conducted these trials with our own personnel.</w:t>
      </w: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55" w:right="259" w:bottom="1440" w:gutter="0" w:footer="0" w:header="0"/>
        </w:sectPr>
      </w:pPr>
    </w:p>
    <w:bookmarkStart w:id="42" w:name="page43"/>
    <w:bookmarkEnd w:id="42"/>
    <w:p>
      <w:pPr>
        <w:ind w:firstLine="518"/>
        <w:spacing w:after="0" w:line="254" w:lineRule="auto"/>
        <w:rPr>
          <w:sz w:val="20"/>
          <w:szCs w:val="20"/>
          <w:color w:val="auto"/>
        </w:rPr>
      </w:pPr>
      <w:r>
        <w:rPr>
          <w:rFonts w:ascii="Arial" w:cs="Arial" w:eastAsia="Arial" w:hAnsi="Arial"/>
          <w:sz w:val="18"/>
          <w:szCs w:val="18"/>
          <w:color w:val="auto"/>
        </w:rPr>
        <w:t>If we are unable to maintain or enter into agreements with these third parties on acceptable terms, or if any such engagement is terminated prematurely, we may be unable to enroll patients on a timely basis or otherwise conduct our trials in the manner we anticipate. In addition, there is no guarantee that these third parties will devote adequate time and resources to our studies or perform as required by our contract or in accordance with regulatory requirements, including maintenance of clinical trial information regarding our product candidates. If these third parties fail to meet expected deadlines, fail to transfer to us any regulatory information in a timely manner, fail to adhere to protocols or fail to act in accordance with regulatory requirements or our agreements with them, or if they otherwise perform in a substandard manner or in a way that compromises the quality or accuracy of their activities or the data they obtain, then clinical trials of our future product candidates may be extended or delayed with additional costs incurred, or our data may be rejected by the FDA, EMA or other regulatory agencies.</w:t>
      </w:r>
    </w:p>
    <w:p>
      <w:pPr>
        <w:spacing w:after="0" w:line="192" w:lineRule="exact"/>
        <w:rPr>
          <w:sz w:val="20"/>
          <w:szCs w:val="20"/>
          <w:color w:val="auto"/>
        </w:rPr>
      </w:pPr>
    </w:p>
    <w:p>
      <w:pPr>
        <w:ind w:right="20" w:firstLine="518"/>
        <w:spacing w:after="0" w:line="277" w:lineRule="auto"/>
        <w:rPr>
          <w:sz w:val="20"/>
          <w:szCs w:val="20"/>
          <w:color w:val="auto"/>
        </w:rPr>
      </w:pPr>
      <w:r>
        <w:rPr>
          <w:rFonts w:ascii="Arial" w:cs="Arial" w:eastAsia="Arial" w:hAnsi="Arial"/>
          <w:sz w:val="18"/>
          <w:szCs w:val="18"/>
          <w:color w:val="auto"/>
        </w:rPr>
        <w:t>Ultimately, we are responsible for ensuring that each of our clinical trials is conducted in accordance with the applicable protocol, legal, regulatory and scientific standards, and our reliance on third parties does not relieve us of our regulatory responsibilities.</w:t>
      </w:r>
    </w:p>
    <w:p>
      <w:pPr>
        <w:spacing w:after="0" w:line="170" w:lineRule="exact"/>
        <w:rPr>
          <w:sz w:val="20"/>
          <w:szCs w:val="20"/>
          <w:color w:val="auto"/>
        </w:rPr>
      </w:pPr>
    </w:p>
    <w:p>
      <w:pPr>
        <w:ind w:firstLine="518"/>
        <w:spacing w:after="0" w:line="253" w:lineRule="auto"/>
        <w:rPr>
          <w:sz w:val="20"/>
          <w:szCs w:val="20"/>
          <w:color w:val="auto"/>
        </w:rPr>
      </w:pPr>
      <w:r>
        <w:rPr>
          <w:rFonts w:ascii="Arial" w:cs="Arial" w:eastAsia="Arial" w:hAnsi="Arial"/>
          <w:sz w:val="18"/>
          <w:szCs w:val="18"/>
          <w:color w:val="auto"/>
        </w:rPr>
        <w:t>We and our CROs are required to comply with cGCP regulations and guidelines enforced by the FDA, the competent authorities of the member states of the European Economic Area and comparable foreign regulatory authorities for products in clinical development. Regulatory authorities enforce these cGCP regulations through periodic inspections of clinical trial sponsors, principal investigators and clinical trial sites. If we or any of our CROs fail to comply with applicable cGCP regulations, the clinical data generated in our clinical trials may be deemed unreliable and our submission of marketing applications may be delayed or the FDA may require us to perform additional clinical trials before approving our marketing applications. Upon inspection, the FDA could determine that any of our clinical trials fail or have failed to comply with applicable cGCP regulations. In addition, our clinical trials must be conducted with product produced under the cGMP regulations enforced by the FDA, and our clinical trials may require a large number of test subjects. Our failure to comply with these regulations may require us to repeat clinical trials, which would delay the regulatory approval process and increase our costs. Moreover, our business may be implicated if any of our CROs violates federal or state fraud and abuse or false claims laws and regulations or healthcare privacy and security laws.</w:t>
      </w:r>
    </w:p>
    <w:p>
      <w:pPr>
        <w:spacing w:after="0" w:line="195" w:lineRule="exact"/>
        <w:rPr>
          <w:sz w:val="20"/>
          <w:szCs w:val="20"/>
          <w:color w:val="auto"/>
        </w:rPr>
      </w:pPr>
    </w:p>
    <w:p>
      <w:pPr>
        <w:ind w:right="60" w:firstLine="518"/>
        <w:spacing w:after="0" w:line="286" w:lineRule="auto"/>
        <w:rPr>
          <w:sz w:val="20"/>
          <w:szCs w:val="20"/>
          <w:color w:val="auto"/>
        </w:rPr>
      </w:pPr>
      <w:r>
        <w:rPr>
          <w:rFonts w:ascii="Arial" w:cs="Arial" w:eastAsia="Arial" w:hAnsi="Arial"/>
          <w:sz w:val="17"/>
          <w:szCs w:val="17"/>
          <w:color w:val="auto"/>
        </w:rPr>
        <w:t>If any of our clinical trial sites terminates for any reason, we may experience the loss of follow-up information on patients enrolled in our ongoing clinical trials unless we are able to transfer the care of those patients to another qualified clinical trial site. Further, if our relationship with any of our CROs is terminated, we may be unable to enter into arrangements with alternative CROs on commercially reasonable terms, or at all.</w:t>
      </w:r>
    </w:p>
    <w:p>
      <w:pPr>
        <w:spacing w:after="0" w:line="166" w:lineRule="exact"/>
        <w:rPr>
          <w:sz w:val="20"/>
          <w:szCs w:val="20"/>
          <w:color w:val="auto"/>
        </w:rPr>
      </w:pPr>
    </w:p>
    <w:p>
      <w:pPr>
        <w:ind w:firstLine="518"/>
        <w:spacing w:after="0" w:line="259" w:lineRule="auto"/>
        <w:rPr>
          <w:sz w:val="20"/>
          <w:szCs w:val="20"/>
          <w:color w:val="auto"/>
        </w:rPr>
      </w:pPr>
      <w:r>
        <w:rPr>
          <w:rFonts w:ascii="Arial" w:cs="Arial" w:eastAsia="Arial" w:hAnsi="Arial"/>
          <w:sz w:val="18"/>
          <w:szCs w:val="18"/>
          <w:color w:val="auto"/>
        </w:rPr>
        <w:t>Switching or adding CROs or other suppliers can involve substantial cost and require extensive management time and focus. In addition, there is a natural transition period when a new CRO or supplier commences work. As a result, delays may occur, which can materially impact our ability to meet our desired clinical development timelines. If we are required to seek alternative supply arrangements, the resulting delays and potential inability to find a suitable replacement could materially and adversely impact our business.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Intellectual Property</w:t>
      </w:r>
    </w:p>
    <w:p>
      <w:pPr>
        <w:spacing w:after="0" w:line="121" w:lineRule="exact"/>
        <w:rPr>
          <w:sz w:val="20"/>
          <w:szCs w:val="20"/>
          <w:color w:val="auto"/>
        </w:rPr>
      </w:pPr>
    </w:p>
    <w:p>
      <w:pPr>
        <w:ind w:left="260"/>
        <w:spacing w:after="0"/>
        <w:rPr>
          <w:sz w:val="20"/>
          <w:szCs w:val="20"/>
          <w:color w:val="auto"/>
        </w:rPr>
      </w:pPr>
      <w:r>
        <w:rPr>
          <w:rFonts w:ascii="Arial" w:cs="Arial" w:eastAsia="Arial" w:hAnsi="Arial"/>
          <w:sz w:val="17"/>
          <w:szCs w:val="17"/>
          <w:b w:val="1"/>
          <w:bCs w:val="1"/>
          <w:i w:val="1"/>
          <w:iCs w:val="1"/>
          <w:color w:val="auto"/>
        </w:rPr>
        <w:t>We could be unsuccessful in obtaining or maintaining adequate patent protection for one or more of our products or product candidates.</w:t>
      </w:r>
    </w:p>
    <w:p>
      <w:pPr>
        <w:spacing w:after="0" w:line="129" w:lineRule="exact"/>
        <w:rPr>
          <w:sz w:val="20"/>
          <w:szCs w:val="20"/>
          <w:color w:val="auto"/>
        </w:rPr>
      </w:pPr>
    </w:p>
    <w:p>
      <w:pPr>
        <w:ind w:firstLine="518"/>
        <w:spacing w:after="0" w:line="270" w:lineRule="auto"/>
        <w:rPr>
          <w:sz w:val="20"/>
          <w:szCs w:val="20"/>
          <w:color w:val="auto"/>
        </w:rPr>
      </w:pPr>
      <w:r>
        <w:rPr>
          <w:rFonts w:ascii="Arial" w:cs="Arial" w:eastAsia="Arial" w:hAnsi="Arial"/>
          <w:sz w:val="17"/>
          <w:szCs w:val="17"/>
          <w:color w:val="auto"/>
        </w:rPr>
        <w:t>Our commercial success will depend, in large part, on our ability to obtain and maintain patent and other intellectual property protection with respect to our product candidates. Patents might not be issued or granted with respect to our patent applications that are currently pending, and issued or granted patents might later be found to be invalid or unenforceable, be interpreted in a manner that does not adequately protect our current product or any future products, or fail to otherwise provide us with any competitive advantage. The patent position of biotechnology and pharmaceutical companies is generally uncertain because it involves complex legal and factual considerations. The standards applied by the U.S. Patent and Trademark Office, or USPTO, and foreign patent offices in granting patents are not always applied uniformly or predictably. For example, there is no uniform worldwide policy regarding patentable subject matter or the scope of claims allowable in biotechnology and pharmaceutical patents. Consequently, patents may not issue from our pending patent applications. As such, we do not know the degree of future protection that we will have on our proprietary products and technology, if any, and a failure to obtain adequate intellectual property protection with respect to our product candidates and proprietary technology could have a material adverse impact on our business.</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55" w:right="239" w:bottom="1440" w:gutter="0" w:footer="0" w:header="0"/>
        </w:sectPr>
      </w:pPr>
    </w:p>
    <w:bookmarkStart w:id="43" w:name="page44"/>
    <w:bookmarkEnd w:id="43"/>
    <w:p>
      <w:pPr>
        <w:ind w:firstLine="518"/>
        <w:spacing w:after="0" w:line="253" w:lineRule="auto"/>
        <w:rPr>
          <w:sz w:val="20"/>
          <w:szCs w:val="20"/>
          <w:color w:val="auto"/>
        </w:rPr>
      </w:pPr>
      <w:r>
        <w:rPr>
          <w:rFonts w:ascii="Arial" w:cs="Arial" w:eastAsia="Arial" w:hAnsi="Arial"/>
          <w:sz w:val="18"/>
          <w:szCs w:val="18"/>
          <w:color w:val="auto"/>
        </w:rPr>
        <w:t>Periodic maintenance fees, renewal fees, annuity fees and various other governmental fees on patents and/or applications will be due to be paid to the USPTO and various governmental patent agencies outside of the U.S. in several stages over the lifetime of the patents and/or applications. The USPTO and various non-US governmental patent agencies require compliance with a number of procedural, documentary, fee payment and other similar provisions during the patent application process. We employ reputable law firms and other professionals to help us comply with respect to the patents and patent applications that we own, and we rely upon our licensors or our other collaborators to effect compliance with respect to the patents and patent applications that we license. In many cases, an inadvertent lapse can be cured by payment of a late fee or by other means in accordance with the applicable rules. However, there are situations in which noncompliance can result in abandonment or lapse of the patent or patent application, resulting in partial or complete loss of patent rights in the relevant jurisdiction. In such an event, our competitors might be able to enter the market and this circumstance would have a material adverse effect on our business.</w:t>
      </w:r>
    </w:p>
    <w:p>
      <w:pPr>
        <w:spacing w:after="0" w:line="305"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Our intellectual property rights will not necessarily provide us with competitive advantages.</w:t>
      </w:r>
    </w:p>
    <w:p>
      <w:pPr>
        <w:spacing w:after="0" w:line="117" w:lineRule="exact"/>
        <w:rPr>
          <w:sz w:val="20"/>
          <w:szCs w:val="20"/>
          <w:color w:val="auto"/>
        </w:rPr>
      </w:pPr>
    </w:p>
    <w:p>
      <w:pPr>
        <w:ind w:right="180" w:firstLine="518"/>
        <w:spacing w:after="0" w:line="277" w:lineRule="auto"/>
        <w:rPr>
          <w:sz w:val="20"/>
          <w:szCs w:val="20"/>
          <w:color w:val="auto"/>
        </w:rPr>
      </w:pPr>
      <w:r>
        <w:rPr>
          <w:rFonts w:ascii="Arial" w:cs="Arial" w:eastAsia="Arial" w:hAnsi="Arial"/>
          <w:sz w:val="18"/>
          <w:szCs w:val="18"/>
          <w:color w:val="auto"/>
        </w:rPr>
        <w:t>The degree of future protection afforded by our intellectual property rights is uncertain because intellectual property rights have limitations, and may not adequately protect our business, or permit us to maintain our competitive advantage.</w:t>
      </w:r>
    </w:p>
    <w:p>
      <w:pPr>
        <w:spacing w:after="0" w:line="17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examples are illustrative:</w:t>
      </w:r>
    </w:p>
    <w:p>
      <w:pPr>
        <w:spacing w:after="0" w:line="117" w:lineRule="exact"/>
        <w:rPr>
          <w:sz w:val="20"/>
          <w:szCs w:val="20"/>
          <w:color w:val="auto"/>
        </w:rPr>
      </w:pPr>
    </w:p>
    <w:p>
      <w:pPr>
        <w:ind w:left="1040" w:right="20" w:hanging="519"/>
        <w:spacing w:after="0" w:line="277" w:lineRule="auto"/>
        <w:tabs>
          <w:tab w:leader="none" w:pos="10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others may be able to make compounds that are similar to our product candidates but that are not covered by the claims of the patents that we or our collaborators own or have exclusively licensed;</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others may independently develop similar or alternative technologies without infringing our intellectual property rights;</w:t>
      </w:r>
    </w:p>
    <w:p>
      <w:pPr>
        <w:spacing w:after="0" w:line="117" w:lineRule="exact"/>
        <w:rPr>
          <w:rFonts w:ascii="Arial" w:cs="Arial" w:eastAsia="Arial" w:hAnsi="Arial"/>
          <w:sz w:val="18"/>
          <w:szCs w:val="18"/>
          <w:color w:val="auto"/>
        </w:rPr>
      </w:pPr>
    </w:p>
    <w:p>
      <w:pPr>
        <w:ind w:left="1040" w:right="640" w:hanging="519"/>
        <w:spacing w:after="0" w:line="277" w:lineRule="auto"/>
        <w:tabs>
          <w:tab w:leader="none" w:pos="10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issued patents that we own or have exclusively licensed may not provide us with any competitive advantages, or may be held invalid or unenforceable, as a result of legal challenges by our competitors;</w:t>
      </w:r>
    </w:p>
    <w:p>
      <w:pPr>
        <w:spacing w:after="0" w:line="62" w:lineRule="exact"/>
        <w:rPr>
          <w:rFonts w:ascii="Arial" w:cs="Arial" w:eastAsia="Arial" w:hAnsi="Arial"/>
          <w:sz w:val="18"/>
          <w:szCs w:val="18"/>
          <w:color w:val="auto"/>
        </w:rPr>
      </w:pPr>
    </w:p>
    <w:p>
      <w:pPr>
        <w:ind w:left="1040" w:right="200" w:hanging="519"/>
        <w:spacing w:after="0" w:line="264" w:lineRule="auto"/>
        <w:tabs>
          <w:tab w:leader="none" w:pos="10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we may obtain patents for certain compounds many years before we obtain marketing approval for products containing such compounds, and because patents have a limited life, which may begin to run prior to the commercial sale of the related product, the commercial value of our patents may be limited;</w:t>
      </w:r>
    </w:p>
    <w:p>
      <w:pPr>
        <w:spacing w:after="0" w:line="73" w:lineRule="exact"/>
        <w:rPr>
          <w:rFonts w:ascii="Arial" w:cs="Arial" w:eastAsia="Arial" w:hAnsi="Arial"/>
          <w:sz w:val="18"/>
          <w:szCs w:val="18"/>
          <w:color w:val="auto"/>
        </w:rPr>
      </w:pPr>
    </w:p>
    <w:p>
      <w:pPr>
        <w:ind w:left="1040" w:right="880" w:hanging="519"/>
        <w:spacing w:after="0" w:line="308" w:lineRule="auto"/>
        <w:tabs>
          <w:tab w:leader="none" w:pos="1040" w:val="left"/>
        </w:tabs>
        <w:numPr>
          <w:ilvl w:val="0"/>
          <w:numId w:val="40"/>
        </w:numPr>
        <w:rPr>
          <w:rFonts w:ascii="Arial" w:cs="Arial" w:eastAsia="Arial" w:hAnsi="Arial"/>
          <w:sz w:val="17"/>
          <w:szCs w:val="17"/>
          <w:color w:val="auto"/>
        </w:rPr>
      </w:pPr>
      <w:r>
        <w:rPr>
          <w:rFonts w:ascii="Arial" w:cs="Arial" w:eastAsia="Arial" w:hAnsi="Arial"/>
          <w:sz w:val="17"/>
          <w:szCs w:val="17"/>
          <w:color w:val="auto"/>
        </w:rPr>
        <w:t>our competitors might conduct research and development activities in countries where we do not have patent rights and then use the information learned from such activities to develop competitive products for sale in our major commercial markets;</w:t>
      </w:r>
    </w:p>
    <w:p>
      <w:pPr>
        <w:spacing w:after="0" w:line="38" w:lineRule="exact"/>
        <w:rPr>
          <w:rFonts w:ascii="Arial" w:cs="Arial" w:eastAsia="Arial" w:hAnsi="Arial"/>
          <w:sz w:val="17"/>
          <w:szCs w:val="17"/>
          <w:color w:val="auto"/>
        </w:rPr>
      </w:pPr>
    </w:p>
    <w:p>
      <w:pPr>
        <w:ind w:left="1040" w:hanging="519"/>
        <w:spacing w:after="0"/>
        <w:tabs>
          <w:tab w:leader="none" w:pos="10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we may fail to develop additional proprietary technologies that are patentable;</w:t>
      </w:r>
    </w:p>
    <w:p>
      <w:pPr>
        <w:spacing w:after="0" w:line="117" w:lineRule="exact"/>
        <w:rPr>
          <w:rFonts w:ascii="Arial" w:cs="Arial" w:eastAsia="Arial" w:hAnsi="Arial"/>
          <w:sz w:val="18"/>
          <w:szCs w:val="18"/>
          <w:color w:val="auto"/>
        </w:rPr>
      </w:pPr>
    </w:p>
    <w:p>
      <w:pPr>
        <w:ind w:left="1040" w:right="40" w:hanging="519"/>
        <w:spacing w:after="0" w:line="277" w:lineRule="auto"/>
        <w:tabs>
          <w:tab w:leader="none" w:pos="10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laws of certain foreign countries may not protect our intellectual property rights to the same extent as the laws of the U.S., or we may fail to apply for or obtain adequate intellectual property protection in all the jurisdictions in which we operate; and</w:t>
      </w:r>
    </w:p>
    <w:p>
      <w:pPr>
        <w:spacing w:after="0" w:line="62" w:lineRule="exact"/>
        <w:rPr>
          <w:rFonts w:ascii="Arial" w:cs="Arial" w:eastAsia="Arial" w:hAnsi="Arial"/>
          <w:sz w:val="18"/>
          <w:szCs w:val="18"/>
          <w:color w:val="auto"/>
        </w:rPr>
      </w:pPr>
    </w:p>
    <w:p>
      <w:pPr>
        <w:ind w:left="1040" w:right="400" w:hanging="519"/>
        <w:spacing w:after="0" w:line="277" w:lineRule="auto"/>
        <w:tabs>
          <w:tab w:leader="none" w:pos="10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patents of others may have an adverse effect on our business, for example by preventing us from marketing one or more of our product candidates for one or more indications.</w:t>
      </w:r>
    </w:p>
    <w:p>
      <w:pPr>
        <w:spacing w:after="0" w:line="17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Any of the aforementioned threats to our competitive advantage could have a material adverse effect on our business.</w:t>
      </w:r>
    </w:p>
    <w:p>
      <w:pPr>
        <w:spacing w:after="0" w:line="333"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We may not be able to protect our intellectual property rights throughout the world.</w:t>
      </w:r>
    </w:p>
    <w:p>
      <w:pPr>
        <w:spacing w:after="0" w:line="117" w:lineRule="exact"/>
        <w:rPr>
          <w:sz w:val="20"/>
          <w:szCs w:val="20"/>
          <w:color w:val="auto"/>
        </w:rPr>
      </w:pPr>
    </w:p>
    <w:p>
      <w:pPr>
        <w:ind w:right="60" w:firstLine="518"/>
        <w:spacing w:after="0" w:line="254" w:lineRule="auto"/>
        <w:rPr>
          <w:sz w:val="20"/>
          <w:szCs w:val="20"/>
          <w:color w:val="auto"/>
        </w:rPr>
      </w:pPr>
      <w:r>
        <w:rPr>
          <w:rFonts w:ascii="Arial" w:cs="Arial" w:eastAsia="Arial" w:hAnsi="Arial"/>
          <w:sz w:val="18"/>
          <w:szCs w:val="18"/>
          <w:color w:val="auto"/>
        </w:rPr>
        <w:t>Filing, prosecuting and defending patents on product candidates in all countries throughout the world would be prohibitively expensive, and our intellectual property rights in some countries outside the U.S. can be less extensive than those in the U.S. In addition, the laws of some foreign countries do not protect intellectual property rights to the same extent as federal and state laws in the U.S. Consequently, we may not be able to prevent third parties from practicing our inventions in all countries outside the U.S., or from selling or importing products made using our inventions in and into the U.S. or other jurisdictions. Competitors may use our technologies in jurisdictions where we have not obtained patent protection to develop their own products and further, may export otherwise infringing products to territories where we have patent protection, but enforcement is not as strong as that in the U.S. These products may compete with our current or future products, if any, and our patents or other intellectual property rights may not be effective or sufficient to prevent them from competing.</w:t>
      </w: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55" w:right="239" w:bottom="1440" w:gutter="0" w:footer="0" w:header="0"/>
        </w:sectPr>
      </w:pPr>
    </w:p>
    <w:bookmarkStart w:id="44" w:name="page45"/>
    <w:bookmarkEnd w:id="44"/>
    <w:p>
      <w:pPr>
        <w:ind w:right="20" w:firstLine="518"/>
        <w:spacing w:after="0" w:line="290" w:lineRule="auto"/>
        <w:rPr>
          <w:sz w:val="20"/>
          <w:szCs w:val="20"/>
          <w:color w:val="auto"/>
        </w:rPr>
      </w:pPr>
      <w:r>
        <w:rPr>
          <w:rFonts w:ascii="Arial" w:cs="Arial" w:eastAsia="Arial" w:hAnsi="Arial"/>
          <w:sz w:val="16"/>
          <w:szCs w:val="16"/>
          <w:color w:val="auto"/>
        </w:rPr>
        <w:t>Many companies have encountered significant problems in protecting and defending intellectual property rights in foreign jurisdictions. The legal systems of certain countries, particularly certain developing countries, do not favor the enforcement of patents, trade secrets and other intellectual property protection, particularly those relating to biotechnology products, which could make it difficult for us to stop the infringement of our patents or marketing of competing products in violation of our proprietary rights generally. Proceedings to enforce our patent rights in foreign jurisdictions could result in substantial costs and divert our efforts and attention from other aspects of our business, could put our patents at risk of being invalidated or interpreted narrowly and our patent applications at risk of not issuing and could provoke third parties to assert claims against us. We may not prevail in any lawsuits that we initiate and the damages or other remedies awarded, if any, may not be commercially meaningful. Accordingly, our efforts to enforce our intellectual property rights around the world may be inadequate to obtain a significant commercial advantage from the intellectual property that we develop or license.</w:t>
      </w:r>
    </w:p>
    <w:p>
      <w:pPr>
        <w:spacing w:after="0" w:line="274"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Our patents covering one or more of our products or product candidates could be found invalid or unenforceable if challenged.</w:t>
      </w:r>
    </w:p>
    <w:p>
      <w:pPr>
        <w:spacing w:after="0" w:line="117" w:lineRule="exact"/>
        <w:rPr>
          <w:sz w:val="20"/>
          <w:szCs w:val="20"/>
          <w:color w:val="auto"/>
        </w:rPr>
      </w:pPr>
    </w:p>
    <w:p>
      <w:pPr>
        <w:ind w:right="20" w:firstLine="518"/>
        <w:spacing w:after="0" w:line="270" w:lineRule="auto"/>
        <w:rPr>
          <w:sz w:val="20"/>
          <w:szCs w:val="20"/>
          <w:color w:val="auto"/>
        </w:rPr>
      </w:pPr>
      <w:r>
        <w:rPr>
          <w:rFonts w:ascii="Arial" w:cs="Arial" w:eastAsia="Arial" w:hAnsi="Arial"/>
          <w:sz w:val="17"/>
          <w:szCs w:val="17"/>
          <w:color w:val="auto"/>
        </w:rPr>
        <w:t>Any of our intellectual property rights could be challenged or invalidated despite measures we take to obtain patent and other intellectual property protection with respect to our product candidates and proprietary technology. For example, if we were to initiate legal proceedings against a third party to enforce a patent covering one of our product candidates, the defendant could counterclaim that our patent is invalid and/or unenforceable. In patent litigation in the U.S. and in some other jurisdictions, defendant counterclaims alleging invalidity and/or unenforceability are commonplace. Grounds for a validity challenge could be an alleged failure to meet any of several statutory requirements, for example, lack of novelty, obviousness or non-enablement. Grounds for an unenforceability assertion could be an allegation that someone connected with prosecution of the patent withheld material information from the USPTO or the applicable foreign counterpart, or made a misleading statement, during prosecution. A litigant or the USPTO itself could challenge our patents on this basis even if we believe that we have conducted our patent prosecution in accordance with the duty of candor and in good faith. The outcome following such a challenge is unpredictable.</w:t>
      </w:r>
    </w:p>
    <w:p>
      <w:pPr>
        <w:spacing w:after="0" w:line="182" w:lineRule="exact"/>
        <w:rPr>
          <w:sz w:val="20"/>
          <w:szCs w:val="20"/>
          <w:color w:val="auto"/>
        </w:rPr>
      </w:pPr>
    </w:p>
    <w:p>
      <w:pPr>
        <w:ind w:right="20" w:firstLine="518"/>
        <w:spacing w:after="0" w:line="255" w:lineRule="auto"/>
        <w:rPr>
          <w:sz w:val="20"/>
          <w:szCs w:val="20"/>
          <w:color w:val="auto"/>
        </w:rPr>
      </w:pPr>
      <w:r>
        <w:rPr>
          <w:rFonts w:ascii="Arial" w:cs="Arial" w:eastAsia="Arial" w:hAnsi="Arial"/>
          <w:sz w:val="18"/>
          <w:szCs w:val="18"/>
          <w:color w:val="auto"/>
        </w:rPr>
        <w:t>With respect to challenges to the validity of our patents, for example, there might be invalidating prior art, of which we and the patent examiner were unaware during prosecution. If a defendant were to prevail on a legal assertion of invalidity and/or unenforceability, we would lose at least part, and perhaps all, of the patent protection on a product candidate. Even if a defendant does not prevail on a legal assertion of invalidity and/or unenforceability, our patent claims may be construed in a manner that would limit our ability to enforce such claims against the defendant and others. The cost of defending such a challenge, particularly in a foreign jurisdiction, and any resulting loss of patent protection could have a material adverse impact on one or more of our product candidates and our business.</w:t>
      </w:r>
    </w:p>
    <w:p>
      <w:pPr>
        <w:spacing w:after="0" w:line="193" w:lineRule="exact"/>
        <w:rPr>
          <w:sz w:val="20"/>
          <w:szCs w:val="20"/>
          <w:color w:val="auto"/>
        </w:rPr>
      </w:pPr>
    </w:p>
    <w:p>
      <w:pPr>
        <w:ind w:firstLine="518"/>
        <w:spacing w:after="0" w:line="279" w:lineRule="auto"/>
        <w:rPr>
          <w:sz w:val="20"/>
          <w:szCs w:val="20"/>
          <w:color w:val="auto"/>
        </w:rPr>
      </w:pPr>
      <w:r>
        <w:rPr>
          <w:rFonts w:ascii="Arial" w:cs="Arial" w:eastAsia="Arial" w:hAnsi="Arial"/>
          <w:sz w:val="17"/>
          <w:szCs w:val="17"/>
          <w:color w:val="auto"/>
        </w:rPr>
        <w:t>Enforcing our intellectual property rights against third parties may also cause such third parties to file other counterclaims against us, which could be costly to defend, particularly in a foreign jurisdiction, and could require us to pay substantial damages, cease the sale of certain products or enter into a license agreement and pay royalties (which may not be possible on commercially reasonable terms or at all). Any efforts to enforce our intellectual property rights are also likely to be costly and may divert the efforts of our scientific and management personnel.</w:t>
      </w:r>
    </w:p>
    <w:p>
      <w:pPr>
        <w:spacing w:after="0" w:line="280" w:lineRule="exact"/>
        <w:rPr>
          <w:sz w:val="20"/>
          <w:szCs w:val="20"/>
          <w:color w:val="auto"/>
        </w:rPr>
      </w:pPr>
    </w:p>
    <w:p>
      <w:pPr>
        <w:ind w:right="40" w:firstLine="259"/>
        <w:spacing w:after="0" w:line="277" w:lineRule="auto"/>
        <w:rPr>
          <w:sz w:val="20"/>
          <w:szCs w:val="20"/>
          <w:color w:val="auto"/>
        </w:rPr>
      </w:pPr>
      <w:r>
        <w:rPr>
          <w:rFonts w:ascii="Arial" w:cs="Arial" w:eastAsia="Arial" w:hAnsi="Arial"/>
          <w:sz w:val="18"/>
          <w:szCs w:val="18"/>
          <w:b w:val="1"/>
          <w:bCs w:val="1"/>
          <w:i w:val="1"/>
          <w:iCs w:val="1"/>
          <w:color w:val="auto"/>
        </w:rPr>
        <w:t>Patent protection and patent prosecution for some of our product candidates is dependent on, and the ability to assert patents and defend them against claims of invalidity is maintained by, third parties.</w:t>
      </w:r>
    </w:p>
    <w:p>
      <w:pPr>
        <w:spacing w:after="0" w:line="62" w:lineRule="exact"/>
        <w:rPr>
          <w:sz w:val="20"/>
          <w:szCs w:val="20"/>
          <w:color w:val="auto"/>
        </w:rPr>
      </w:pPr>
    </w:p>
    <w:p>
      <w:pPr>
        <w:ind w:right="40" w:firstLine="518"/>
        <w:spacing w:after="0" w:line="276" w:lineRule="auto"/>
        <w:rPr>
          <w:sz w:val="20"/>
          <w:szCs w:val="20"/>
          <w:color w:val="auto"/>
        </w:rPr>
      </w:pPr>
      <w:r>
        <w:rPr>
          <w:rFonts w:ascii="Arial" w:cs="Arial" w:eastAsia="Arial" w:hAnsi="Arial"/>
          <w:sz w:val="17"/>
          <w:szCs w:val="17"/>
          <w:color w:val="auto"/>
        </w:rPr>
        <w:t>There have been and may be times in the future when certain patents that relate to our product candidates or any approved products are controlled by our licensees or licensors. Although we may, under such arrangements, have rights to consult with our collaborators on actions taken as well as back-up rights of prosecution and enforcement, we have in the past and may in the future relinquish rights to prosecute and maintain patents and patent applications within our portfolio as well as the ability to assert such patents against infringers. Currently, some of these rights relating to the patent portfolios for TV-45070, GDC-0310, Glybera and some of our earlier stage product candidates are held by our collaborators.</w:t>
      </w:r>
    </w:p>
    <w:p>
      <w:pPr>
        <w:spacing w:after="0" w:line="173" w:lineRule="exact"/>
        <w:rPr>
          <w:sz w:val="20"/>
          <w:szCs w:val="20"/>
          <w:color w:val="auto"/>
        </w:rPr>
      </w:pPr>
    </w:p>
    <w:p>
      <w:pPr>
        <w:ind w:right="120" w:firstLine="518"/>
        <w:spacing w:after="0" w:line="257" w:lineRule="auto"/>
        <w:rPr>
          <w:sz w:val="20"/>
          <w:szCs w:val="20"/>
          <w:color w:val="auto"/>
        </w:rPr>
      </w:pPr>
      <w:r>
        <w:rPr>
          <w:rFonts w:ascii="Arial" w:cs="Arial" w:eastAsia="Arial" w:hAnsi="Arial"/>
          <w:sz w:val="18"/>
          <w:szCs w:val="18"/>
          <w:color w:val="auto"/>
        </w:rPr>
        <w:t>If any current or future licensee or licensor with rights to prosecute, assert or defend patents related to our product candidates fails to appropriately prosecute and maintain patent protection for patents covering any of our product candidates, or if patents covering any of our product candidates are asserted against infringers or defended against claims of invalidity or unenforceability in a manner which adversely affects such coverage, our ability to develop and commercialize any such product candidate may be adversely affected and we may not be able to prevent competitors from making, using and selling competing products.</w:t>
      </w: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55" w:right="239" w:bottom="1440" w:gutter="0" w:footer="0" w:header="0"/>
        </w:sectPr>
      </w:pPr>
    </w:p>
    <w:bookmarkStart w:id="45" w:name="page46"/>
    <w:bookmarkEnd w:id="45"/>
    <w:p>
      <w:pPr>
        <w:ind w:right="580" w:firstLine="259"/>
        <w:spacing w:after="0" w:line="277" w:lineRule="auto"/>
        <w:rPr>
          <w:sz w:val="20"/>
          <w:szCs w:val="20"/>
          <w:color w:val="auto"/>
        </w:rPr>
      </w:pPr>
      <w:r>
        <w:rPr>
          <w:rFonts w:ascii="Arial" w:cs="Arial" w:eastAsia="Arial" w:hAnsi="Arial"/>
          <w:sz w:val="18"/>
          <w:szCs w:val="18"/>
          <w:b w:val="1"/>
          <w:bCs w:val="1"/>
          <w:i w:val="1"/>
          <w:iCs w:val="1"/>
          <w:color w:val="auto"/>
        </w:rPr>
        <w:t>We may be involved in lawsuits to protect or enforce our patents or the patents of our licensors, which could be expensive, time consuming and unsuccessful.</w:t>
      </w:r>
    </w:p>
    <w:p>
      <w:pPr>
        <w:spacing w:after="0" w:line="62" w:lineRule="exact"/>
        <w:rPr>
          <w:sz w:val="20"/>
          <w:szCs w:val="20"/>
          <w:color w:val="auto"/>
        </w:rPr>
      </w:pPr>
    </w:p>
    <w:p>
      <w:pPr>
        <w:ind w:right="80" w:firstLine="518"/>
        <w:spacing w:after="0" w:line="255" w:lineRule="auto"/>
        <w:rPr>
          <w:sz w:val="20"/>
          <w:szCs w:val="20"/>
          <w:color w:val="auto"/>
        </w:rPr>
      </w:pPr>
      <w:r>
        <w:rPr>
          <w:rFonts w:ascii="Arial" w:cs="Arial" w:eastAsia="Arial" w:hAnsi="Arial"/>
          <w:sz w:val="18"/>
          <w:szCs w:val="18"/>
          <w:color w:val="auto"/>
        </w:rPr>
        <w:t>Competitors may infringe our patents or the patents of our licensors. To counter infringement or unauthorized use, we may be required to file infringement claims, which can be expensive and time-consuming. In addition, in an infringement proceeding, a court may decide that a patent of ours or one of our licensors is not valid or is unenforceable, or may refuse to stop the other party in such infringement proceeding from using the technology at issue on the grounds that our patents do not cover the technology in question. An adverse result in any litigation or defense proceedings could put one or more of our patents at risk of being invalidated, held unenforceable or interpreted narrowly, and could put any of our patent applications at risk of not yielding an issued patent.</w:t>
      </w:r>
    </w:p>
    <w:p>
      <w:pPr>
        <w:spacing w:after="0" w:line="193" w:lineRule="exact"/>
        <w:rPr>
          <w:sz w:val="20"/>
          <w:szCs w:val="20"/>
          <w:color w:val="auto"/>
        </w:rPr>
      </w:pPr>
    </w:p>
    <w:p>
      <w:pPr>
        <w:ind w:right="40" w:firstLine="518"/>
        <w:spacing w:after="0" w:line="255" w:lineRule="auto"/>
        <w:rPr>
          <w:sz w:val="20"/>
          <w:szCs w:val="20"/>
          <w:color w:val="auto"/>
        </w:rPr>
      </w:pPr>
      <w:r>
        <w:rPr>
          <w:rFonts w:ascii="Arial" w:cs="Arial" w:eastAsia="Arial" w:hAnsi="Arial"/>
          <w:sz w:val="18"/>
          <w:szCs w:val="18"/>
          <w:color w:val="auto"/>
        </w:rPr>
        <w:t>Interference proceedings, derivation proceedings, entitlement proceedings, ex parte reexamination, inter partes reexamination, inter partes review, post-grant review, and opposition proceedings provoked by third parties or brought by the USPTO or any foreign patent authority may be used to challenge inventorship, ownership, claim scope, or validity of our patent applications. An unfavorable outcome could require us to cease using the related technology or to attempt to license rights to it from the prevailing party. Our business could be harmed if the prevailing party does not offer us a license on commercially reasonable terms, if any license is offered at all. Litigation or interference proceedings may fail and, even if successful, may result in substantial costs and distract our management and other employees.</w:t>
      </w:r>
    </w:p>
    <w:p>
      <w:pPr>
        <w:spacing w:after="0" w:line="193" w:lineRule="exact"/>
        <w:rPr>
          <w:sz w:val="20"/>
          <w:szCs w:val="20"/>
          <w:color w:val="auto"/>
        </w:rPr>
      </w:pPr>
    </w:p>
    <w:p>
      <w:pPr>
        <w:ind w:right="140" w:firstLine="518"/>
        <w:spacing w:after="0" w:line="297" w:lineRule="auto"/>
        <w:rPr>
          <w:sz w:val="20"/>
          <w:szCs w:val="20"/>
          <w:color w:val="auto"/>
        </w:rPr>
      </w:pPr>
      <w:r>
        <w:rPr>
          <w:rFonts w:ascii="Arial" w:cs="Arial" w:eastAsia="Arial" w:hAnsi="Arial"/>
          <w:sz w:val="16"/>
          <w:szCs w:val="16"/>
          <w:color w:val="auto"/>
        </w:rPr>
        <w:t>We may not be able to prevent, alone or with our licensors, misappropriation of our trade secrets or confidential information, particularly in countries where the laws may not protect those rights as fully as in the U.S. Furthermore, because of the substantial amount of discovery required in connection with intellectual property litigation, there is a risk that some of our confidential information could be compromised by disclosure during this type of litigation. In addition, there could be public announcements of the results of hearings, motions or other interim proceedings or developments. If securities analysts or investors perceive these results to be negative, it could have a substantial adverse effect on the market price of our common shares.</w:t>
      </w:r>
    </w:p>
    <w:p>
      <w:pPr>
        <w:spacing w:after="0" w:line="266" w:lineRule="exact"/>
        <w:rPr>
          <w:sz w:val="20"/>
          <w:szCs w:val="20"/>
          <w:color w:val="auto"/>
        </w:rPr>
      </w:pPr>
    </w:p>
    <w:p>
      <w:pPr>
        <w:ind w:right="320" w:firstLine="259"/>
        <w:spacing w:after="0" w:line="308" w:lineRule="auto"/>
        <w:rPr>
          <w:sz w:val="20"/>
          <w:szCs w:val="20"/>
          <w:color w:val="auto"/>
        </w:rPr>
      </w:pPr>
      <w:r>
        <w:rPr>
          <w:rFonts w:ascii="Arial" w:cs="Arial" w:eastAsia="Arial" w:hAnsi="Arial"/>
          <w:sz w:val="17"/>
          <w:szCs w:val="17"/>
          <w:b w:val="1"/>
          <w:bCs w:val="1"/>
          <w:i w:val="1"/>
          <w:iCs w:val="1"/>
          <w:color w:val="auto"/>
        </w:rPr>
        <w:t>Claims that our product candidates or the sale or use of our future products infringe the patent or other intellectual property rights of third parties could result in costly litigation or could require substantial time and money to resolve, even if litigation is avoided.</w:t>
      </w:r>
    </w:p>
    <w:p>
      <w:pPr>
        <w:spacing w:after="0" w:line="38" w:lineRule="exact"/>
        <w:rPr>
          <w:sz w:val="20"/>
          <w:szCs w:val="20"/>
          <w:color w:val="auto"/>
        </w:rPr>
      </w:pPr>
    </w:p>
    <w:p>
      <w:pPr>
        <w:ind w:firstLine="518"/>
        <w:spacing w:after="0" w:line="272" w:lineRule="auto"/>
        <w:rPr>
          <w:sz w:val="20"/>
          <w:szCs w:val="20"/>
          <w:color w:val="auto"/>
        </w:rPr>
      </w:pPr>
      <w:r>
        <w:rPr>
          <w:rFonts w:ascii="Arial" w:cs="Arial" w:eastAsia="Arial" w:hAnsi="Arial"/>
          <w:sz w:val="17"/>
          <w:szCs w:val="17"/>
          <w:color w:val="auto"/>
        </w:rPr>
        <w:t>Our commercial success depends upon our ability to develop product candidates and commercialize products that may be approved in the future, using our proprietary technology without infringing the intellectual property rights of others. Our product or product candidates or any uses of them may now and in the future infringe third-party patents or other intellectual property rights. Third parties might allege that we or our collaborators are infringing their patent rights or that we have misappropriated their trade secrets, or that we are otherwise violating their intellectual property rights, whether with respect to the manner in which we have conducted our research or to the composition, use or manufacture of the compounds we have developed or are developing with our collaborators. Such third parties might resort to litigation against us or other parties we have agreed to indemnify, which litigation could be based on either existing intellectual property or intellectual property that arises in the future.</w:t>
      </w:r>
    </w:p>
    <w:p>
      <w:pPr>
        <w:spacing w:after="0" w:line="178" w:lineRule="exact"/>
        <w:rPr>
          <w:sz w:val="20"/>
          <w:szCs w:val="20"/>
          <w:color w:val="auto"/>
        </w:rPr>
      </w:pPr>
    </w:p>
    <w:p>
      <w:pPr>
        <w:ind w:right="100" w:firstLine="518"/>
        <w:spacing w:after="0" w:line="269" w:lineRule="auto"/>
        <w:rPr>
          <w:sz w:val="20"/>
          <w:szCs w:val="20"/>
          <w:color w:val="auto"/>
        </w:rPr>
      </w:pPr>
      <w:r>
        <w:rPr>
          <w:rFonts w:ascii="Arial" w:cs="Arial" w:eastAsia="Arial" w:hAnsi="Arial"/>
          <w:sz w:val="17"/>
          <w:szCs w:val="17"/>
          <w:color w:val="auto"/>
        </w:rPr>
        <w:t>It is possible that relevant patents or patent applications held by third parties will cover our product candidates at the time of launch and we may also fail to identify, relevant patents or patent applications held by third parties that cover our product candidates. For example, applications filed before November 29, 2000, and certain applications filed after that date that will not be filed outside the U.S. remain confidential until patents issue. Other patent applications in the U.S. and several other jurisdictions are published approximately 18 months after the earliest filing for which priority is claimed, with such earliest filing date being commonly referred to as the priority date. Furthermore, publication of discoveries in the scientific or patent literature often lags behind actual discoveries. Therefore, we cannot be certain that we or our collaborators were the first to invent, or the first to file patent applications on, our product candidates or for their uses, or that our product candidates will not infringe patents that are currently issued or that are issued in the future. In the event that a third party has also filed a patent application covering one of our product candidates or a similar invention, we may have to participate in an adversarial proceeding, known as an interference, declared by the USPTO or its foreign counterpart to determine priority of invention. Additionally, pending patent applications and patents which have been published can, subject to certain limitations, be later amended in a manner that could cover our current or future products, if any, or their use.</w:t>
      </w:r>
    </w:p>
    <w:p>
      <w:pPr>
        <w:spacing w:after="0" w:line="183" w:lineRule="exact"/>
        <w:rPr>
          <w:sz w:val="20"/>
          <w:szCs w:val="20"/>
          <w:color w:val="auto"/>
        </w:rPr>
      </w:pPr>
    </w:p>
    <w:p>
      <w:pPr>
        <w:ind w:firstLine="518"/>
        <w:spacing w:after="0" w:line="297" w:lineRule="auto"/>
        <w:rPr>
          <w:sz w:val="20"/>
          <w:szCs w:val="20"/>
          <w:color w:val="auto"/>
        </w:rPr>
      </w:pPr>
      <w:r>
        <w:rPr>
          <w:rFonts w:ascii="Arial" w:cs="Arial" w:eastAsia="Arial" w:hAnsi="Arial"/>
          <w:sz w:val="16"/>
          <w:szCs w:val="16"/>
          <w:color w:val="auto"/>
        </w:rPr>
        <w:t>Defending against claims of patent infringement, misappropriation of trade secrets or other violations of intellectual property rights could be costly and time consuming, regardless of the outcome. Thus, even if we were to ultimately prevail, or to settle at an early stage, such litigation could burden us with substantial unanticipated costs. In addition, litigation or threatened litigation could result in significant demands on the time and attention of our management team, distracting them from the pursuit of other company business. Claims that our product candidates or the sale or use of our future products infringe, misappropriate or otherwise violate third-party intellectual property rights could therefore have a material adverse impact on our business.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63" w:right="239" w:bottom="1440" w:gutter="0" w:footer="0" w:header="0"/>
        </w:sectPr>
      </w:pPr>
    </w:p>
    <w:bookmarkStart w:id="46" w:name="page47"/>
    <w:bookmarkEnd w:id="46"/>
    <w:p>
      <w:pPr>
        <w:ind w:right="120" w:firstLine="518"/>
        <w:spacing w:after="0" w:line="259" w:lineRule="auto"/>
        <w:rPr>
          <w:sz w:val="20"/>
          <w:szCs w:val="20"/>
          <w:color w:val="auto"/>
        </w:rPr>
      </w:pPr>
      <w:r>
        <w:rPr>
          <w:rFonts w:ascii="Arial" w:cs="Arial" w:eastAsia="Arial" w:hAnsi="Arial"/>
          <w:sz w:val="18"/>
          <w:szCs w:val="18"/>
          <w:color w:val="auto"/>
        </w:rPr>
        <w:t>Most of our competitors are larger than we are and have substantially greater financial resources. They are, therefore, likely to be able to sustain the costs of complex intellectual property litigation longer than we could. In addition, the uncertainties associated with litigation could have a material adverse effect on our ability to raise the funds necessary to conduct our clinical trials, continue our internal research programs, in-license needed technology, or enter into strategic collaborations that would help us bring our product candidates to market.</w:t>
      </w:r>
    </w:p>
    <w:p>
      <w:pPr>
        <w:spacing w:after="0" w:line="187" w:lineRule="exact"/>
        <w:rPr>
          <w:sz w:val="20"/>
          <w:szCs w:val="20"/>
          <w:color w:val="auto"/>
        </w:rPr>
      </w:pPr>
    </w:p>
    <w:p>
      <w:pPr>
        <w:ind w:right="80" w:firstLine="518"/>
        <w:spacing w:after="0" w:line="259" w:lineRule="auto"/>
        <w:rPr>
          <w:sz w:val="20"/>
          <w:szCs w:val="20"/>
          <w:color w:val="auto"/>
        </w:rPr>
      </w:pPr>
      <w:r>
        <w:rPr>
          <w:rFonts w:ascii="Arial" w:cs="Arial" w:eastAsia="Arial" w:hAnsi="Arial"/>
          <w:sz w:val="18"/>
          <w:szCs w:val="18"/>
          <w:color w:val="auto"/>
        </w:rPr>
        <w:t>In addition, any future intellectual property litigation, interference or other administrative proceedings will result in additional expense and distraction of our personnel. An adverse outcome in such litigation or proceedings may expose us or any future strategic collaborators to loss of our proprietary position, expose us to significant liabilities, or require us to seek licenses that may not be available on commercially acceptable terms, if at all, each of which could have a material adverse effect on our business.</w:t>
      </w:r>
    </w:p>
    <w:p>
      <w:pPr>
        <w:spacing w:after="0" w:line="295" w:lineRule="exact"/>
        <w:rPr>
          <w:sz w:val="20"/>
          <w:szCs w:val="20"/>
          <w:color w:val="auto"/>
        </w:rPr>
      </w:pPr>
    </w:p>
    <w:p>
      <w:pPr>
        <w:ind w:right="560" w:firstLine="259"/>
        <w:spacing w:after="0" w:line="277" w:lineRule="auto"/>
        <w:rPr>
          <w:sz w:val="20"/>
          <w:szCs w:val="20"/>
          <w:color w:val="auto"/>
        </w:rPr>
      </w:pPr>
      <w:r>
        <w:rPr>
          <w:rFonts w:ascii="Arial" w:cs="Arial" w:eastAsia="Arial" w:hAnsi="Arial"/>
          <w:sz w:val="18"/>
          <w:szCs w:val="18"/>
          <w:b w:val="1"/>
          <w:bCs w:val="1"/>
          <w:i w:val="1"/>
          <w:iCs w:val="1"/>
          <w:color w:val="auto"/>
        </w:rPr>
        <w:t>Unfavorable outcomes in intellectual property litigation could limit our research and development activities and/or our ability to commercialize certain products.</w:t>
      </w:r>
    </w:p>
    <w:p>
      <w:pPr>
        <w:spacing w:after="0" w:line="62" w:lineRule="exact"/>
        <w:rPr>
          <w:sz w:val="20"/>
          <w:szCs w:val="20"/>
          <w:color w:val="auto"/>
        </w:rPr>
      </w:pPr>
    </w:p>
    <w:p>
      <w:pPr>
        <w:ind w:firstLine="518"/>
        <w:spacing w:after="0" w:line="269" w:lineRule="auto"/>
        <w:rPr>
          <w:sz w:val="20"/>
          <w:szCs w:val="20"/>
          <w:color w:val="auto"/>
        </w:rPr>
      </w:pPr>
      <w:r>
        <w:rPr>
          <w:rFonts w:ascii="Arial" w:cs="Arial" w:eastAsia="Arial" w:hAnsi="Arial"/>
          <w:sz w:val="17"/>
          <w:szCs w:val="17"/>
          <w:color w:val="auto"/>
        </w:rPr>
        <w:t>If third parties successfully assert their intellectual property rights against us, we might be barred from using certain aspects of our technology, or barred from developing and commercializing certain products. Prohibitions against using certain technologies, or prohibitions against commercializing certain products, could be imposed by a court or by a settlement agreement between us and a plaintiff. In addition, if we are unsuccessful in defending against allegations that we have infringed, misappropriated or otherwise violated patent or other intellectual property rights of others, we may be forced to pay substantial damage awards to the plaintiff. There is inevitable uncertainty in intellectual property litigation and we could lose, even if the case against us is weak or flawed. If litigation leads to an outcome unfavorable to us, we may be required to obtain a license from the intellectual property owner in order to continue our research and development programs or to market any resulting product. It is possible that the necessary license will not be available to us on commercially acceptable terms, or at all. Alternatively, we may be required to modify or redesign our current or future products, if any, in order to avoid infringing or otherwise violating third-party intellectual property rights. This may not be technically or commercially feasible, may render those products less competitive, or may delay or prevent the entry of those products to the market. Any of the foregoing could limit our research and development activities, our ability to commercialize one or more product candidates, or both.</w:t>
      </w:r>
    </w:p>
    <w:p>
      <w:pPr>
        <w:spacing w:after="0" w:line="183" w:lineRule="exact"/>
        <w:rPr>
          <w:sz w:val="20"/>
          <w:szCs w:val="20"/>
          <w:color w:val="auto"/>
        </w:rPr>
      </w:pPr>
    </w:p>
    <w:p>
      <w:pPr>
        <w:ind w:right="40" w:firstLine="518"/>
        <w:spacing w:after="0" w:line="253" w:lineRule="auto"/>
        <w:rPr>
          <w:sz w:val="20"/>
          <w:szCs w:val="20"/>
          <w:color w:val="auto"/>
        </w:rPr>
      </w:pPr>
      <w:r>
        <w:rPr>
          <w:rFonts w:ascii="Arial" w:cs="Arial" w:eastAsia="Arial" w:hAnsi="Arial"/>
          <w:sz w:val="18"/>
          <w:szCs w:val="18"/>
          <w:color w:val="auto"/>
        </w:rPr>
        <w:t>In order to avoid or settle potential claims with respect to any patent or other intellectual property rights of third parties, we may choose or be required to seek a license from a third party and be required to pay license fees or royalties or both, which could be substantial. These licenses may not be available on acceptable terms, or at all. Even if we or any future collaborators were able to obtain a license, the rights may be nonexclusive, which could result in our competitors gaining access to the same intellectual property. Ultimately, we could be prevented from commercializing a product, or be forced, by court order or otherwise, to cease some or all aspects of our business operations, if, as a result of actual or threatened patent or other intellectual property claims, we are unable to enter into licenses on acceptable terms. Further, we could be found liable for significant monetary damages as a result of claims of intellectual property infringement. For example, we have received, and may in the future receive, offers to license and demands to license from third parties claiming that we are infringing their intellectual property or owe license fees and, even if such claims are without merit, we could fail to successfully avoid or settle such claims.</w:t>
      </w:r>
    </w:p>
    <w:p>
      <w:pPr>
        <w:spacing w:after="0" w:line="197" w:lineRule="exact"/>
        <w:rPr>
          <w:sz w:val="20"/>
          <w:szCs w:val="20"/>
          <w:color w:val="auto"/>
        </w:rPr>
      </w:pPr>
    </w:p>
    <w:p>
      <w:pPr>
        <w:ind w:right="60" w:firstLine="518"/>
        <w:spacing w:after="0" w:line="257" w:lineRule="auto"/>
        <w:rPr>
          <w:sz w:val="20"/>
          <w:szCs w:val="20"/>
          <w:color w:val="auto"/>
        </w:rPr>
      </w:pPr>
      <w:r>
        <w:rPr>
          <w:rFonts w:ascii="Arial" w:cs="Arial" w:eastAsia="Arial" w:hAnsi="Arial"/>
          <w:sz w:val="18"/>
          <w:szCs w:val="18"/>
          <w:color w:val="auto"/>
        </w:rPr>
        <w:t>If Teva, uniQure, Genentech or Merck license or otherwise acquire rights to intellectual property controlled by a third party in various circumstances, for example, where a product could not be legally developed or commercialized in a country without the third-party intellectual property right or, where it is decided that it would be useful to acquire such third-party right to develop or commercialize the product, they are eligible under our collaboration agreements to decrease payments payable to us on a product-by-product basis and, in certain cases, on a country-by-country basis. Any of the foregoing events could harm our business significantly.</w:t>
      </w:r>
    </w:p>
    <w:p>
      <w:pPr>
        <w:spacing w:after="0" w:line="296" w:lineRule="exact"/>
        <w:rPr>
          <w:sz w:val="20"/>
          <w:szCs w:val="20"/>
          <w:color w:val="auto"/>
        </w:rPr>
      </w:pPr>
    </w:p>
    <w:p>
      <w:pPr>
        <w:ind w:right="820" w:firstLine="259"/>
        <w:spacing w:after="0" w:line="277" w:lineRule="auto"/>
        <w:rPr>
          <w:sz w:val="20"/>
          <w:szCs w:val="20"/>
          <w:color w:val="auto"/>
        </w:rPr>
      </w:pPr>
      <w:r>
        <w:rPr>
          <w:rFonts w:ascii="Arial" w:cs="Arial" w:eastAsia="Arial" w:hAnsi="Arial"/>
          <w:sz w:val="18"/>
          <w:szCs w:val="18"/>
          <w:b w:val="1"/>
          <w:bCs w:val="1"/>
          <w:i w:val="1"/>
          <w:iCs w:val="1"/>
          <w:color w:val="auto"/>
        </w:rPr>
        <w:t>If we breach any of the agreements under which we license the use, development and commercialization rights to our product candidates or technology from third parties, we could lose license rights that are important to our business.</w:t>
      </w:r>
    </w:p>
    <w:p>
      <w:pPr>
        <w:spacing w:after="0" w:line="62" w:lineRule="exact"/>
        <w:rPr>
          <w:sz w:val="20"/>
          <w:szCs w:val="20"/>
          <w:color w:val="auto"/>
        </w:rPr>
      </w:pPr>
    </w:p>
    <w:p>
      <w:pPr>
        <w:ind w:right="40" w:firstLine="518"/>
        <w:spacing w:after="0" w:line="257" w:lineRule="auto"/>
        <w:rPr>
          <w:sz w:val="20"/>
          <w:szCs w:val="20"/>
          <w:color w:val="auto"/>
        </w:rPr>
      </w:pPr>
      <w:r>
        <w:rPr>
          <w:rFonts w:ascii="Arial" w:cs="Arial" w:eastAsia="Arial" w:hAnsi="Arial"/>
          <w:sz w:val="18"/>
          <w:szCs w:val="18"/>
          <w:color w:val="auto"/>
        </w:rPr>
        <w:t>Under our existing license agreements, including those associated with our XEN1101 program, we are subject to various obligations, including diligence obligations such as development and commercialization obligations, as well as potential royalty payments and other obligations. If we fail to comply with any of these obligations or otherwise breach our license agreements, our licensing partners may have the right to terminate the applicable license in whole or in part. Generally, the loss of any one of our current licenses, or any other license we may acquire in the future, could materially harm our business, prospects, financial condition and results of operations.</w:t>
      </w: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55" w:right="239" w:bottom="1440" w:gutter="0" w:footer="0" w:header="0"/>
        </w:sectPr>
      </w:pPr>
    </w:p>
    <w:bookmarkStart w:id="47" w:name="page48"/>
    <w:bookmarkEnd w:id="47"/>
    <w:p>
      <w:pPr>
        <w:ind w:right="820" w:firstLine="259"/>
        <w:spacing w:after="0" w:line="277" w:lineRule="auto"/>
        <w:rPr>
          <w:sz w:val="20"/>
          <w:szCs w:val="20"/>
          <w:color w:val="auto"/>
        </w:rPr>
      </w:pPr>
      <w:r>
        <w:rPr>
          <w:rFonts w:ascii="Arial" w:cs="Arial" w:eastAsia="Arial" w:hAnsi="Arial"/>
          <w:sz w:val="18"/>
          <w:szCs w:val="18"/>
          <w:b w:val="1"/>
          <w:bCs w:val="1"/>
          <w:i w:val="1"/>
          <w:iCs w:val="1"/>
          <w:color w:val="auto"/>
        </w:rPr>
        <w:t>Confidentiality agreements with employees and third parties may not prevent unauthorized disclosure of trade secrets and other proprietary information, which would harm our competitive position.</w:t>
      </w:r>
    </w:p>
    <w:p>
      <w:pPr>
        <w:spacing w:after="0" w:line="62" w:lineRule="exact"/>
        <w:rPr>
          <w:sz w:val="20"/>
          <w:szCs w:val="20"/>
          <w:color w:val="auto"/>
        </w:rPr>
      </w:pPr>
    </w:p>
    <w:p>
      <w:pPr>
        <w:ind w:right="20" w:firstLine="518"/>
        <w:spacing w:after="0" w:line="286" w:lineRule="auto"/>
        <w:rPr>
          <w:sz w:val="20"/>
          <w:szCs w:val="20"/>
          <w:color w:val="auto"/>
        </w:rPr>
      </w:pPr>
      <w:r>
        <w:rPr>
          <w:rFonts w:ascii="Arial" w:cs="Arial" w:eastAsia="Arial" w:hAnsi="Arial"/>
          <w:sz w:val="16"/>
          <w:szCs w:val="16"/>
          <w:color w:val="auto"/>
        </w:rPr>
        <w:t>In addition to patents, we rely on trade secrets, technical know-how and proprietary information concerning our discovery platform, business strategy and product candidates in order to protect our competitive position, which are difficult to protect. In the course of our research and development activities and our business activities, we often rely on confidentiality agreements to protect our proprietary information. Such confidentiality agreements are used, for example, when we talk to vendors of laboratory or clinical development services or potential strategic collaborators. In addition, each of our employees and consultants is required to sign a confidentiality agreement and invention assignment agreement upon joining our company. Our employees, consultants, contractors, business partners or outside scientific collaborators might intentionally or inadvertently disclose our trade secret information in breach of these confidentiality agreements or our trade secrets may otherwise be misappropriated. Our collaborators might also have rights to publish data and we might fail to apply for patent protection prior to such publication. It is possible that a competitor will make use of such information, and that our competitive position will be compromised. In addition, to the extent that our employees, consultants or contractors use intellectual property owned by others in their work for us, disputes may arise as to the rights in related or resulting know-how and inventions. Enforcing a claim that a third party illegally obtained and is using any of our trade secrets is expensive and time consuming, and the outcome is unpredictable. In addition, courts outside the U.S. sometimes are less willing than U.S. courts to protect trade secrets. Moreover, our competitors may independently develop equivalent knowledge, methods and know-how. If we cannot maintain the confidentiality of our proprietary technology and other confidential information, then our ability to obtain patent protection or to protect our trade secret information would be jeopardized, which would adversely affect our competitive position.</w:t>
      </w:r>
    </w:p>
    <w:p>
      <w:pPr>
        <w:spacing w:after="0" w:line="280" w:lineRule="exact"/>
        <w:rPr>
          <w:sz w:val="20"/>
          <w:szCs w:val="20"/>
          <w:color w:val="auto"/>
        </w:rPr>
      </w:pPr>
    </w:p>
    <w:p>
      <w:pPr>
        <w:ind w:right="40" w:firstLine="259"/>
        <w:spacing w:after="0" w:line="277" w:lineRule="auto"/>
        <w:rPr>
          <w:sz w:val="20"/>
          <w:szCs w:val="20"/>
          <w:color w:val="auto"/>
        </w:rPr>
      </w:pPr>
      <w:r>
        <w:rPr>
          <w:rFonts w:ascii="Arial" w:cs="Arial" w:eastAsia="Arial" w:hAnsi="Arial"/>
          <w:sz w:val="18"/>
          <w:szCs w:val="18"/>
          <w:b w:val="1"/>
          <w:bCs w:val="1"/>
          <w:i w:val="1"/>
          <w:iCs w:val="1"/>
          <w:color w:val="auto"/>
        </w:rPr>
        <w:t>Patent reform legislation and recent court decisions could increase the uncertainties and costs surrounding the prosecution of our patent applications and the enforcement or defense of our issued patents.</w:t>
      </w:r>
    </w:p>
    <w:p>
      <w:pPr>
        <w:spacing w:after="0" w:line="62" w:lineRule="exact"/>
        <w:rPr>
          <w:sz w:val="20"/>
          <w:szCs w:val="20"/>
          <w:color w:val="auto"/>
        </w:rPr>
      </w:pPr>
    </w:p>
    <w:p>
      <w:pPr>
        <w:ind w:firstLine="518"/>
        <w:spacing w:after="0" w:line="286" w:lineRule="auto"/>
        <w:rPr>
          <w:sz w:val="20"/>
          <w:szCs w:val="20"/>
          <w:color w:val="auto"/>
        </w:rPr>
      </w:pPr>
      <w:r>
        <w:rPr>
          <w:rFonts w:ascii="Arial" w:cs="Arial" w:eastAsia="Arial" w:hAnsi="Arial"/>
          <w:sz w:val="16"/>
          <w:szCs w:val="16"/>
          <w:color w:val="auto"/>
        </w:rPr>
        <w:t>On September 16, 2011, the Leahy-Smith America Invents Act, or the Leahy-Smith Act, was signed into law. The Leahy-Smith Act includes a number of significant changes to U.S. patent law, including provisions that affect the way patent applications will be prosecuted and may also affect patent litigation. The USPTO has developed and implemented regulations and procedures to govern administration of the Leahy-Smith Act, and substantive changes to patent law associated with the Leahy-Smith Act. The full effect of these changes is currently unclear as the courts have yet to address these provisions and the applicability of the Leahy-Smith Act and new regulations on specific patents, including our patents discussed herein, have not been determined and would need to be reviewed. Accordingly, it is not yet clear what, if any, impact the Leahy-Smith Act will have on the operation of our business. As a result, the Leahy-Smith Act and its implementation could increase the uncertainties and costs surrounding the prosecution of patent applications and the enforcement or defense of issued patents, all of which could have a material adverse effect on our business and financial condition. On June 13, 2013, the U.S. Supreme Court decision in Association for Molecular Pathology v. Myriad Genetics, Inc., held that isolated DNA sequences are not patentable. In December 2014, the USPTO issued its Interim Guidance on Patent Subject Matter Eligibility, in which it extended Myriad's "marked difference" standard for patent subject matter eligibility to all potential natural products. This standard applies to patent claims that recite not only nucleic acids (such as DNA in Myriad), but also other subject matter that could be considered a natural product, such as peptides, proteins, extracts, organisms, antibodies, chemicals, and minerals. As a consequence of the Myriad decision and the USPTO’s Interim Guidance, if any of our future product candidates utilize isolated DNA, peptides, proteins or the like, we will not be able to obtain patents in the U.S. claiming such novel gene targets that we discover, which could limit our ability to prevent third parties from developing drugs directed against such targets.</w:t>
      </w:r>
    </w:p>
    <w:p>
      <w:pPr>
        <w:spacing w:after="0" w:line="277" w:lineRule="exact"/>
        <w:rPr>
          <w:sz w:val="20"/>
          <w:szCs w:val="20"/>
          <w:color w:val="auto"/>
        </w:rPr>
      </w:pPr>
    </w:p>
    <w:p>
      <w:pPr>
        <w:ind w:right="140" w:firstLine="259"/>
        <w:spacing w:after="0" w:line="277" w:lineRule="auto"/>
        <w:rPr>
          <w:sz w:val="20"/>
          <w:szCs w:val="20"/>
          <w:color w:val="auto"/>
        </w:rPr>
      </w:pPr>
      <w:r>
        <w:rPr>
          <w:rFonts w:ascii="Arial" w:cs="Arial" w:eastAsia="Arial" w:hAnsi="Arial"/>
          <w:sz w:val="18"/>
          <w:szCs w:val="18"/>
          <w:b w:val="1"/>
          <w:bCs w:val="1"/>
          <w:i w:val="1"/>
          <w:iCs w:val="1"/>
          <w:color w:val="auto"/>
        </w:rPr>
        <w:t>If we do not obtain protection under the Hatch-Waxman Act and similar legislation outside of the U.S. by extending the patent terms for our product candidates, our business may be materially harmed.</w:t>
      </w:r>
    </w:p>
    <w:p>
      <w:pPr>
        <w:spacing w:after="0" w:line="62" w:lineRule="exact"/>
        <w:rPr>
          <w:sz w:val="20"/>
          <w:szCs w:val="20"/>
          <w:color w:val="auto"/>
        </w:rPr>
      </w:pPr>
    </w:p>
    <w:p>
      <w:pPr>
        <w:ind w:right="100" w:firstLine="518"/>
        <w:spacing w:after="0" w:line="297" w:lineRule="auto"/>
        <w:rPr>
          <w:sz w:val="20"/>
          <w:szCs w:val="20"/>
          <w:color w:val="auto"/>
        </w:rPr>
      </w:pPr>
      <w:r>
        <w:rPr>
          <w:rFonts w:ascii="Arial" w:cs="Arial" w:eastAsia="Arial" w:hAnsi="Arial"/>
          <w:sz w:val="16"/>
          <w:szCs w:val="16"/>
          <w:color w:val="auto"/>
        </w:rPr>
        <w:t>Depending upon the timing, duration and specifics of FDA marketing approval of our product candidates, if any, one or more U.S. patents may be eligible for limited patent term restoration under the Hatch-Waxman Act. The Hatch-Waxman Act permits a patent restoration term of up to five years as compensation for patent term lost during clinical testing of the product and the subsequent FDA regulatory review process. However, we may not be granted an extension because of, for example, failing to apply within applicable deadlines, failing to apply prior to expiration of relevant patents or otherwise failing to satisfy applicable requirements. Moreover, the applicable time period or the scope of patent protection afforded could be less than we request.</w:t>
      </w:r>
    </w:p>
    <w:p>
      <w:pPr>
        <w:spacing w:after="0" w:line="158" w:lineRule="exact"/>
        <w:rPr>
          <w:sz w:val="20"/>
          <w:szCs w:val="20"/>
          <w:color w:val="auto"/>
        </w:rPr>
      </w:pPr>
    </w:p>
    <w:p>
      <w:pPr>
        <w:ind w:right="120" w:firstLine="518"/>
        <w:spacing w:after="0" w:line="264" w:lineRule="auto"/>
        <w:rPr>
          <w:sz w:val="20"/>
          <w:szCs w:val="20"/>
          <w:color w:val="auto"/>
        </w:rPr>
      </w:pPr>
      <w:r>
        <w:rPr>
          <w:rFonts w:ascii="Arial" w:cs="Arial" w:eastAsia="Arial" w:hAnsi="Arial"/>
          <w:sz w:val="18"/>
          <w:szCs w:val="18"/>
          <w:color w:val="auto"/>
        </w:rPr>
        <w:t>If we are unable to obtain patent term extension or restoration or the term of any such extension is less than we request, the period during which we will have the right to exclusively market our product will be shortened and our competitors may obtain approval of competing products following our patent expiration, and our revenue could be reduced, possibly materially.</w:t>
      </w:r>
    </w:p>
    <w:p>
      <w:pPr>
        <w:spacing w:after="0" w:line="200" w:lineRule="exact"/>
        <w:rPr>
          <w:sz w:val="20"/>
          <w:szCs w:val="20"/>
          <w:color w:val="auto"/>
        </w:rPr>
      </w:pPr>
    </w:p>
    <w:p>
      <w:pPr>
        <w:spacing w:after="0" w:line="2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63" w:right="259" w:bottom="1440" w:gutter="0" w:footer="0" w:header="0"/>
        </w:sectPr>
      </w:pPr>
    </w:p>
    <w:bookmarkStart w:id="48" w:name="page49"/>
    <w:bookmarkEnd w:id="48"/>
    <w:p>
      <w:pPr>
        <w:ind w:right="300" w:firstLine="259"/>
        <w:spacing w:after="0" w:line="277" w:lineRule="auto"/>
        <w:rPr>
          <w:sz w:val="20"/>
          <w:szCs w:val="20"/>
          <w:color w:val="auto"/>
        </w:rPr>
      </w:pPr>
      <w:r>
        <w:rPr>
          <w:rFonts w:ascii="Arial" w:cs="Arial" w:eastAsia="Arial" w:hAnsi="Arial"/>
          <w:sz w:val="18"/>
          <w:szCs w:val="18"/>
          <w:b w:val="1"/>
          <w:bCs w:val="1"/>
          <w:i w:val="1"/>
          <w:iCs w:val="1"/>
          <w:color w:val="auto"/>
        </w:rPr>
        <w:t>We have not registered our corporate name as a trademark in all of our potential markets, and failure to secure those registrations could adversely affect our business.</w:t>
      </w:r>
    </w:p>
    <w:p>
      <w:pPr>
        <w:spacing w:after="0" w:line="62" w:lineRule="exact"/>
        <w:rPr>
          <w:sz w:val="20"/>
          <w:szCs w:val="20"/>
          <w:color w:val="auto"/>
        </w:rPr>
      </w:pPr>
    </w:p>
    <w:p>
      <w:pPr>
        <w:ind w:right="120" w:firstLine="518"/>
        <w:spacing w:after="0" w:line="291" w:lineRule="auto"/>
        <w:rPr>
          <w:sz w:val="20"/>
          <w:szCs w:val="20"/>
          <w:color w:val="auto"/>
        </w:rPr>
      </w:pPr>
      <w:r>
        <w:rPr>
          <w:rFonts w:ascii="Arial" w:cs="Arial" w:eastAsia="Arial" w:hAnsi="Arial"/>
          <w:sz w:val="16"/>
          <w:szCs w:val="16"/>
          <w:color w:val="auto"/>
        </w:rPr>
        <w:t>Our corporate name, Xenon, has not been trademarked in each market where we operate and plan to operate. Our trademark applications for our corporate name or the name of our products may not be allowed for registration, and our registered trademarks may not be maintained or enforced. During trademark registration proceedings, we may receive rejections, which we may be unable to overcome in our responses. Third parties may also attempt to register trademarks utilizing the Xenon name on their products, and we may not be successful in preventing such usage. In addition, in the USPTO and in comparable agencies in many foreign jurisdictions, third parties are given an opportunity to oppose pending trademark applications and to seek to cancel registered trademarks. Opposition or cancellation proceedings may be filed against our trademarks, and our trademarks may not survive such proceedings. If we do not secure registrations for our trademarks, we may encounter more difficulty in enforcing them against third parties than we otherwise would.</w:t>
      </w:r>
    </w:p>
    <w:p>
      <w:pPr>
        <w:spacing w:after="0" w:line="275" w:lineRule="exact"/>
        <w:rPr>
          <w:sz w:val="20"/>
          <w:szCs w:val="20"/>
          <w:color w:val="auto"/>
        </w:rPr>
      </w:pPr>
    </w:p>
    <w:p>
      <w:pPr>
        <w:ind w:right="400" w:firstLine="259"/>
        <w:spacing w:after="0" w:line="277" w:lineRule="auto"/>
        <w:rPr>
          <w:sz w:val="20"/>
          <w:szCs w:val="20"/>
          <w:color w:val="auto"/>
        </w:rPr>
      </w:pPr>
      <w:r>
        <w:rPr>
          <w:rFonts w:ascii="Arial" w:cs="Arial" w:eastAsia="Arial" w:hAnsi="Arial"/>
          <w:sz w:val="18"/>
          <w:szCs w:val="18"/>
          <w:b w:val="1"/>
          <w:bCs w:val="1"/>
          <w:i w:val="1"/>
          <w:iCs w:val="1"/>
          <w:color w:val="auto"/>
        </w:rPr>
        <w:t>Intellectual property litigation may lead to unfavorable publicity that harms our reputation and causes the market price of our common shares to decline.</w:t>
      </w:r>
    </w:p>
    <w:p>
      <w:pPr>
        <w:spacing w:after="0" w:line="62" w:lineRule="exact"/>
        <w:rPr>
          <w:sz w:val="20"/>
          <w:szCs w:val="20"/>
          <w:color w:val="auto"/>
        </w:rPr>
      </w:pPr>
    </w:p>
    <w:p>
      <w:pPr>
        <w:ind w:right="260" w:firstLine="518"/>
        <w:spacing w:after="0" w:line="257" w:lineRule="auto"/>
        <w:rPr>
          <w:sz w:val="20"/>
          <w:szCs w:val="20"/>
          <w:color w:val="auto"/>
        </w:rPr>
      </w:pPr>
      <w:r>
        <w:rPr>
          <w:rFonts w:ascii="Arial" w:cs="Arial" w:eastAsia="Arial" w:hAnsi="Arial"/>
          <w:sz w:val="18"/>
          <w:szCs w:val="18"/>
          <w:color w:val="auto"/>
        </w:rPr>
        <w:t>During the course of any intellectual property litigation, there could be public announcements of the initiation of the litigation as well as results of hearings, rulings on motions, and other interim proceedings in the litigation. If securities analysts or investors regard these announcements as negative, the perceived value of our existing products, programs or intellectual property could be diminished. Accordingly, the market price of our common shares may decline. Such announcements could also harm our reputation or the market for our future products, which could have a material adverse effect on our business.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Industry</w:t>
      </w:r>
    </w:p>
    <w:p>
      <w:pPr>
        <w:spacing w:after="0" w:line="121" w:lineRule="exact"/>
        <w:rPr>
          <w:sz w:val="20"/>
          <w:szCs w:val="20"/>
          <w:color w:val="auto"/>
        </w:rPr>
      </w:pPr>
    </w:p>
    <w:p>
      <w:pPr>
        <w:ind w:right="100" w:firstLine="259"/>
        <w:spacing w:after="0" w:line="277" w:lineRule="auto"/>
        <w:rPr>
          <w:sz w:val="20"/>
          <w:szCs w:val="20"/>
          <w:color w:val="auto"/>
        </w:rPr>
      </w:pPr>
      <w:r>
        <w:rPr>
          <w:rFonts w:ascii="Arial" w:cs="Arial" w:eastAsia="Arial" w:hAnsi="Arial"/>
          <w:sz w:val="18"/>
          <w:szCs w:val="18"/>
          <w:b w:val="1"/>
          <w:bCs w:val="1"/>
          <w:i w:val="1"/>
          <w:iCs w:val="1"/>
          <w:color w:val="auto"/>
        </w:rPr>
        <w:t>If product liability lawsuits are brought against us, we may incur substantial liabilities and may be required to limit commercialization of our current and any future products.</w:t>
      </w:r>
    </w:p>
    <w:p>
      <w:pPr>
        <w:spacing w:after="0" w:line="62" w:lineRule="exact"/>
        <w:rPr>
          <w:sz w:val="20"/>
          <w:szCs w:val="20"/>
          <w:color w:val="auto"/>
        </w:rPr>
      </w:pPr>
    </w:p>
    <w:p>
      <w:pPr>
        <w:ind w:right="160" w:firstLine="518"/>
        <w:spacing w:after="0" w:line="271" w:lineRule="auto"/>
        <w:rPr>
          <w:sz w:val="20"/>
          <w:szCs w:val="20"/>
          <w:color w:val="auto"/>
        </w:rPr>
      </w:pPr>
      <w:r>
        <w:rPr>
          <w:rFonts w:ascii="Arial" w:cs="Arial" w:eastAsia="Arial" w:hAnsi="Arial"/>
          <w:sz w:val="17"/>
          <w:szCs w:val="17"/>
          <w:color w:val="auto"/>
        </w:rPr>
        <w:t>We face an inherent risk of product liability as a result of the clinical testing of our product candidates, and we will face an even greater risk if we commercialize any product candidates. For example, we may be sued if any of our product candidates, including any that are developed in combination therapies, allegedly causes injury or is found to be otherwise unsuitable during product testing, manufacturing, marketing or sale. Any such product liability claims may include allegations of defects in manufacturing, defects in design, a failure to warn of dangers inherent in the product, negligence, strict liability and a breach of warranties. Claims could also be asserted under state consumer protection acts. If we cannot successfully defend ourselves against product liability claims, we may incur substantial liabilities or be required to limit commercialization of our product candidates. Even successful defense would require significant financial and management resources. There is also risk that third parties we have agreed to indemnify could incur liability. Regardless of the merits or eventual outcome, liability claims may result in:</w:t>
      </w:r>
    </w:p>
    <w:p>
      <w:pPr>
        <w:spacing w:after="0" w:line="71" w:lineRule="exact"/>
        <w:rPr>
          <w:sz w:val="20"/>
          <w:szCs w:val="20"/>
          <w:color w:val="auto"/>
        </w:rPr>
      </w:pPr>
    </w:p>
    <w:p>
      <w:pPr>
        <w:ind w:left="1040" w:hanging="519"/>
        <w:spacing w:after="0"/>
        <w:tabs>
          <w:tab w:leader="none" w:pos="10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decreased demand for our product candidates or any resulting products;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injury to our reputation;</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withdrawal of clinical trial participants;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costs to defend the related litigation;</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 diversion of management’s time and our resources;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substantial monetary awards to trial participants or patients;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product recalls, withdrawals or labeling, marketing or promotional restrictions;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loss of revenue;</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inability to commercialize our product candidates;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 decline in the market price of our common shares.</w:t>
      </w:r>
    </w:p>
    <w:p>
      <w:pPr>
        <w:spacing w:after="0" w:line="225" w:lineRule="exact"/>
        <w:rPr>
          <w:sz w:val="20"/>
          <w:szCs w:val="20"/>
          <w:color w:val="auto"/>
        </w:rPr>
      </w:pPr>
    </w:p>
    <w:p>
      <w:pPr>
        <w:ind w:firstLine="518"/>
        <w:spacing w:after="0" w:line="291" w:lineRule="auto"/>
        <w:rPr>
          <w:sz w:val="20"/>
          <w:szCs w:val="20"/>
          <w:color w:val="auto"/>
        </w:rPr>
      </w:pPr>
      <w:r>
        <w:rPr>
          <w:rFonts w:ascii="Arial" w:cs="Arial" w:eastAsia="Arial" w:hAnsi="Arial"/>
          <w:sz w:val="16"/>
          <w:szCs w:val="16"/>
          <w:color w:val="auto"/>
        </w:rPr>
        <w:t>We currently carry product liability insurance of $10,000,000 per occurrence and $10,000,000 aggregate limit. We believe our product liability insurance coverage is appropriate in light of our current clinical programs; however, we may not be able to maintain insurance coverage at a reasonable cost or in sufficient amounts to protect us against losses due to liability. If and when we obtain marketing approval for product candidates, we intend to expand our insurance coverage to include the sale of commercial products; however, we may then be unable to obtain product liability insurance on commercially reasonable terms or in adequate amounts. On occasion, large judgments have been awarded in class action lawsuits based on drugs or medical treatments that had unanticipated adverse effects. A successful product liability claim or series of claims brought against us could cause the market price of our common shares to decline and, if judgments exceed our insurance coverage, could adversely affect our future results of operations and business.</w:t>
      </w: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63" w:right="259" w:bottom="1440" w:gutter="0" w:footer="0" w:header="0"/>
        </w:sectPr>
      </w:pPr>
    </w:p>
    <w:bookmarkStart w:id="49" w:name="page50"/>
    <w:bookmarkEnd w:id="49"/>
    <w:p>
      <w:pPr>
        <w:ind w:right="20" w:firstLine="518"/>
        <w:spacing w:after="0" w:line="253" w:lineRule="auto"/>
        <w:rPr>
          <w:sz w:val="20"/>
          <w:szCs w:val="20"/>
          <w:color w:val="auto"/>
        </w:rPr>
      </w:pPr>
      <w:r>
        <w:rPr>
          <w:rFonts w:ascii="Arial" w:cs="Arial" w:eastAsia="Arial" w:hAnsi="Arial"/>
          <w:sz w:val="18"/>
          <w:szCs w:val="18"/>
          <w:color w:val="auto"/>
        </w:rPr>
        <w:t>Patients with certain of the diseases targeted by our product candidates are often already in severe and advanced stages of disease and have both known and unknown significant pre-existing and potentially life-threatening conditions. During the course of treatment, patients may suffer adverse events, including death, for reasons that may be related to our product candidates. Such events could subject us to costly litigation, require us to pay substantial amounts of money to injured patients, delay, negatively impact or end our opportunity to receive or maintain regulatory approval to market those product candidates, or require us to suspend or abandon our commercialization efforts. Even in a circumstance in which we do not believe that an adverse event is related to our products, the investigation into the circumstance may be time-consuming or inconclusive. These investigations may interrupt our sales efforts, delay our regulatory approval process in other countries, or impact and limit the type of regulatory approvals our product candidates receive or maintain. As a result of these factors, a product liability claim, even if successfully defended, could have a material adverse effect on our business, financial condition or results of operations.</w:t>
      </w:r>
    </w:p>
    <w:p>
      <w:pPr>
        <w:spacing w:after="0" w:line="305" w:lineRule="exact"/>
        <w:rPr>
          <w:sz w:val="20"/>
          <w:szCs w:val="20"/>
          <w:color w:val="auto"/>
        </w:rPr>
      </w:pPr>
    </w:p>
    <w:p>
      <w:pPr>
        <w:ind w:right="140" w:firstLine="259"/>
        <w:spacing w:after="0" w:line="259" w:lineRule="auto"/>
        <w:rPr>
          <w:sz w:val="20"/>
          <w:szCs w:val="20"/>
          <w:color w:val="auto"/>
        </w:rPr>
      </w:pPr>
      <w:r>
        <w:rPr>
          <w:rFonts w:ascii="Arial" w:cs="Arial" w:eastAsia="Arial" w:hAnsi="Arial"/>
          <w:sz w:val="18"/>
          <w:szCs w:val="18"/>
          <w:b w:val="1"/>
          <w:bCs w:val="1"/>
          <w:i w:val="1"/>
          <w:iCs w:val="1"/>
          <w:color w:val="auto"/>
        </w:rPr>
        <w:t>Our current and future relationships with customers and third-party payers in the U.S. and elsewhere will be subject, directly or indirectly, to applicable federal and state anti-kickback, fraud and abuse, false claims, transparency, health information privacy and security, and other healthcare laws and regulations, which could expose us to criminal sanctions, civil penalties, contractual damages, reputational harm, administrative burdens, and diminished profits and future earnings.</w:t>
      </w:r>
    </w:p>
    <w:p>
      <w:pPr>
        <w:spacing w:after="0" w:line="79" w:lineRule="exact"/>
        <w:rPr>
          <w:sz w:val="20"/>
          <w:szCs w:val="20"/>
          <w:color w:val="auto"/>
        </w:rPr>
      </w:pPr>
    </w:p>
    <w:p>
      <w:pPr>
        <w:ind w:firstLine="518"/>
        <w:spacing w:after="0" w:line="255" w:lineRule="auto"/>
        <w:rPr>
          <w:sz w:val="20"/>
          <w:szCs w:val="20"/>
          <w:color w:val="auto"/>
        </w:rPr>
      </w:pPr>
      <w:r>
        <w:rPr>
          <w:rFonts w:ascii="Arial" w:cs="Arial" w:eastAsia="Arial" w:hAnsi="Arial"/>
          <w:sz w:val="18"/>
          <w:szCs w:val="18"/>
          <w:color w:val="auto"/>
        </w:rPr>
        <w:t>Healthcare providers, physicians and third-party payers in the U.S. and elsewhere play a primary role in the recommendation and prescription of any product candidates for which we obtain marketing approval. Our future arrangements with third-party payers and customers may expose us to broadly applicable fraud and abuse and other healthcare laws and regulations, including, without limitation, the federal Anti-Kickback Statute and the federal False Claims Act, that may constrain the business or financial arrangements and relationships through which we market, sell and distribute any products for which we obtain marketing approval. In addition, we may be subject to transparency laws and patient privacy regulation by the federal government and by the U.S. states and foreign jurisdictions in which we conduct our business. The applicable federal, state and foreign healthcare laws and regulations that may affect our ability to operate include the following:</w:t>
      </w:r>
    </w:p>
    <w:p>
      <w:pPr>
        <w:spacing w:after="0" w:line="81" w:lineRule="exact"/>
        <w:rPr>
          <w:sz w:val="20"/>
          <w:szCs w:val="20"/>
          <w:color w:val="auto"/>
        </w:rPr>
      </w:pPr>
    </w:p>
    <w:p>
      <w:pPr>
        <w:ind w:left="1040" w:right="100" w:hanging="519"/>
        <w:spacing w:after="0" w:line="259" w:lineRule="auto"/>
        <w:tabs>
          <w:tab w:leader="none" w:pos="10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federal Anti-Kickback Statute, which prohibits, among other things, persons from knowingly and willfully soliciting, offering, receiving or providing remuneration, directly or indirectly, in cash or in kind, to induce or reward either the referral of an individual for, or the purchase, order or recommendation of, any good or service for which payment may be made under federal and state healthcare programs such as Medicare and Medicaid;</w:t>
      </w:r>
    </w:p>
    <w:p>
      <w:pPr>
        <w:spacing w:after="0" w:line="78" w:lineRule="exact"/>
        <w:rPr>
          <w:rFonts w:ascii="Arial" w:cs="Arial" w:eastAsia="Arial" w:hAnsi="Arial"/>
          <w:sz w:val="18"/>
          <w:szCs w:val="18"/>
          <w:color w:val="auto"/>
        </w:rPr>
      </w:pPr>
    </w:p>
    <w:p>
      <w:pPr>
        <w:ind w:left="1040" w:right="20" w:hanging="519"/>
        <w:spacing w:after="0" w:line="302" w:lineRule="auto"/>
        <w:tabs>
          <w:tab w:leader="none" w:pos="1040" w:val="left"/>
        </w:tabs>
        <w:numPr>
          <w:ilvl w:val="0"/>
          <w:numId w:val="42"/>
        </w:numPr>
        <w:rPr>
          <w:rFonts w:ascii="Arial" w:cs="Arial" w:eastAsia="Arial" w:hAnsi="Arial"/>
          <w:sz w:val="16"/>
          <w:szCs w:val="16"/>
          <w:color w:val="auto"/>
        </w:rPr>
      </w:pPr>
      <w:r>
        <w:rPr>
          <w:rFonts w:ascii="Arial" w:cs="Arial" w:eastAsia="Arial" w:hAnsi="Arial"/>
          <w:sz w:val="16"/>
          <w:szCs w:val="16"/>
          <w:color w:val="auto"/>
        </w:rPr>
        <w:t>federal civil and criminal false claims laws and civil monetary penalty laws, including the federal False Claims Act, which impose criminal and civil penalties, including civil whistleblower or qui tam actions, against individuals or entities for knowingly presenting, or causing to be presented, to the federal government, including the Medicare and Medicaid programs, or other third party payers claims for payment that are false or fraudulent or making a false statement to avoid, decrease or conceal an obligation to pay money to the federal government;</w:t>
      </w:r>
    </w:p>
    <w:p>
      <w:pPr>
        <w:spacing w:after="0" w:line="46" w:lineRule="exact"/>
        <w:rPr>
          <w:rFonts w:ascii="Arial" w:cs="Arial" w:eastAsia="Arial" w:hAnsi="Arial"/>
          <w:sz w:val="16"/>
          <w:szCs w:val="16"/>
          <w:color w:val="auto"/>
        </w:rPr>
      </w:pPr>
    </w:p>
    <w:p>
      <w:pPr>
        <w:ind w:left="1040" w:right="700" w:hanging="519"/>
        <w:spacing w:after="0" w:line="277" w:lineRule="auto"/>
        <w:tabs>
          <w:tab w:leader="none" w:pos="10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HIPAA, which imposes criminal and civil liability for executing a scheme to defraud any healthcare benefit program and making false statements relating to healthcare matters;</w:t>
      </w:r>
    </w:p>
    <w:p>
      <w:pPr>
        <w:spacing w:after="0" w:line="62" w:lineRule="exact"/>
        <w:rPr>
          <w:rFonts w:ascii="Arial" w:cs="Arial" w:eastAsia="Arial" w:hAnsi="Arial"/>
          <w:sz w:val="18"/>
          <w:szCs w:val="18"/>
          <w:color w:val="auto"/>
        </w:rPr>
      </w:pPr>
    </w:p>
    <w:p>
      <w:pPr>
        <w:ind w:left="1040" w:right="240" w:hanging="519"/>
        <w:spacing w:after="0" w:line="259" w:lineRule="auto"/>
        <w:tabs>
          <w:tab w:leader="none" w:pos="10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HIPAA, as amended by HITECH, and their respective implementing regulations, which impose obligations on covered healthcare providers, health plans, and healthcare clearinghouses, as well as their business associates that create, receive, maintain, or transmit individually identifiable health information for or on their behalf, with respect to safeguarding the privacy, security and transmission of individually identifiable health information;</w:t>
      </w:r>
    </w:p>
    <w:p>
      <w:pPr>
        <w:spacing w:after="0" w:line="200" w:lineRule="exact"/>
        <w:rPr>
          <w:sz w:val="20"/>
          <w:szCs w:val="20"/>
          <w:color w:val="auto"/>
        </w:rPr>
      </w:pPr>
    </w:p>
    <w:p>
      <w:pPr>
        <w:spacing w:after="0" w:line="2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55" w:right="259" w:bottom="1440" w:gutter="0" w:footer="0" w:header="0"/>
        </w:sectPr>
      </w:pPr>
    </w:p>
    <w:bookmarkStart w:id="50" w:name="page51"/>
    <w:bookmarkEnd w:id="50"/>
    <w:p>
      <w:pPr>
        <w:ind w:left="1040" w:hanging="519"/>
        <w:spacing w:after="0"/>
        <w:tabs>
          <w:tab w:leader="none" w:pos="10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federal Open Payments program; and</w:t>
      </w:r>
    </w:p>
    <w:p>
      <w:pPr>
        <w:spacing w:after="0" w:line="117" w:lineRule="exact"/>
        <w:rPr>
          <w:rFonts w:ascii="Arial" w:cs="Arial" w:eastAsia="Arial" w:hAnsi="Arial"/>
          <w:sz w:val="18"/>
          <w:szCs w:val="18"/>
          <w:color w:val="auto"/>
        </w:rPr>
      </w:pPr>
    </w:p>
    <w:p>
      <w:pPr>
        <w:ind w:left="1040" w:right="60" w:hanging="519"/>
        <w:spacing w:after="0" w:line="271" w:lineRule="auto"/>
        <w:tabs>
          <w:tab w:leader="none" w:pos="1040" w:val="left"/>
        </w:tabs>
        <w:numPr>
          <w:ilvl w:val="0"/>
          <w:numId w:val="43"/>
        </w:numPr>
        <w:rPr>
          <w:rFonts w:ascii="Arial" w:cs="Arial" w:eastAsia="Arial" w:hAnsi="Arial"/>
          <w:sz w:val="17"/>
          <w:szCs w:val="17"/>
          <w:color w:val="auto"/>
        </w:rPr>
      </w:pPr>
      <w:r>
        <w:rPr>
          <w:rFonts w:ascii="Arial" w:cs="Arial" w:eastAsia="Arial" w:hAnsi="Arial"/>
          <w:sz w:val="17"/>
          <w:szCs w:val="17"/>
          <w:color w:val="auto"/>
        </w:rPr>
        <w:t>analogous state and foreign laws and regulations, such as state anti-kickback and false claims laws, which may apply to sales or marketing arrangements and claims involving healthcare items or services reimbursed by non-governmental third-party payers, including private insurers; state and foreign laws that require pharmaceutical companies to comply with the pharmaceutical industry’s voluntary compliance guidelines and the relevant compliance guidance promulgated by the federal government or otherwise restrict payments that may be made to healthcare providers; state and foreign laws that require drug manufacturers to report information related to payments to physicians and other healthcare providers or marketing expenditures; and state and foreign laws governing the collection, export, privacy, use and security of biological materials and health information in certain circumstances, many of which differ from each other in significant ways and may not have the same effect, thus complicating compliance efforts.</w:t>
      </w:r>
    </w:p>
    <w:p>
      <w:pPr>
        <w:spacing w:after="0" w:line="179" w:lineRule="exact"/>
        <w:rPr>
          <w:sz w:val="20"/>
          <w:szCs w:val="20"/>
          <w:color w:val="auto"/>
        </w:rPr>
      </w:pPr>
    </w:p>
    <w:p>
      <w:pPr>
        <w:ind w:right="20" w:firstLine="518"/>
        <w:spacing w:after="0" w:line="290" w:lineRule="auto"/>
        <w:rPr>
          <w:sz w:val="20"/>
          <w:szCs w:val="20"/>
          <w:color w:val="auto"/>
        </w:rPr>
      </w:pPr>
      <w:r>
        <w:rPr>
          <w:rFonts w:ascii="Arial" w:cs="Arial" w:eastAsia="Arial" w:hAnsi="Arial"/>
          <w:sz w:val="16"/>
          <w:szCs w:val="16"/>
          <w:color w:val="auto"/>
        </w:rPr>
        <w:t>Efforts to ensure that our business arrangements with third parties will comply with applicable healthcare laws and regulations may involve substantial costs. It is possible that governmental authorities will conclude that our business practices may not comply with current or future statutes, regulations or case law involving applicable fraud and abuse or other healthcare laws and regulations. If our operations are found to be in violation of any of these laws or any other governmental regulations that may apply to us, we may be subject to significant civil, criminal and administrative penalties, including, without limitation, damages, fines, imprisonment, exclusion from participation in government healthcare programs, such as Medicare and Medicaid, and the curtailment or restructuring of our operations, which could have a material adverse effect on our business. If any of the physicians or other providers or entities with whom we expect to do business, including our collaborators, is found not to be in compliance with applicable laws, it may be subject to criminal, civil or administrative sanctions, including exclusions from participation in government healthcare programs, which could also materially affect our business.</w:t>
      </w:r>
    </w:p>
    <w:p>
      <w:pPr>
        <w:spacing w:after="0" w:line="274" w:lineRule="exact"/>
        <w:rPr>
          <w:sz w:val="20"/>
          <w:szCs w:val="20"/>
          <w:color w:val="auto"/>
        </w:rPr>
      </w:pPr>
    </w:p>
    <w:p>
      <w:pPr>
        <w:ind w:right="20" w:firstLine="259"/>
        <w:spacing w:after="0" w:line="277" w:lineRule="auto"/>
        <w:rPr>
          <w:sz w:val="20"/>
          <w:szCs w:val="20"/>
          <w:color w:val="auto"/>
        </w:rPr>
      </w:pPr>
      <w:r>
        <w:rPr>
          <w:rFonts w:ascii="Arial" w:cs="Arial" w:eastAsia="Arial" w:hAnsi="Arial"/>
          <w:sz w:val="18"/>
          <w:szCs w:val="18"/>
          <w:b w:val="1"/>
          <w:bCs w:val="1"/>
          <w:i w:val="1"/>
          <w:iCs w:val="1"/>
          <w:color w:val="auto"/>
        </w:rPr>
        <w:t>If we fail to comply with environmental, health and safety laws and regulations, we could become subject to fines or penalties or incur costs that could have a material adverse effect on the success of our business.</w:t>
      </w:r>
    </w:p>
    <w:p>
      <w:pPr>
        <w:spacing w:after="0" w:line="62" w:lineRule="exact"/>
        <w:rPr>
          <w:sz w:val="20"/>
          <w:szCs w:val="20"/>
          <w:color w:val="auto"/>
        </w:rPr>
      </w:pPr>
    </w:p>
    <w:p>
      <w:pPr>
        <w:ind w:right="60" w:firstLine="518"/>
        <w:spacing w:after="0" w:line="289" w:lineRule="auto"/>
        <w:rPr>
          <w:sz w:val="20"/>
          <w:szCs w:val="20"/>
          <w:color w:val="auto"/>
        </w:rPr>
      </w:pPr>
      <w:r>
        <w:rPr>
          <w:rFonts w:ascii="Arial" w:cs="Arial" w:eastAsia="Arial" w:hAnsi="Arial"/>
          <w:sz w:val="16"/>
          <w:szCs w:val="16"/>
          <w:color w:val="auto"/>
        </w:rPr>
        <w:t>Our research and development activities involve the controlled use of potentially harmful biological materials as well as hazardous materials, chemicals, and various radioactive compounds typically employed in molecular and cellular biology. For example, we routinely use cells in culture and we employ small amounts of radioisotopes. We cannot completely eliminate the risk of accidental contamination or injury from the use, storage, handling, or disposal of these materials through our maintenance of up-to-date licensing and training programs. In the event of contamination or injury, we could be held liable for damages that result, and any liability could exceed our resources. We currently carry insurance covering certain claims arising from our use of these materials. However, if we are unable to maintain our insurance coverage at a reasonable cost and with adequate coverage, our insurance may not cover any liability that may arise. We are subject to U.S. and Canadian federal, provincial, and local laws and regulations governing the use, storage, handling, and disposal of these materials and specified waste products. Complying with regulations regarding the use of these materials could be costly, and if we fail to comply with these regulations, it could have a material adverse effect on our operations and profitability.</w:t>
      </w:r>
    </w:p>
    <w:p>
      <w:pPr>
        <w:spacing w:after="0" w:line="275" w:lineRule="exact"/>
        <w:rPr>
          <w:sz w:val="20"/>
          <w:szCs w:val="20"/>
          <w:color w:val="auto"/>
        </w:rPr>
      </w:pPr>
    </w:p>
    <w:p>
      <w:pPr>
        <w:ind w:right="300" w:firstLine="259"/>
        <w:spacing w:after="0" w:line="277" w:lineRule="auto"/>
        <w:rPr>
          <w:sz w:val="20"/>
          <w:szCs w:val="20"/>
          <w:color w:val="auto"/>
        </w:rPr>
      </w:pPr>
      <w:r>
        <w:rPr>
          <w:rFonts w:ascii="Arial" w:cs="Arial" w:eastAsia="Arial" w:hAnsi="Arial"/>
          <w:sz w:val="18"/>
          <w:szCs w:val="18"/>
          <w:b w:val="1"/>
          <w:bCs w:val="1"/>
          <w:i w:val="1"/>
          <w:iCs w:val="1"/>
          <w:color w:val="auto"/>
        </w:rPr>
        <w:t>We or the third parties upon whom we depend may be adversely affected by earthquakes or other natural disasters and our business continuity and disaster recovery plans may not adequately protect us from serious disaster.</w:t>
      </w:r>
    </w:p>
    <w:p>
      <w:pPr>
        <w:spacing w:after="0" w:line="62" w:lineRule="exact"/>
        <w:rPr>
          <w:sz w:val="20"/>
          <w:szCs w:val="20"/>
          <w:color w:val="auto"/>
        </w:rPr>
      </w:pPr>
    </w:p>
    <w:p>
      <w:pPr>
        <w:ind w:firstLine="518"/>
        <w:spacing w:after="0" w:line="290" w:lineRule="auto"/>
        <w:rPr>
          <w:sz w:val="20"/>
          <w:szCs w:val="20"/>
          <w:color w:val="auto"/>
        </w:rPr>
      </w:pPr>
      <w:r>
        <w:rPr>
          <w:rFonts w:ascii="Arial" w:cs="Arial" w:eastAsia="Arial" w:hAnsi="Arial"/>
          <w:sz w:val="16"/>
          <w:szCs w:val="16"/>
          <w:color w:val="auto"/>
        </w:rPr>
        <w:t>Our headquarters are located in Burnaby, British Columbia, Canada. We are vulnerable to natural disasters such as earthquakes that could disrupt our operations. If a natural disaster, power outage, fire or other event occurred that prevented us from using all or a significant portion of our headquarters, that damaged critical infrastructure, such as the manufacturing facilities of our third-party contract manufacturers, or that otherwise disrupted operations, it may be difficult or, in certain cases, impossible for us to continue our business for a substantial period of time. Although we carry insurance for earthquakes and other natural disasters, we may not carry sufficient business interruption insurance to compensate us for all losses that may occur. The disaster recovery and business continuity plans we have in place currently are limited and may not be adequate in the event of a serious disaster or similar event. We may incur substantial expenses as a result of a natural disaster or earthquake, which could have a material adverse effect on our business. In addition, we may lose samples or other valuable data. The occurrence of any of the forgoing could have a material adverse effect on our business.</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247" w:right="239" w:bottom="1440" w:gutter="0" w:footer="0" w:header="0"/>
        </w:sectPr>
      </w:pPr>
    </w:p>
    <w:bookmarkStart w:id="51" w:name="page52"/>
    <w:bookmarkEnd w:id="51"/>
    <w:p>
      <w:pPr>
        <w:spacing w:after="0"/>
        <w:rPr>
          <w:sz w:val="20"/>
          <w:szCs w:val="20"/>
          <w:color w:val="auto"/>
        </w:rPr>
      </w:pPr>
      <w:r>
        <w:rPr>
          <w:rFonts w:ascii="Arial" w:cs="Arial" w:eastAsia="Arial" w:hAnsi="Arial"/>
          <w:sz w:val="18"/>
          <w:szCs w:val="18"/>
          <w:b w:val="1"/>
          <w:bCs w:val="1"/>
          <w:color w:val="auto"/>
        </w:rPr>
        <w:t>Risks Related to Our Common Shares</w:t>
      </w:r>
    </w:p>
    <w:p>
      <w:pPr>
        <w:spacing w:after="0" w:line="121"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The market price of our common shares may be volatile, and purchasers of our common shares could incur substantial losses.</w:t>
      </w:r>
    </w:p>
    <w:p>
      <w:pPr>
        <w:spacing w:after="0" w:line="117" w:lineRule="exact"/>
        <w:rPr>
          <w:sz w:val="20"/>
          <w:szCs w:val="20"/>
          <w:color w:val="auto"/>
        </w:rPr>
      </w:pPr>
    </w:p>
    <w:p>
      <w:pPr>
        <w:ind w:right="120" w:firstLine="518"/>
        <w:spacing w:after="0" w:line="264" w:lineRule="auto"/>
        <w:rPr>
          <w:sz w:val="20"/>
          <w:szCs w:val="20"/>
          <w:color w:val="auto"/>
        </w:rPr>
      </w:pPr>
      <w:r>
        <w:rPr>
          <w:rFonts w:ascii="Arial" w:cs="Arial" w:eastAsia="Arial" w:hAnsi="Arial"/>
          <w:sz w:val="18"/>
          <w:szCs w:val="18"/>
          <w:color w:val="auto"/>
        </w:rPr>
        <w:t>The market price of our common shares has fluctuated in the past and is likely to be volatile in the future. As a result of this volatility, investors may experience losses on their investment in our common shares. The market price for our common shares may be influenced by many factors, including the following:</w:t>
      </w:r>
    </w:p>
    <w:p>
      <w:pPr>
        <w:spacing w:after="0" w:line="73" w:lineRule="exact"/>
        <w:rPr>
          <w:sz w:val="20"/>
          <w:szCs w:val="20"/>
          <w:color w:val="auto"/>
        </w:rPr>
      </w:pPr>
    </w:p>
    <w:p>
      <w:pPr>
        <w:ind w:left="1040" w:right="480" w:hanging="519"/>
        <w:spacing w:after="0" w:line="277" w:lineRule="auto"/>
        <w:tabs>
          <w:tab w:leader="none" w:pos="10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actions by any of our collaborators regarding our product candidates they are developing, including announcements regarding clinical or regulatory decisions or developments or our collaboration;</w:t>
      </w:r>
    </w:p>
    <w:p>
      <w:pPr>
        <w:spacing w:after="0" w:line="62" w:lineRule="exact"/>
        <w:rPr>
          <w:rFonts w:ascii="Arial" w:cs="Arial" w:eastAsia="Arial" w:hAnsi="Arial"/>
          <w:sz w:val="18"/>
          <w:szCs w:val="18"/>
          <w:color w:val="auto"/>
        </w:rPr>
      </w:pPr>
    </w:p>
    <w:p>
      <w:pPr>
        <w:ind w:left="1040" w:right="720" w:hanging="519"/>
        <w:spacing w:after="0" w:line="308" w:lineRule="auto"/>
        <w:tabs>
          <w:tab w:leader="none" w:pos="1040" w:val="left"/>
        </w:tabs>
        <w:numPr>
          <w:ilvl w:val="0"/>
          <w:numId w:val="44"/>
        </w:numPr>
        <w:rPr>
          <w:rFonts w:ascii="Arial" w:cs="Arial" w:eastAsia="Arial" w:hAnsi="Arial"/>
          <w:sz w:val="17"/>
          <w:szCs w:val="17"/>
          <w:color w:val="auto"/>
        </w:rPr>
      </w:pPr>
      <w:r>
        <w:rPr>
          <w:rFonts w:ascii="Arial" w:cs="Arial" w:eastAsia="Arial" w:hAnsi="Arial"/>
          <w:sz w:val="17"/>
          <w:szCs w:val="17"/>
          <w:color w:val="auto"/>
        </w:rPr>
        <w:t>announcements by us or our competitors of new products, product candidates or new uses for existing products, significant contracts, commercial relationships or capital commitments and the timing of these introductions or announcements;</w:t>
      </w:r>
    </w:p>
    <w:p>
      <w:pPr>
        <w:spacing w:after="0" w:line="38" w:lineRule="exact"/>
        <w:rPr>
          <w:rFonts w:ascii="Arial" w:cs="Arial" w:eastAsia="Arial" w:hAnsi="Arial"/>
          <w:sz w:val="17"/>
          <w:szCs w:val="17"/>
          <w:color w:val="auto"/>
        </w:rPr>
      </w:pPr>
    </w:p>
    <w:p>
      <w:pPr>
        <w:ind w:left="1040" w:hanging="519"/>
        <w:spacing w:after="0"/>
        <w:tabs>
          <w:tab w:leader="none" w:pos="10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unanticipated serious safety concerns related to the use of any of our products and product candidates;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results from or delays of clinical trials of our product candidates;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failure to obtain or delays in obtaining or maintaining product approvals or clearances from regulatory authorities;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adverse regulatory or reimbursement announcements;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44"/>
        </w:numPr>
        <w:rPr>
          <w:rFonts w:ascii="Arial" w:cs="Arial" w:eastAsia="Arial" w:hAnsi="Arial"/>
          <w:sz w:val="17"/>
          <w:szCs w:val="17"/>
          <w:color w:val="auto"/>
        </w:rPr>
      </w:pPr>
      <w:r>
        <w:rPr>
          <w:rFonts w:ascii="Arial" w:cs="Arial" w:eastAsia="Arial" w:hAnsi="Arial"/>
          <w:sz w:val="17"/>
          <w:szCs w:val="17"/>
          <w:color w:val="auto"/>
        </w:rPr>
        <w:t>announcements by us or our competitors of significant acquisitions, strategic collaborations, joint ventures or capital commitments;</w:t>
      </w:r>
    </w:p>
    <w:p>
      <w:pPr>
        <w:spacing w:after="0" w:line="128" w:lineRule="exact"/>
        <w:rPr>
          <w:rFonts w:ascii="Arial" w:cs="Arial" w:eastAsia="Arial" w:hAnsi="Arial"/>
          <w:sz w:val="17"/>
          <w:szCs w:val="17"/>
          <w:color w:val="auto"/>
        </w:rPr>
      </w:pPr>
    </w:p>
    <w:p>
      <w:pPr>
        <w:ind w:left="1040" w:hanging="519"/>
        <w:spacing w:after="0"/>
        <w:tabs>
          <w:tab w:leader="none" w:pos="10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results of our efforts to discover or develop additional product candidates;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our dependence on third parties, including our collaborators, CROs, clinical trial sponsors and clinical investigators;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regulatory or legal developments in Canada, the U.S. or other countries;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developments or disputes concerning patent applications, issued patents or other proprietary rights;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recruitment or departure of key scientific or management personnel;</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our ability to successfully commercialize our future product candidates we develop independently, if approved;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level of expenses related to any of our product candidates or clinical development programs;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44"/>
        </w:numPr>
        <w:rPr>
          <w:rFonts w:ascii="Arial" w:cs="Arial" w:eastAsia="Arial" w:hAnsi="Arial"/>
          <w:sz w:val="17"/>
          <w:szCs w:val="17"/>
          <w:color w:val="auto"/>
        </w:rPr>
      </w:pPr>
      <w:r>
        <w:rPr>
          <w:rFonts w:ascii="Arial" w:cs="Arial" w:eastAsia="Arial" w:hAnsi="Arial"/>
          <w:sz w:val="17"/>
          <w:szCs w:val="17"/>
          <w:color w:val="auto"/>
        </w:rPr>
        <w:t>actual or anticipated changes in estimates as to financial results, development timelines or recommendations by securities analysts;</w:t>
      </w:r>
    </w:p>
    <w:p>
      <w:pPr>
        <w:spacing w:after="0" w:line="128" w:lineRule="exact"/>
        <w:rPr>
          <w:rFonts w:ascii="Arial" w:cs="Arial" w:eastAsia="Arial" w:hAnsi="Arial"/>
          <w:sz w:val="17"/>
          <w:szCs w:val="17"/>
          <w:color w:val="auto"/>
        </w:rPr>
      </w:pPr>
    </w:p>
    <w:p>
      <w:pPr>
        <w:ind w:left="1040" w:hanging="519"/>
        <w:spacing w:after="0"/>
        <w:tabs>
          <w:tab w:leader="none" w:pos="10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actual or anticipated quarterly variations in our financial results or those of our competitors;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any change to the composition of the board of directors or key personnel;</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sales of common shares by us or our shareholders in the future, as well as the overall trading volume of our common shares;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changes in the structure of healthcare payment systems;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commencement of, or our involvement in, litigation;</w:t>
      </w:r>
    </w:p>
    <w:p>
      <w:pPr>
        <w:spacing w:after="0" w:line="117" w:lineRule="exact"/>
        <w:rPr>
          <w:rFonts w:ascii="Arial" w:cs="Arial" w:eastAsia="Arial" w:hAnsi="Arial"/>
          <w:sz w:val="18"/>
          <w:szCs w:val="18"/>
          <w:color w:val="auto"/>
        </w:rPr>
      </w:pPr>
    </w:p>
    <w:p>
      <w:pPr>
        <w:ind w:left="1040" w:right="60" w:hanging="519"/>
        <w:spacing w:after="0" w:line="342" w:lineRule="auto"/>
        <w:tabs>
          <w:tab w:leader="none" w:pos="1040" w:val="left"/>
        </w:tabs>
        <w:numPr>
          <w:ilvl w:val="0"/>
          <w:numId w:val="44"/>
        </w:numPr>
        <w:rPr>
          <w:rFonts w:ascii="Arial" w:cs="Arial" w:eastAsia="Arial" w:hAnsi="Arial"/>
          <w:sz w:val="16"/>
          <w:szCs w:val="16"/>
          <w:color w:val="auto"/>
        </w:rPr>
      </w:pPr>
      <w:r>
        <w:rPr>
          <w:rFonts w:ascii="Arial" w:cs="Arial" w:eastAsia="Arial" w:hAnsi="Arial"/>
          <w:sz w:val="16"/>
          <w:szCs w:val="16"/>
          <w:color w:val="auto"/>
        </w:rPr>
        <w:t>general economic, industry and market conditions in the pharmaceutical and biotechnology sectors and other factors that may be unrelated to our operating performance or the operating performance of our competitors, including changes in market valuations of similar companies; and</w:t>
      </w:r>
    </w:p>
    <w:p>
      <w:pPr>
        <w:spacing w:after="0" w:line="15" w:lineRule="exact"/>
        <w:rPr>
          <w:rFonts w:ascii="Arial" w:cs="Arial" w:eastAsia="Arial" w:hAnsi="Arial"/>
          <w:sz w:val="16"/>
          <w:szCs w:val="16"/>
          <w:color w:val="auto"/>
        </w:rPr>
      </w:pPr>
    </w:p>
    <w:p>
      <w:pPr>
        <w:ind w:left="1040" w:hanging="519"/>
        <w:spacing w:after="0"/>
        <w:tabs>
          <w:tab w:leader="none" w:pos="10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other factors described in this “Risk Factors” section.</w:t>
      </w:r>
    </w:p>
    <w:p>
      <w:pPr>
        <w:spacing w:after="0" w:line="225" w:lineRule="exact"/>
        <w:rPr>
          <w:sz w:val="20"/>
          <w:szCs w:val="20"/>
          <w:color w:val="auto"/>
        </w:rPr>
      </w:pPr>
    </w:p>
    <w:p>
      <w:pPr>
        <w:ind w:firstLine="518"/>
        <w:spacing w:after="0" w:line="255" w:lineRule="auto"/>
        <w:rPr>
          <w:sz w:val="20"/>
          <w:szCs w:val="20"/>
          <w:color w:val="auto"/>
        </w:rPr>
      </w:pPr>
      <w:r>
        <w:rPr>
          <w:rFonts w:ascii="Arial" w:cs="Arial" w:eastAsia="Arial" w:hAnsi="Arial"/>
          <w:sz w:val="18"/>
          <w:szCs w:val="18"/>
          <w:color w:val="auto"/>
        </w:rPr>
        <w:t>In addition, the stock market in general, and NASDAQ and the biopharmaceutical industry in particular, have from time to time experienced volatility that often has been unrelated to the operating performance of the underlying companies. These broad market and industry fluctuations may adversely affect the market price of our common shares, regardless of our operating performance. In several recent situations where the market price of a stock has been volatile, holders of that stock have instituted securities class action litigation against the company that issued the stock. If any of our shareholders were to bring a lawsuit against us, the defense and disposition of the lawsuit could be costly and divert the time and attention of our management and harm our operating results.</w:t>
      </w:r>
    </w:p>
    <w:p>
      <w:pPr>
        <w:spacing w:after="0" w:line="200" w:lineRule="exact"/>
        <w:rPr>
          <w:sz w:val="20"/>
          <w:szCs w:val="20"/>
          <w:color w:val="auto"/>
        </w:rPr>
      </w:pPr>
    </w:p>
    <w:p>
      <w:pPr>
        <w:spacing w:after="0" w:line="23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40"/>
          </w:cols>
          <w:pgMar w:left="240" w:top="459" w:right="319" w:bottom="1440" w:gutter="0" w:footer="0" w:header="0"/>
        </w:sectPr>
      </w:pPr>
    </w:p>
    <w:bookmarkStart w:id="52" w:name="page53"/>
    <w:bookmarkEnd w:id="52"/>
    <w:p>
      <w:pPr>
        <w:ind w:left="260"/>
        <w:spacing w:after="0"/>
        <w:rPr>
          <w:sz w:val="20"/>
          <w:szCs w:val="20"/>
          <w:color w:val="auto"/>
        </w:rPr>
      </w:pPr>
      <w:r>
        <w:rPr>
          <w:rFonts w:ascii="Arial" w:cs="Arial" w:eastAsia="Arial" w:hAnsi="Arial"/>
          <w:sz w:val="18"/>
          <w:szCs w:val="18"/>
          <w:b w:val="1"/>
          <w:bCs w:val="1"/>
          <w:i w:val="1"/>
          <w:iCs w:val="1"/>
          <w:color w:val="auto"/>
        </w:rPr>
        <w:t>Future sales of our common shares in the public market could cause the market price of our common shares to fall.</w:t>
      </w:r>
    </w:p>
    <w:p>
      <w:pPr>
        <w:spacing w:after="0" w:line="117" w:lineRule="exact"/>
        <w:rPr>
          <w:sz w:val="20"/>
          <w:szCs w:val="20"/>
          <w:color w:val="auto"/>
        </w:rPr>
      </w:pPr>
    </w:p>
    <w:p>
      <w:pPr>
        <w:jc w:val="both"/>
        <w:ind w:right="220" w:firstLine="518"/>
        <w:spacing w:after="0" w:line="264" w:lineRule="auto"/>
        <w:rPr>
          <w:sz w:val="20"/>
          <w:szCs w:val="20"/>
          <w:color w:val="auto"/>
        </w:rPr>
      </w:pPr>
      <w:r>
        <w:rPr>
          <w:rFonts w:ascii="Arial" w:cs="Arial" w:eastAsia="Arial" w:hAnsi="Arial"/>
          <w:sz w:val="18"/>
          <w:szCs w:val="18"/>
          <w:color w:val="auto"/>
        </w:rPr>
        <w:t>The market price of our common shares could decline as a result of sales of a large number of our common shares or the perception that these sales could occur. These sales, or the possibility that these sales may occur, also might make it more difficult for us to sell equity securities in the future at a time and at a price that we deem appropriate.</w:t>
      </w:r>
    </w:p>
    <w:p>
      <w:pPr>
        <w:spacing w:after="0" w:line="181" w:lineRule="exact"/>
        <w:rPr>
          <w:sz w:val="20"/>
          <w:szCs w:val="20"/>
          <w:color w:val="auto"/>
        </w:rPr>
      </w:pPr>
    </w:p>
    <w:p>
      <w:pPr>
        <w:ind w:right="20" w:firstLine="518"/>
        <w:spacing w:after="0" w:line="264" w:lineRule="auto"/>
        <w:rPr>
          <w:sz w:val="20"/>
          <w:szCs w:val="20"/>
          <w:color w:val="auto"/>
        </w:rPr>
      </w:pPr>
      <w:r>
        <w:rPr>
          <w:rFonts w:ascii="Arial" w:cs="Arial" w:eastAsia="Arial" w:hAnsi="Arial"/>
          <w:sz w:val="18"/>
          <w:szCs w:val="18"/>
          <w:color w:val="auto"/>
        </w:rPr>
        <w:t>In addition, in the future, we may issue additional common shares or other equity or debt securities convertible into common shares in connection with a financing, acquisition, litigation settlement, employee arrangements or otherwise. Any such issuance could result in substantial dilution to our existing shareholders and could cause the market price of our common shares to decline.</w:t>
      </w:r>
    </w:p>
    <w:p>
      <w:pPr>
        <w:spacing w:after="0" w:line="289" w:lineRule="exact"/>
        <w:rPr>
          <w:sz w:val="20"/>
          <w:szCs w:val="20"/>
          <w:color w:val="auto"/>
        </w:rPr>
      </w:pPr>
    </w:p>
    <w:p>
      <w:pPr>
        <w:ind w:firstLine="259"/>
        <w:spacing w:after="0" w:line="264" w:lineRule="auto"/>
        <w:rPr>
          <w:sz w:val="20"/>
          <w:szCs w:val="20"/>
          <w:color w:val="auto"/>
        </w:rPr>
      </w:pPr>
      <w:r>
        <w:rPr>
          <w:rFonts w:ascii="Arial" w:cs="Arial" w:eastAsia="Arial" w:hAnsi="Arial"/>
          <w:sz w:val="18"/>
          <w:szCs w:val="18"/>
          <w:b w:val="1"/>
          <w:bCs w:val="1"/>
          <w:i w:val="1"/>
          <w:iCs w:val="1"/>
          <w:color w:val="auto"/>
        </w:rPr>
        <w:t>Provisions in our corporate charter documents and Canadian law could make an acquisition of us, which may be beneficial to our shareholders, more difficult and may prevent attempts by our shareholders to replace or remove our current management and/or limit the market price of our common shares.</w:t>
      </w:r>
    </w:p>
    <w:p>
      <w:pPr>
        <w:spacing w:after="0" w:line="73" w:lineRule="exact"/>
        <w:rPr>
          <w:sz w:val="20"/>
          <w:szCs w:val="20"/>
          <w:color w:val="auto"/>
        </w:rPr>
      </w:pPr>
    </w:p>
    <w:p>
      <w:pPr>
        <w:ind w:right="200" w:firstLine="518"/>
        <w:spacing w:after="0" w:line="272" w:lineRule="auto"/>
        <w:rPr>
          <w:sz w:val="20"/>
          <w:szCs w:val="20"/>
          <w:color w:val="auto"/>
        </w:rPr>
      </w:pPr>
      <w:r>
        <w:rPr>
          <w:rFonts w:ascii="Arial" w:cs="Arial" w:eastAsia="Arial" w:hAnsi="Arial"/>
          <w:sz w:val="17"/>
          <w:szCs w:val="17"/>
          <w:color w:val="auto"/>
        </w:rPr>
        <w:t>Provisions in our articles and our by-laws, as well as certain provisions under the Canada Business Corporations Act, or CBCA, and applicable Canadian securities laws, may discourage, delay or prevent a merger, acquisition or other change in control of us that shareholders may consider favorable, including transactions in which they might otherwise receive a premium for their common shares. These provisions could also limit the price that investors might be willing to pay in the future for our common shares, thereby depressing the market price of our common shares. In addition, because our board of directors is responsible for appointing the members of our management team, these provisions may frustrate or prevent any attempts by our shareholders to replace or remove our current management by making it more difficult for shareholders to replace members of our board of directors. Among other things, these provisions include the following:</w:t>
      </w:r>
    </w:p>
    <w:p>
      <w:pPr>
        <w:spacing w:after="0" w:line="70" w:lineRule="exact"/>
        <w:rPr>
          <w:sz w:val="20"/>
          <w:szCs w:val="20"/>
          <w:color w:val="auto"/>
        </w:rPr>
      </w:pPr>
    </w:p>
    <w:p>
      <w:pPr>
        <w:ind w:left="1040" w:right="80" w:hanging="519"/>
        <w:spacing w:after="0" w:line="277" w:lineRule="auto"/>
        <w:tabs>
          <w:tab w:leader="none" w:pos="10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shareholders cannot amend our articles unless such amendment is approved by shareholders holding at least two-thirds of the shares entitled to vote on such approval;</w:t>
      </w:r>
    </w:p>
    <w:p>
      <w:pPr>
        <w:spacing w:after="0" w:line="62" w:lineRule="exact"/>
        <w:rPr>
          <w:rFonts w:ascii="Arial" w:cs="Arial" w:eastAsia="Arial" w:hAnsi="Arial"/>
          <w:sz w:val="18"/>
          <w:szCs w:val="18"/>
          <w:color w:val="auto"/>
        </w:rPr>
      </w:pPr>
    </w:p>
    <w:p>
      <w:pPr>
        <w:ind w:left="1040" w:hanging="519"/>
        <w:spacing w:after="0" w:line="277" w:lineRule="auto"/>
        <w:tabs>
          <w:tab w:leader="none" w:pos="10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our board of directors may, without shareholder approval, issue preferred shares having any terms, conditions, rights, preferences and privileges as the board of directors may determine; and</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shareholders must give advance notice to nominate directors or to submit proposals for consideration at shareholders’ meetings.</w:t>
      </w:r>
    </w:p>
    <w:p>
      <w:pPr>
        <w:spacing w:after="0" w:line="225" w:lineRule="exact"/>
        <w:rPr>
          <w:sz w:val="20"/>
          <w:szCs w:val="20"/>
          <w:color w:val="auto"/>
        </w:rPr>
      </w:pPr>
    </w:p>
    <w:p>
      <w:pPr>
        <w:ind w:right="160" w:firstLine="518"/>
        <w:spacing w:after="0" w:line="264" w:lineRule="auto"/>
        <w:rPr>
          <w:sz w:val="20"/>
          <w:szCs w:val="20"/>
          <w:color w:val="auto"/>
        </w:rPr>
      </w:pPr>
      <w:r>
        <w:rPr>
          <w:rFonts w:ascii="Arial" w:cs="Arial" w:eastAsia="Arial" w:hAnsi="Arial"/>
          <w:sz w:val="18"/>
          <w:szCs w:val="18"/>
          <w:color w:val="auto"/>
        </w:rPr>
        <w:t>Any provision in our articles, by-laws, under the CBCA or under any applicable Canadian securities law that has the effect of delaying or deterring a change in control could limit the opportunity for our shareholders to receive a premium for their common shares, and could also affect the price that some investors are willing to pay for our common shares.</w:t>
      </w:r>
    </w:p>
    <w:p>
      <w:pPr>
        <w:spacing w:after="0" w:line="28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U.S. civil liabilities may not be enforceable against us, our directors, or our officers.</w:t>
      </w:r>
    </w:p>
    <w:p>
      <w:pPr>
        <w:spacing w:after="0" w:line="117" w:lineRule="exact"/>
        <w:rPr>
          <w:sz w:val="20"/>
          <w:szCs w:val="20"/>
          <w:color w:val="auto"/>
        </w:rPr>
      </w:pPr>
    </w:p>
    <w:p>
      <w:pPr>
        <w:ind w:right="60" w:firstLine="518"/>
        <w:spacing w:after="0" w:line="293" w:lineRule="auto"/>
        <w:rPr>
          <w:sz w:val="20"/>
          <w:szCs w:val="20"/>
          <w:color w:val="auto"/>
        </w:rPr>
      </w:pPr>
      <w:r>
        <w:rPr>
          <w:rFonts w:ascii="Arial" w:cs="Arial" w:eastAsia="Arial" w:hAnsi="Arial"/>
          <w:sz w:val="16"/>
          <w:szCs w:val="16"/>
          <w:color w:val="auto"/>
        </w:rPr>
        <w:t>We are governed by the CBCA and our principal place of business is in Canada. Many of our directors and officers reside outside of the U.S., and all or a substantial portion of their assets as well as all or a substantial portion of our assets are located outside the U.S. As a result, it may be difficult for investors to effect service of process within the U.S. upon us and certain of our directors and officers or to enforce judgments obtained against us or such persons, in U.S. courts, in any action, including actions predicated upon the civil liability provisions of U.S. federal securities laws or any other laws of the U.S. Additionally, rights predicated solely upon civil liability provisions of U.S. federal securities laws or any other laws of the U.S. may not be enforceable in original actions, or actions to enforce judgments obtained in U.S. courts, brought in Canadian courts, including courts in the Province of British Columbia.</w:t>
      </w:r>
    </w:p>
    <w:p>
      <w:pPr>
        <w:spacing w:after="0" w:line="273" w:lineRule="exact"/>
        <w:rPr>
          <w:sz w:val="20"/>
          <w:szCs w:val="20"/>
          <w:color w:val="auto"/>
        </w:rPr>
      </w:pPr>
    </w:p>
    <w:p>
      <w:pPr>
        <w:ind w:right="220" w:firstLine="259"/>
        <w:spacing w:after="0" w:line="277" w:lineRule="auto"/>
        <w:rPr>
          <w:sz w:val="20"/>
          <w:szCs w:val="20"/>
          <w:color w:val="auto"/>
        </w:rPr>
      </w:pPr>
      <w:r>
        <w:rPr>
          <w:rFonts w:ascii="Arial" w:cs="Arial" w:eastAsia="Arial" w:hAnsi="Arial"/>
          <w:sz w:val="18"/>
          <w:szCs w:val="18"/>
          <w:b w:val="1"/>
          <w:bCs w:val="1"/>
          <w:i w:val="1"/>
          <w:iCs w:val="1"/>
          <w:color w:val="auto"/>
        </w:rPr>
        <w:t>We are governed by the corporate laws of Canada which in some cases have a different effect on shareholders than the corporate laws of Delaware, U.S.</w:t>
      </w:r>
    </w:p>
    <w:p>
      <w:pPr>
        <w:spacing w:after="0" w:line="62" w:lineRule="exact"/>
        <w:rPr>
          <w:sz w:val="20"/>
          <w:szCs w:val="20"/>
          <w:color w:val="auto"/>
        </w:rPr>
      </w:pPr>
    </w:p>
    <w:p>
      <w:pPr>
        <w:ind w:firstLine="518"/>
        <w:spacing w:after="0" w:line="271" w:lineRule="auto"/>
        <w:rPr>
          <w:sz w:val="20"/>
          <w:szCs w:val="20"/>
          <w:color w:val="auto"/>
        </w:rPr>
      </w:pPr>
      <w:r>
        <w:rPr>
          <w:rFonts w:ascii="Arial" w:cs="Arial" w:eastAsia="Arial" w:hAnsi="Arial"/>
          <w:sz w:val="17"/>
          <w:szCs w:val="17"/>
          <w:color w:val="auto"/>
        </w:rPr>
        <w:t>We are governed by the CBCA and other relevant laws, which may affect the rights of shareholders differently than those of a company governed by the laws of a U.S. jurisdiction, and may, together with our charter documents, have the effect of delaying, deferring or discouraging another party from acquiring control of our company by means of a tender offer, a proxy contest or otherwise, or may affect the price an acquiring party would be willing to offer in such an instance. The material differences between the CBCA and Delaware General Corporation Law, or DGCL, that may have the greatest such effect include, but are not limited to, the following: (i) for material corporate transactions (such as mergers and amalgamations, other extraordinary corporate transactions or amendments to our articles) the CBCA generally requires a two-thirds majority vote by shareholders, whereas DGCL generally only requires a majority vote; and (ii) under the CBCA a holder of 5% or more of our common shares can requisition a special meeting of shareholders, whereas such right does not exist under the DGCL.</w:t>
      </w: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63" w:right="259" w:bottom="1440" w:gutter="0" w:footer="0" w:header="0"/>
        </w:sectPr>
      </w:pPr>
    </w:p>
    <w:bookmarkStart w:id="53" w:name="page54"/>
    <w:bookmarkEnd w:id="53"/>
    <w:p>
      <w:pPr>
        <w:ind w:left="260"/>
        <w:spacing w:after="0"/>
        <w:rPr>
          <w:sz w:val="20"/>
          <w:szCs w:val="20"/>
          <w:color w:val="auto"/>
        </w:rPr>
      </w:pPr>
      <w:r>
        <w:rPr>
          <w:rFonts w:ascii="Arial" w:cs="Arial" w:eastAsia="Arial" w:hAnsi="Arial"/>
          <w:sz w:val="18"/>
          <w:szCs w:val="18"/>
          <w:b w:val="1"/>
          <w:bCs w:val="1"/>
          <w:i w:val="1"/>
          <w:iCs w:val="1"/>
          <w:color w:val="auto"/>
        </w:rPr>
        <w:t>An active trading market for our common shares may not be maintained.</w:t>
      </w:r>
    </w:p>
    <w:p>
      <w:pPr>
        <w:spacing w:after="0" w:line="117" w:lineRule="exact"/>
        <w:rPr>
          <w:sz w:val="20"/>
          <w:szCs w:val="20"/>
          <w:color w:val="auto"/>
        </w:rPr>
      </w:pPr>
    </w:p>
    <w:p>
      <w:pPr>
        <w:ind w:right="20" w:firstLine="518"/>
        <w:spacing w:after="0" w:line="257" w:lineRule="auto"/>
        <w:rPr>
          <w:sz w:val="20"/>
          <w:szCs w:val="20"/>
          <w:color w:val="auto"/>
        </w:rPr>
      </w:pPr>
      <w:r>
        <w:rPr>
          <w:rFonts w:ascii="Arial" w:cs="Arial" w:eastAsia="Arial" w:hAnsi="Arial"/>
          <w:sz w:val="18"/>
          <w:szCs w:val="18"/>
          <w:color w:val="auto"/>
        </w:rPr>
        <w:t>Our common shares are currently traded on NASDAQ, but we can provide no assurance that we will be able to maintain an active trading market on NASDAQ or any other exchange in the future. If an active market for our common shares is not maintained, it may be difficult for our shareholders to sell the common shares they have purchased without depressing the market price for the common shares or at all. Further, an inactive market may also impair our ability to raise capital by selling additional common shares and may impair our ability to enter into strategic collaborations or acquire companies or products by using our common shares as consideration.</w:t>
      </w:r>
    </w:p>
    <w:p>
      <w:pPr>
        <w:spacing w:after="0" w:line="296" w:lineRule="exact"/>
        <w:rPr>
          <w:sz w:val="20"/>
          <w:szCs w:val="20"/>
          <w:color w:val="auto"/>
        </w:rPr>
      </w:pPr>
    </w:p>
    <w:p>
      <w:pPr>
        <w:ind w:right="280" w:firstLine="259"/>
        <w:spacing w:after="0" w:line="264" w:lineRule="auto"/>
        <w:rPr>
          <w:sz w:val="20"/>
          <w:szCs w:val="20"/>
          <w:color w:val="auto"/>
        </w:rPr>
      </w:pPr>
      <w:r>
        <w:rPr>
          <w:rFonts w:ascii="Arial" w:cs="Arial" w:eastAsia="Arial" w:hAnsi="Arial"/>
          <w:sz w:val="18"/>
          <w:szCs w:val="18"/>
          <w:b w:val="1"/>
          <w:bCs w:val="1"/>
          <w:i w:val="1"/>
          <w:iCs w:val="1"/>
          <w:color w:val="auto"/>
        </w:rPr>
        <w:t>Complying with the laws and regulations affecting public companies will increase our costs and the demands on management and could harm our operating results and our ability to accurately report our financial condition, results of operations or cash flows, which may adversely affect investor confidence in us and, as a result, the value of our common shares.</w:t>
      </w:r>
    </w:p>
    <w:p>
      <w:pPr>
        <w:spacing w:after="0" w:line="73" w:lineRule="exact"/>
        <w:rPr>
          <w:sz w:val="20"/>
          <w:szCs w:val="20"/>
          <w:color w:val="auto"/>
        </w:rPr>
      </w:pPr>
    </w:p>
    <w:p>
      <w:pPr>
        <w:ind w:right="120" w:firstLine="518"/>
        <w:spacing w:after="0" w:line="269" w:lineRule="auto"/>
        <w:rPr>
          <w:sz w:val="20"/>
          <w:szCs w:val="20"/>
          <w:color w:val="auto"/>
        </w:rPr>
      </w:pPr>
      <w:r>
        <w:rPr>
          <w:rFonts w:ascii="Arial" w:cs="Arial" w:eastAsia="Arial" w:hAnsi="Arial"/>
          <w:sz w:val="17"/>
          <w:szCs w:val="17"/>
          <w:color w:val="auto"/>
        </w:rPr>
        <w:t>As a public company, and particularly after we cease to be an “emerging growth company,” we will incur significant legal, accounting and other expenses. In addition, the Sarbanes-Oxley Act of 2002, or the Sarbanes-Oxley Act, and the related rules and regulations subsequently implemented by the Securities and Exchange Commission, or SEC, the applicable Canadian securities regulators and NASDAQ impose numerous requirements on public companies, including requiring changes in corporate governance practices. Also, the Securities Exchange Act of 1934, as amended, or the Exchange Act, requires, among other things, that we file annual, quarterly and current reports with respect to our business and operating results. Our management and other personnel have and will continue to devote a substantial amount of time to compliance with these laws and regulations. These requirements have increased and will continue to increase our legal, accounting, and financial compliance costs and have made and will continue to make some activities more time-consuming and costly. For example, these rules and regulations make it difficult and expensive for us to maintain director and officer liability insurance and we may be required to accept reduced policy limits and coverage or to incur substantial costs to maintain the same or similar coverage. These rules and regulations could also make it more difficult for us to attract and retain qualified persons to serve on our board of directors or our board committees or as executive officers.</w:t>
      </w:r>
    </w:p>
    <w:p>
      <w:pPr>
        <w:spacing w:after="0" w:line="183" w:lineRule="exact"/>
        <w:rPr>
          <w:sz w:val="20"/>
          <w:szCs w:val="20"/>
          <w:color w:val="auto"/>
        </w:rPr>
      </w:pPr>
    </w:p>
    <w:p>
      <w:pPr>
        <w:ind w:firstLine="518"/>
        <w:spacing w:after="0" w:line="286" w:lineRule="auto"/>
        <w:rPr>
          <w:sz w:val="20"/>
          <w:szCs w:val="20"/>
          <w:color w:val="auto"/>
        </w:rPr>
      </w:pPr>
      <w:r>
        <w:rPr>
          <w:rFonts w:ascii="Arial" w:cs="Arial" w:eastAsia="Arial" w:hAnsi="Arial"/>
          <w:sz w:val="16"/>
          <w:szCs w:val="16"/>
          <w:color w:val="auto"/>
        </w:rPr>
        <w:t>The Sarbanes-Oxley Act requires, among other things, that we assess the effectiveness of our internal control over financial reporting annually and the effectiveness of our disclosure controls and procedures quarterly. In particular, Section 404 of the Sarbanes-Oxley Act, or Section 404, requires us to perform system and process evaluation and testing of our internal control over financial reporting to allow management to report on, and our independent registered public accounting firm potentially to attest to, the effectiveness of our internal control over financial reporting. As an “emerging growth company” we expect to avail ourselves of the exemption from the requirement that our independent registered public accounting firm attest to the effectiveness of our internal control over financial reporting under Section 404. However, we may no longer avail ourselves of this exemption when we cease to be an “emerging growth company.” When our independent registered public accounting firm is required to undertake an assessment of our internal control over financial reporting, the cost of our compliance with Section 404 will correspondingly increase. Our compliance with applicable provisions of Section 404 will require that we incur substantial accounting expense and expend significant management time on compliance-related issues as we implement additional corporate governance practices and comply with reporting requirements. Moreover, if we are not able to comply with the requirements of Section 404 applicable to us in a timely manner, or if we or our independent registered public accounting firm identifies deficiencies in our internal control over financial reporting that are deemed to be material weaknesses, the market price of our common shares could decline and we could be subject to sanctions or investigations by the SEC or other regulatory authorities, which would require additional financial and management resources.</w:t>
      </w:r>
    </w:p>
    <w:p>
      <w:pPr>
        <w:spacing w:after="0" w:line="175" w:lineRule="exact"/>
        <w:rPr>
          <w:sz w:val="20"/>
          <w:szCs w:val="20"/>
          <w:color w:val="auto"/>
        </w:rPr>
      </w:pPr>
    </w:p>
    <w:p>
      <w:pPr>
        <w:ind w:right="120" w:firstLine="518"/>
        <w:spacing w:after="0" w:line="257" w:lineRule="auto"/>
        <w:rPr>
          <w:sz w:val="20"/>
          <w:szCs w:val="20"/>
          <w:color w:val="auto"/>
        </w:rPr>
      </w:pPr>
      <w:r>
        <w:rPr>
          <w:rFonts w:ascii="Arial" w:cs="Arial" w:eastAsia="Arial" w:hAnsi="Arial"/>
          <w:sz w:val="18"/>
          <w:szCs w:val="18"/>
          <w:color w:val="auto"/>
        </w:rPr>
        <w:t>Furthermore, investor perceptions of our company may suffer if deficiencies are found, and this could cause a decline in the market price of our common shares. Irrespective of compliance with Section 404, any failure of our internal control over financial reporting could have a material adverse effect on our stated operating results and harm our reputation. If we are unable to implement these requirements effectively or efficiently, it could harm our operations, financial reporting, or financial results and could result in an adverse opinion on our internal controls from our independent registered public accounting firm.</w:t>
      </w:r>
    </w:p>
    <w:p>
      <w:pPr>
        <w:spacing w:after="0" w:line="200" w:lineRule="exact"/>
        <w:rPr>
          <w:sz w:val="20"/>
          <w:szCs w:val="20"/>
          <w:color w:val="auto"/>
        </w:rPr>
      </w:pPr>
    </w:p>
    <w:p>
      <w:pPr>
        <w:spacing w:after="0" w:line="23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63" w:right="259" w:bottom="1440" w:gutter="0" w:footer="0" w:header="0"/>
        </w:sectPr>
      </w:pPr>
    </w:p>
    <w:bookmarkStart w:id="54" w:name="page55"/>
    <w:bookmarkEnd w:id="54"/>
    <w:p>
      <w:pPr>
        <w:ind w:right="420" w:firstLine="259"/>
        <w:spacing w:after="0" w:line="277" w:lineRule="auto"/>
        <w:rPr>
          <w:sz w:val="20"/>
          <w:szCs w:val="20"/>
          <w:color w:val="auto"/>
        </w:rPr>
      </w:pPr>
      <w:r>
        <w:rPr>
          <w:rFonts w:ascii="Arial" w:cs="Arial" w:eastAsia="Arial" w:hAnsi="Arial"/>
          <w:sz w:val="18"/>
          <w:szCs w:val="18"/>
          <w:b w:val="1"/>
          <w:bCs w:val="1"/>
          <w:i w:val="1"/>
          <w:iCs w:val="1"/>
          <w:color w:val="auto"/>
        </w:rPr>
        <w:t>We are an “emerging growth company,” and any decision on our part to comply only with certain reduced reporting and disclosure requirements applicable to emerging growth companies could make our common shares less attractive to investors.</w:t>
      </w:r>
    </w:p>
    <w:p>
      <w:pPr>
        <w:spacing w:after="0" w:line="62" w:lineRule="exact"/>
        <w:rPr>
          <w:sz w:val="20"/>
          <w:szCs w:val="20"/>
          <w:color w:val="auto"/>
        </w:rPr>
      </w:pPr>
    </w:p>
    <w:p>
      <w:pPr>
        <w:ind w:firstLine="518"/>
        <w:spacing w:after="0" w:line="287" w:lineRule="auto"/>
        <w:rPr>
          <w:sz w:val="20"/>
          <w:szCs w:val="20"/>
          <w:color w:val="auto"/>
        </w:rPr>
      </w:pPr>
      <w:r>
        <w:rPr>
          <w:rFonts w:ascii="Arial" w:cs="Arial" w:eastAsia="Arial" w:hAnsi="Arial"/>
          <w:sz w:val="16"/>
          <w:szCs w:val="16"/>
          <w:color w:val="auto"/>
        </w:rPr>
        <w:t>We are an “emerging growth company,” as defined in the Jumpstart Our Business Startups Act of 2012, or the JOBS Act. For as long as we continue to be an “emerging growth company,” we may choose to take advantage of exemptions from various reporting requirements applicable to other public companies that are not “emerging growth companies,” including, but not limited to, not being required to have our independent registered public accounting firm audit our internal control over financial reporting under Section 404, reduced disclosure obligations regarding executive compensation in our periodic reports and proxy statements and exemptions from the requirements of holding a nonbinding advisory vote on executive compensation and shareholder approval of any golden parachute payments not previously approved. We could be an “emerging growth company” for up to five years following the completion of our initial public offering, although, if we have more than $1.0 billion in annual revenue, if the market value of our common shares held by non-affiliates exceeds $700 million as of June 30 of any year, or we issue more than $1.0 billion of non-convertible debt over a three-year period before the end of that five-year period, we would cease to be an “emerging growth company” as of the following December 31. Investors could find our common shares less attractive if we choose to rely on these exemptions. If some investors find our common shares less attractive as a result of any choices to reduce future disclosure, there may be a less active trading market for our common shares and the market price of our common shares may be more volatile.</w:t>
      </w:r>
    </w:p>
    <w:p>
      <w:pPr>
        <w:spacing w:after="0" w:line="173" w:lineRule="exact"/>
        <w:rPr>
          <w:sz w:val="20"/>
          <w:szCs w:val="20"/>
          <w:color w:val="auto"/>
        </w:rPr>
      </w:pPr>
    </w:p>
    <w:p>
      <w:pPr>
        <w:ind w:right="60" w:firstLine="518"/>
        <w:spacing w:after="0" w:line="257" w:lineRule="auto"/>
        <w:rPr>
          <w:sz w:val="20"/>
          <w:szCs w:val="20"/>
          <w:color w:val="auto"/>
        </w:rPr>
      </w:pPr>
      <w:r>
        <w:rPr>
          <w:rFonts w:ascii="Arial" w:cs="Arial" w:eastAsia="Arial" w:hAnsi="Arial"/>
          <w:sz w:val="18"/>
          <w:szCs w:val="18"/>
          <w:color w:val="auto"/>
        </w:rPr>
        <w:t>As an “emerging growth company,” the JOBS Act allows us to delay adoption of new or revised accounting pronouncements applicable to public companies until such pronouncements are made applicable to private companies. However, we previously decided to “opt out” of such extended transition period, and as a result, we will comply with new or revised accounting standards on the relevant dates on which adoption of such standards is required for non-emerging growth companies. Section 107 of the JOBS Act provides that our decision to opt out of the extended transition period for complying with new or revised accounting standards is irrevocable.</w:t>
      </w:r>
    </w:p>
    <w:p>
      <w:pPr>
        <w:spacing w:after="0" w:line="296" w:lineRule="exact"/>
        <w:rPr>
          <w:sz w:val="20"/>
          <w:szCs w:val="20"/>
          <w:color w:val="auto"/>
        </w:rPr>
      </w:pPr>
    </w:p>
    <w:p>
      <w:pPr>
        <w:ind w:right="180" w:firstLine="259"/>
        <w:spacing w:after="0" w:line="264" w:lineRule="auto"/>
        <w:rPr>
          <w:sz w:val="20"/>
          <w:szCs w:val="20"/>
          <w:color w:val="auto"/>
        </w:rPr>
      </w:pPr>
      <w:r>
        <w:rPr>
          <w:rFonts w:ascii="Arial" w:cs="Arial" w:eastAsia="Arial" w:hAnsi="Arial"/>
          <w:sz w:val="18"/>
          <w:szCs w:val="18"/>
          <w:b w:val="1"/>
          <w:bCs w:val="1"/>
          <w:i w:val="1"/>
          <w:iCs w:val="1"/>
          <w:color w:val="auto"/>
        </w:rPr>
        <w:t>If we fail to maintain an effective system of internal control over financial reporting, we may not be able to accurately report our financial results or prevent fraud. As a result, shareholders could lose confidence in our financial and other public reporting, which would harm our business and the market price of our common shares.</w:t>
      </w:r>
    </w:p>
    <w:p>
      <w:pPr>
        <w:spacing w:after="0" w:line="73" w:lineRule="exact"/>
        <w:rPr>
          <w:sz w:val="20"/>
          <w:szCs w:val="20"/>
          <w:color w:val="auto"/>
        </w:rPr>
      </w:pPr>
    </w:p>
    <w:p>
      <w:pPr>
        <w:ind w:right="280" w:firstLine="518"/>
        <w:spacing w:after="0" w:line="272" w:lineRule="auto"/>
        <w:rPr>
          <w:sz w:val="20"/>
          <w:szCs w:val="20"/>
          <w:color w:val="auto"/>
        </w:rPr>
      </w:pPr>
      <w:r>
        <w:rPr>
          <w:rFonts w:ascii="Arial" w:cs="Arial" w:eastAsia="Arial" w:hAnsi="Arial"/>
          <w:sz w:val="17"/>
          <w:szCs w:val="17"/>
          <w:color w:val="auto"/>
        </w:rPr>
        <w:t>Effective internal controls over financial reporting are necessary for us to provide reliable financial reports and, together with adequate disclosure controls and procedures, are designed to prevent fraud. Any failure to implement required new or improved controls, or difficulties encountered in their implementation could cause us to fail to meet our reporting obligations. In addition, any testing by us conducted in connection with Section 404 or any subsequent testing by our independent registered public accounting firm, may reveal deficiencies in our internal controls over financial reporting that are deemed to be material weaknesses or that may require prospective or retroactive changes to our financial statements or identify other areas for further attention or improvement. Inferior internal controls could also cause investors to lose confidence in our reported financial information, which could have a negative effect on the market price of our common shares.</w:t>
      </w:r>
    </w:p>
    <w:p>
      <w:pPr>
        <w:spacing w:after="0" w:line="178" w:lineRule="exact"/>
        <w:rPr>
          <w:sz w:val="20"/>
          <w:szCs w:val="20"/>
          <w:color w:val="auto"/>
        </w:rPr>
      </w:pPr>
    </w:p>
    <w:p>
      <w:pPr>
        <w:ind w:right="180" w:firstLine="518"/>
        <w:spacing w:after="0" w:line="270" w:lineRule="auto"/>
        <w:rPr>
          <w:sz w:val="20"/>
          <w:szCs w:val="20"/>
          <w:color w:val="auto"/>
        </w:rPr>
      </w:pPr>
      <w:r>
        <w:rPr>
          <w:rFonts w:ascii="Arial" w:cs="Arial" w:eastAsia="Arial" w:hAnsi="Arial"/>
          <w:sz w:val="17"/>
          <w:szCs w:val="17"/>
          <w:color w:val="auto"/>
        </w:rPr>
        <w:t>We are required to disclose changes made in our internal controls and procedures on a quarterly basis and our management is required to assess the effectiveness of these controls annually. However, for as long as we are an “emerging growth company” under the JOBS Act, our independent registered public accounting firm will not be required to attest to the effectiveness of our internal controls over financial reporting pursuant to Section 404. An independent assessment of the effectiveness of our internal controls could detect problems that our management’s assessment might not. In addition, our management did not perform an evaluation of our internal control over financial reporting as of December 31, 2014 or December 31, 2013 and our independent registered public accounting firm did not perform an evaluation of our internal control over financial reporting during any period in accordance with the provisions of the Sarbanes-Oxley Act. Had we and our independent registered public accounting firm performed such an evaluation, control deficiencies may have been identified by management or our independent registered public accounting firm, and those control deficiencies could have also represented one or more material weaknesses. Undetected material weaknesses in our internal controls could lead to financial statement restatements and require us to incur the expense of remediation.</w:t>
      </w:r>
    </w:p>
    <w:p>
      <w:pPr>
        <w:spacing w:after="0" w:line="286" w:lineRule="exact"/>
        <w:rPr>
          <w:sz w:val="20"/>
          <w:szCs w:val="20"/>
          <w:color w:val="auto"/>
        </w:rPr>
      </w:pPr>
    </w:p>
    <w:p>
      <w:pPr>
        <w:ind w:right="20" w:firstLine="259"/>
        <w:spacing w:after="0" w:line="277" w:lineRule="auto"/>
        <w:rPr>
          <w:sz w:val="20"/>
          <w:szCs w:val="20"/>
          <w:color w:val="auto"/>
        </w:rPr>
      </w:pPr>
      <w:r>
        <w:rPr>
          <w:rFonts w:ascii="Arial" w:cs="Arial" w:eastAsia="Arial" w:hAnsi="Arial"/>
          <w:sz w:val="18"/>
          <w:szCs w:val="18"/>
          <w:b w:val="1"/>
          <w:bCs w:val="1"/>
          <w:i w:val="1"/>
          <w:iCs w:val="1"/>
          <w:color w:val="auto"/>
        </w:rPr>
        <w:t>Future sales and issuances of our common shares or rights to purchase common shares, including pursuant to our equity incentive plans, could cause you to incur dilution and could cause the market price of our common shares to fall.</w:t>
      </w:r>
    </w:p>
    <w:p>
      <w:pPr>
        <w:spacing w:after="0" w:line="62" w:lineRule="exact"/>
        <w:rPr>
          <w:sz w:val="20"/>
          <w:szCs w:val="20"/>
          <w:color w:val="auto"/>
        </w:rPr>
      </w:pPr>
    </w:p>
    <w:p>
      <w:pPr>
        <w:ind w:right="180" w:firstLine="518"/>
        <w:spacing w:after="0" w:line="273" w:lineRule="auto"/>
        <w:rPr>
          <w:sz w:val="20"/>
          <w:szCs w:val="20"/>
          <w:color w:val="auto"/>
        </w:rPr>
      </w:pPr>
      <w:r>
        <w:rPr>
          <w:rFonts w:ascii="Arial" w:cs="Arial" w:eastAsia="Arial" w:hAnsi="Arial"/>
          <w:sz w:val="17"/>
          <w:szCs w:val="17"/>
          <w:color w:val="auto"/>
        </w:rPr>
        <w:t>As of June 30, 2017, options to purchase 2,276,897 of our common shares with a weighted-average exercise price of $7.66 per common share were outstanding. The exercise of any of these options would result in dilution to current shareholders. Further, because we will need to raise additional capital to fund our clinical development programs, we may in the future sell substantial amounts of common shares or securities convertible into or exchangeable for common shares. Pursuant to our equity incentive plans, our compensation committee (or a subset or delegate thereof) is authorized to grant equity-based incentive awards to our employees, directors and consultants. Future option grants and issuances of common shares under our share-based compensation plans may have an adverse effect on the market price of our common shares.</w:t>
      </w: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63" w:right="239" w:bottom="1440" w:gutter="0" w:footer="0" w:header="0"/>
        </w:sectPr>
      </w:pPr>
    </w:p>
    <w:bookmarkStart w:id="55" w:name="page56"/>
    <w:bookmarkEnd w:id="55"/>
    <w:p>
      <w:pPr>
        <w:ind w:right="100" w:firstLine="518"/>
        <w:spacing w:after="0" w:line="264" w:lineRule="auto"/>
        <w:rPr>
          <w:sz w:val="20"/>
          <w:szCs w:val="20"/>
          <w:color w:val="auto"/>
        </w:rPr>
      </w:pPr>
      <w:r>
        <w:rPr>
          <w:rFonts w:ascii="Arial" w:cs="Arial" w:eastAsia="Arial" w:hAnsi="Arial"/>
          <w:sz w:val="18"/>
          <w:szCs w:val="18"/>
          <w:color w:val="auto"/>
        </w:rPr>
        <w:t>These future issuances of common shares or common share-related securities, together with the exercise of outstanding options and any additional common shares issued in connection with acquisitions, if any, may result in further dilution to our existing shareholders, and new investors could gain rights, preferences and privileges senior to those of holders of our common shares.</w:t>
      </w:r>
    </w:p>
    <w:p>
      <w:pPr>
        <w:spacing w:after="0" w:line="28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We are at risk of securities class action litigation.</w:t>
      </w:r>
    </w:p>
    <w:p>
      <w:pPr>
        <w:spacing w:after="0" w:line="117" w:lineRule="exact"/>
        <w:rPr>
          <w:sz w:val="20"/>
          <w:szCs w:val="20"/>
          <w:color w:val="auto"/>
        </w:rPr>
      </w:pPr>
    </w:p>
    <w:p>
      <w:pPr>
        <w:ind w:right="20" w:firstLine="518"/>
        <w:spacing w:after="0" w:line="286" w:lineRule="auto"/>
        <w:rPr>
          <w:sz w:val="20"/>
          <w:szCs w:val="20"/>
          <w:color w:val="auto"/>
        </w:rPr>
      </w:pPr>
      <w:r>
        <w:rPr>
          <w:rFonts w:ascii="Arial" w:cs="Arial" w:eastAsia="Arial" w:hAnsi="Arial"/>
          <w:sz w:val="17"/>
          <w:szCs w:val="17"/>
          <w:color w:val="auto"/>
        </w:rPr>
        <w:t>In the past, securities class action litigation has often been brought against a company following a decline in the market price of its securities. This risk is especially relevant for us because biotechnology companies have experienced significant stock price volatility in recent years. If we face such litigation, it could result in substantial costs and a diversion of management’s attention and resources, which could harm our business.</w:t>
      </w:r>
    </w:p>
    <w:p>
      <w:pPr>
        <w:spacing w:after="0" w:line="274" w:lineRule="exact"/>
        <w:rPr>
          <w:sz w:val="20"/>
          <w:szCs w:val="20"/>
          <w:color w:val="auto"/>
        </w:rPr>
      </w:pPr>
    </w:p>
    <w:p>
      <w:pPr>
        <w:ind w:right="420" w:firstLine="259"/>
        <w:spacing w:after="0" w:line="277" w:lineRule="auto"/>
        <w:rPr>
          <w:sz w:val="20"/>
          <w:szCs w:val="20"/>
          <w:color w:val="auto"/>
        </w:rPr>
      </w:pPr>
      <w:r>
        <w:rPr>
          <w:rFonts w:ascii="Arial" w:cs="Arial" w:eastAsia="Arial" w:hAnsi="Arial"/>
          <w:sz w:val="18"/>
          <w:szCs w:val="18"/>
          <w:b w:val="1"/>
          <w:bCs w:val="1"/>
          <w:i w:val="1"/>
          <w:iCs w:val="1"/>
          <w:color w:val="auto"/>
        </w:rPr>
        <w:t>NASDAQ may delist our securities from its exchange, which could limit investors’ ability to make transactions in our securities and subject us to additional trading restrictions.</w:t>
      </w:r>
    </w:p>
    <w:p>
      <w:pPr>
        <w:spacing w:after="0" w:line="62" w:lineRule="exact"/>
        <w:rPr>
          <w:sz w:val="20"/>
          <w:szCs w:val="20"/>
          <w:color w:val="auto"/>
        </w:rPr>
      </w:pPr>
    </w:p>
    <w:p>
      <w:pPr>
        <w:ind w:right="180" w:firstLine="518"/>
        <w:spacing w:after="0" w:line="264" w:lineRule="auto"/>
        <w:rPr>
          <w:sz w:val="20"/>
          <w:szCs w:val="20"/>
          <w:color w:val="auto"/>
        </w:rPr>
      </w:pPr>
      <w:r>
        <w:rPr>
          <w:rFonts w:ascii="Arial" w:cs="Arial" w:eastAsia="Arial" w:hAnsi="Arial"/>
          <w:sz w:val="18"/>
          <w:szCs w:val="18"/>
          <w:color w:val="auto"/>
        </w:rPr>
        <w:t>Our common shares are listed on NASDAQ under the trading symbol “XENE.” Our securities may fail to meet the continued listing requirements to be listed on NASDAQ. If NASDAQ delists our common shares from trading on its exchange, we could face significant material adverse consequences, including:</w:t>
      </w:r>
    </w:p>
    <w:p>
      <w:pPr>
        <w:spacing w:after="0" w:line="73" w:lineRule="exact"/>
        <w:rPr>
          <w:sz w:val="20"/>
          <w:szCs w:val="20"/>
          <w:color w:val="auto"/>
        </w:rPr>
      </w:pPr>
    </w:p>
    <w:p>
      <w:pPr>
        <w:ind w:left="1040" w:hanging="519"/>
        <w:spacing w:after="0"/>
        <w:tabs>
          <w:tab w:leader="none" w:pos="1040" w:val="left"/>
        </w:tabs>
        <w:numPr>
          <w:ilvl w:val="0"/>
          <w:numId w:val="46"/>
        </w:numPr>
        <w:rPr>
          <w:rFonts w:ascii="Arial" w:cs="Arial" w:eastAsia="Arial" w:hAnsi="Arial"/>
          <w:sz w:val="17"/>
          <w:szCs w:val="17"/>
          <w:color w:val="auto"/>
        </w:rPr>
      </w:pPr>
      <w:r>
        <w:rPr>
          <w:rFonts w:ascii="Arial" w:cs="Arial" w:eastAsia="Arial" w:hAnsi="Arial"/>
          <w:sz w:val="17"/>
          <w:szCs w:val="17"/>
          <w:color w:val="auto"/>
        </w:rPr>
        <w:t>significant impairment of the liquidity for our common shares, which may substantially decrease the market price of our common shares;</w:t>
      </w:r>
    </w:p>
    <w:p>
      <w:pPr>
        <w:spacing w:after="0" w:line="128" w:lineRule="exact"/>
        <w:rPr>
          <w:rFonts w:ascii="Arial" w:cs="Arial" w:eastAsia="Arial" w:hAnsi="Arial"/>
          <w:sz w:val="17"/>
          <w:szCs w:val="17"/>
          <w:color w:val="auto"/>
        </w:rPr>
      </w:pPr>
    </w:p>
    <w:p>
      <w:pPr>
        <w:ind w:left="1040" w:hanging="519"/>
        <w:spacing w:after="0"/>
        <w:tabs>
          <w:tab w:leader="none" w:pos="10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 limited availability of market quotations for our securities;</w:t>
      </w:r>
    </w:p>
    <w:p>
      <w:pPr>
        <w:spacing w:after="0" w:line="117" w:lineRule="exact"/>
        <w:rPr>
          <w:rFonts w:ascii="Arial" w:cs="Arial" w:eastAsia="Arial" w:hAnsi="Arial"/>
          <w:sz w:val="18"/>
          <w:szCs w:val="18"/>
          <w:color w:val="auto"/>
        </w:rPr>
      </w:pPr>
    </w:p>
    <w:p>
      <w:pPr>
        <w:ind w:left="1040" w:right="80" w:hanging="519"/>
        <w:spacing w:after="0" w:line="308" w:lineRule="auto"/>
        <w:tabs>
          <w:tab w:leader="none" w:pos="1040" w:val="left"/>
        </w:tabs>
        <w:numPr>
          <w:ilvl w:val="0"/>
          <w:numId w:val="46"/>
        </w:numPr>
        <w:rPr>
          <w:rFonts w:ascii="Arial" w:cs="Arial" w:eastAsia="Arial" w:hAnsi="Arial"/>
          <w:sz w:val="17"/>
          <w:szCs w:val="17"/>
          <w:color w:val="auto"/>
        </w:rPr>
      </w:pPr>
      <w:r>
        <w:rPr>
          <w:rFonts w:ascii="Arial" w:cs="Arial" w:eastAsia="Arial" w:hAnsi="Arial"/>
          <w:sz w:val="17"/>
          <w:szCs w:val="17"/>
          <w:color w:val="auto"/>
        </w:rPr>
        <w:t>a determination that our common shares qualify as a “penny stock” which will require brokers trading in our common shares to adhere to more stringent rules and possibly resulting in a reduced level of trading activity in the secondary trading market for our common shares;</w:t>
      </w:r>
    </w:p>
    <w:p>
      <w:pPr>
        <w:spacing w:after="0" w:line="38" w:lineRule="exact"/>
        <w:rPr>
          <w:rFonts w:ascii="Arial" w:cs="Arial" w:eastAsia="Arial" w:hAnsi="Arial"/>
          <w:sz w:val="17"/>
          <w:szCs w:val="17"/>
          <w:color w:val="auto"/>
        </w:rPr>
      </w:pPr>
    </w:p>
    <w:p>
      <w:pPr>
        <w:ind w:left="1040" w:hanging="519"/>
        <w:spacing w:after="0"/>
        <w:tabs>
          <w:tab w:leader="none" w:pos="10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 limited amount of news and analyst coverage for our company;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 decreased ability to issue additional securities or obtain additional financing in the future.</w:t>
      </w:r>
    </w:p>
    <w:p>
      <w:pPr>
        <w:spacing w:after="0" w:line="333" w:lineRule="exact"/>
        <w:rPr>
          <w:sz w:val="20"/>
          <w:szCs w:val="20"/>
          <w:color w:val="auto"/>
        </w:rPr>
      </w:pPr>
    </w:p>
    <w:p>
      <w:pPr>
        <w:ind w:firstLine="259"/>
        <w:spacing w:after="0" w:line="277" w:lineRule="auto"/>
        <w:rPr>
          <w:sz w:val="20"/>
          <w:szCs w:val="20"/>
          <w:color w:val="auto"/>
        </w:rPr>
      </w:pPr>
      <w:r>
        <w:rPr>
          <w:rFonts w:ascii="Arial" w:cs="Arial" w:eastAsia="Arial" w:hAnsi="Arial"/>
          <w:sz w:val="18"/>
          <w:szCs w:val="18"/>
          <w:b w:val="1"/>
          <w:bCs w:val="1"/>
          <w:i w:val="1"/>
          <w:iCs w:val="1"/>
          <w:color w:val="auto"/>
        </w:rPr>
        <w:t>If securities or industry analysts do not publish research reports about our business, or if they issue an adverse opinion about our business, the market price of our common shares and the trading volume of our common shares could decline.</w:t>
      </w:r>
    </w:p>
    <w:p>
      <w:pPr>
        <w:spacing w:after="0" w:line="62" w:lineRule="exact"/>
        <w:rPr>
          <w:sz w:val="20"/>
          <w:szCs w:val="20"/>
          <w:color w:val="auto"/>
        </w:rPr>
      </w:pPr>
    </w:p>
    <w:p>
      <w:pPr>
        <w:ind w:right="160" w:firstLine="518"/>
        <w:spacing w:after="0" w:line="255" w:lineRule="auto"/>
        <w:rPr>
          <w:sz w:val="20"/>
          <w:szCs w:val="20"/>
          <w:color w:val="auto"/>
        </w:rPr>
      </w:pPr>
      <w:r>
        <w:rPr>
          <w:rFonts w:ascii="Arial" w:cs="Arial" w:eastAsia="Arial" w:hAnsi="Arial"/>
          <w:sz w:val="18"/>
          <w:szCs w:val="18"/>
          <w:color w:val="auto"/>
        </w:rPr>
        <w:t>The trading market for our common shares is influenced by the research and reports that securities or industry analysts publish about us or our business. If too few securities or industry analysts cover our company, the market price of our common shares would likely be negatively impacted. If securities and industry analysts who cover us downgrade our common shares or publish inaccurate or unfavorable research about our business, the market price of our common shares would likely decline. If one or more of these analysts cease coverage of our company or fail to publish reports on us regularly, demand for our common shares could decrease, which might cause the market price of our common shares and the trading volume of our common shares to decline.</w:t>
      </w:r>
    </w:p>
    <w:p>
      <w:pPr>
        <w:spacing w:after="0" w:line="301" w:lineRule="exact"/>
        <w:rPr>
          <w:sz w:val="20"/>
          <w:szCs w:val="20"/>
          <w:color w:val="auto"/>
        </w:rPr>
      </w:pPr>
    </w:p>
    <w:p>
      <w:pPr>
        <w:ind w:right="380" w:firstLine="259"/>
        <w:spacing w:after="0" w:line="375" w:lineRule="auto"/>
        <w:rPr>
          <w:sz w:val="20"/>
          <w:szCs w:val="20"/>
          <w:color w:val="auto"/>
        </w:rPr>
      </w:pPr>
      <w:r>
        <w:rPr>
          <w:rFonts w:ascii="Arial" w:cs="Arial" w:eastAsia="Arial" w:hAnsi="Arial"/>
          <w:sz w:val="15"/>
          <w:szCs w:val="15"/>
          <w:b w:val="1"/>
          <w:bCs w:val="1"/>
          <w:i w:val="1"/>
          <w:iCs w:val="1"/>
          <w:color w:val="auto"/>
        </w:rPr>
        <w:t>Our management team has broad discretion as to the use of the net proceeds from our September 2016 public offering of common shares and the investment of these proceeds may not yield a favorable return. We may invest the proceeds in ways with which our shareholders disagree.</w:t>
      </w:r>
    </w:p>
    <w:p>
      <w:pPr>
        <w:spacing w:after="0" w:line="1" w:lineRule="exact"/>
        <w:rPr>
          <w:sz w:val="20"/>
          <w:szCs w:val="20"/>
          <w:color w:val="auto"/>
        </w:rPr>
      </w:pPr>
    </w:p>
    <w:p>
      <w:pPr>
        <w:ind w:right="20" w:firstLine="518"/>
        <w:spacing w:after="0" w:line="293" w:lineRule="auto"/>
        <w:rPr>
          <w:sz w:val="20"/>
          <w:szCs w:val="20"/>
          <w:color w:val="auto"/>
        </w:rPr>
      </w:pPr>
      <w:r>
        <w:rPr>
          <w:rFonts w:ascii="Arial" w:cs="Arial" w:eastAsia="Arial" w:hAnsi="Arial"/>
          <w:sz w:val="16"/>
          <w:szCs w:val="16"/>
          <w:color w:val="auto"/>
        </w:rPr>
        <w:t>We have broad discretion in the application of the net proceeds to us from our September 2016 public offering of common shares. You may not agree with our decisions, and our use of the proceeds and our existing cash and cash equivalents and marketable securities may not improve our results of operation or enhance the value of our common shares. The results and effectiveness of the use of proceeds are uncertain, and we could spend the proceeds in ways that you do not agree with or that do not improve our results of operations or enhance the value of our common shares. Our failure to apply these funds effectively could have a material adverse effect on our business, delay the development of our product candidates and cause the market price of our common shares to decline. In addition, until the net proceeds are used, they may be placed in investments that do not produce significant income or that may lose value.</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55" w:right="259" w:bottom="1440" w:gutter="0" w:footer="0" w:header="0"/>
        </w:sectPr>
      </w:pPr>
    </w:p>
    <w:bookmarkStart w:id="56" w:name="page57"/>
    <w:bookmarkEnd w:id="56"/>
    <w:p>
      <w:pPr>
        <w:ind w:left="260"/>
        <w:spacing w:after="0"/>
        <w:rPr>
          <w:sz w:val="20"/>
          <w:szCs w:val="20"/>
          <w:color w:val="auto"/>
        </w:rPr>
      </w:pPr>
      <w:r>
        <w:rPr>
          <w:rFonts w:ascii="Arial" w:cs="Arial" w:eastAsia="Arial" w:hAnsi="Arial"/>
          <w:sz w:val="18"/>
          <w:szCs w:val="18"/>
          <w:b w:val="1"/>
          <w:bCs w:val="1"/>
          <w:i w:val="1"/>
          <w:iCs w:val="1"/>
          <w:color w:val="auto"/>
        </w:rPr>
        <w:t>We do not anticipate paying any cash dividends on our common shares in the foreseeable future.</w:t>
      </w:r>
    </w:p>
    <w:p>
      <w:pPr>
        <w:spacing w:after="0" w:line="117" w:lineRule="exact"/>
        <w:rPr>
          <w:sz w:val="20"/>
          <w:szCs w:val="20"/>
          <w:color w:val="auto"/>
        </w:rPr>
      </w:pPr>
    </w:p>
    <w:p>
      <w:pPr>
        <w:jc w:val="both"/>
        <w:ind w:firstLine="518"/>
        <w:spacing w:after="0" w:line="312" w:lineRule="auto"/>
        <w:rPr>
          <w:sz w:val="20"/>
          <w:szCs w:val="20"/>
          <w:color w:val="auto"/>
        </w:rPr>
      </w:pPr>
      <w:r>
        <w:rPr>
          <w:rFonts w:ascii="Arial" w:cs="Arial" w:eastAsia="Arial" w:hAnsi="Arial"/>
          <w:sz w:val="16"/>
          <w:szCs w:val="16"/>
          <w:color w:val="auto"/>
        </w:rPr>
        <w:t>We do not currently intend to pay any cash dividends on our common shares in the foreseeable future. We currently intend to retain all of our future earnings, if any, to finance the growth and development of our business. In addition, the terms of any future debt agreements may preclude us from paying dividends. As a result, capital appreciation, if any, of our common shares may be investors’ sole source of gain for the foreseeable future.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160"/>
          </w:cols>
          <w:pgMar w:left="240" w:top="463" w:right="499" w:bottom="1440" w:gutter="0" w:footer="0" w:header="0"/>
        </w:sectPr>
      </w:pPr>
    </w:p>
    <w:bookmarkStart w:id="57" w:name="page58"/>
    <w:bookmarkEnd w:id="57"/>
    <w:p>
      <w:pPr>
        <w:spacing w:after="0"/>
        <w:rPr>
          <w:sz w:val="20"/>
          <w:szCs w:val="20"/>
          <w:color w:val="auto"/>
        </w:rPr>
      </w:pPr>
      <w:r>
        <w:rPr>
          <w:rFonts w:ascii="Arial" w:cs="Arial" w:eastAsia="Arial" w:hAnsi="Arial"/>
          <w:sz w:val="18"/>
          <w:szCs w:val="18"/>
          <w:b w:val="1"/>
          <w:bCs w:val="1"/>
          <w:color w:val="auto"/>
        </w:rPr>
        <w:t>Item 6. Exhibits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 Exhibits.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40" w:type="dxa"/>
            <w:vAlign w:val="bottom"/>
            <w:gridSpan w:val="2"/>
          </w:tcPr>
          <w:p>
            <w:pPr>
              <w:ind w:left="240"/>
              <w:spacing w:after="0"/>
              <w:rPr>
                <w:sz w:val="20"/>
                <w:szCs w:val="20"/>
                <w:color w:val="auto"/>
              </w:rPr>
            </w:pPr>
            <w:r>
              <w:rPr>
                <w:rFonts w:ascii="Arial" w:cs="Arial" w:eastAsia="Arial" w:hAnsi="Arial"/>
                <w:sz w:val="14"/>
                <w:szCs w:val="14"/>
                <w:b w:val="1"/>
                <w:bCs w:val="1"/>
                <w:color w:val="auto"/>
              </w:rPr>
              <w:t>Exhibit</w:t>
            </w:r>
          </w:p>
        </w:tc>
        <w:tc>
          <w:tcPr>
            <w:tcW w:w="10380" w:type="dxa"/>
            <w:vAlign w:val="bottom"/>
            <w:vMerge w:val="restart"/>
          </w:tcPr>
          <w:p>
            <w:pPr>
              <w:ind w:left="440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71"/>
        </w:trPr>
        <w:tc>
          <w:tcPr>
            <w:tcW w:w="920" w:type="dxa"/>
            <w:vAlign w:val="bottom"/>
            <w:tcBorders>
              <w:bottom w:val="single" w:sz="8" w:color="auto"/>
            </w:tcBorders>
          </w:tcPr>
          <w:p>
            <w:pPr>
              <w:ind w:left="220"/>
              <w:spacing w:after="0"/>
              <w:rPr>
                <w:sz w:val="20"/>
                <w:szCs w:val="20"/>
                <w:color w:val="auto"/>
              </w:rPr>
            </w:pPr>
            <w:r>
              <w:rPr>
                <w:rFonts w:ascii="Arial" w:cs="Arial" w:eastAsia="Arial" w:hAnsi="Arial"/>
                <w:sz w:val="14"/>
                <w:szCs w:val="14"/>
                <w:b w:val="1"/>
                <w:bCs w:val="1"/>
                <w:color w:val="auto"/>
              </w:rPr>
              <w:t>Number</w:t>
            </w:r>
          </w:p>
        </w:tc>
        <w:tc>
          <w:tcPr>
            <w:tcW w:w="120" w:type="dxa"/>
            <w:vAlign w:val="bottom"/>
          </w:tcPr>
          <w:p>
            <w:pPr>
              <w:spacing w:after="0"/>
              <w:rPr>
                <w:sz w:val="14"/>
                <w:szCs w:val="14"/>
                <w:color w:val="auto"/>
              </w:rPr>
            </w:pPr>
          </w:p>
        </w:tc>
        <w:tc>
          <w:tcPr>
            <w:tcW w:w="1038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560"/>
        </w:trPr>
        <w:tc>
          <w:tcPr>
            <w:tcW w:w="1040" w:type="dxa"/>
            <w:vAlign w:val="bottom"/>
            <w:gridSpan w:val="2"/>
          </w:tcPr>
          <w:p>
            <w:pPr>
              <w:spacing w:after="0"/>
              <w:rPr>
                <w:sz w:val="20"/>
                <w:szCs w:val="20"/>
                <w:color w:val="auto"/>
              </w:rPr>
            </w:pPr>
            <w:r>
              <w:rPr>
                <w:rFonts w:ascii="Arial" w:cs="Arial" w:eastAsia="Arial" w:hAnsi="Arial"/>
                <w:sz w:val="18"/>
                <w:szCs w:val="18"/>
                <w:color w:val="auto"/>
              </w:rPr>
              <w:t>10.1†</w:t>
            </w:r>
          </w:p>
        </w:tc>
        <w:tc>
          <w:tcPr>
            <w:tcW w:w="10380" w:type="dxa"/>
            <w:vAlign w:val="bottom"/>
          </w:tcPr>
          <w:p>
            <w:pPr>
              <w:spacing w:after="0"/>
              <w:rPr>
                <w:sz w:val="20"/>
                <w:szCs w:val="20"/>
                <w:color w:val="auto"/>
              </w:rPr>
            </w:pPr>
            <w:r>
              <w:rPr>
                <w:rFonts w:ascii="Arial" w:cs="Arial" w:eastAsia="Arial" w:hAnsi="Arial"/>
                <w:sz w:val="18"/>
                <w:szCs w:val="18"/>
                <w:color w:val="auto"/>
                <w:w w:val="92"/>
              </w:rPr>
              <w:t>Letter Agreement, dated May 8, 2017, to Amendment #4, dated May 13, 2015, to the Collaborative Research and License Agreement, dated</w:t>
            </w:r>
          </w:p>
        </w:tc>
        <w:tc>
          <w:tcPr>
            <w:tcW w:w="0" w:type="dxa"/>
            <w:vAlign w:val="bottom"/>
          </w:tcPr>
          <w:p>
            <w:pPr>
              <w:spacing w:after="0"/>
              <w:rPr>
                <w:sz w:val="1"/>
                <w:szCs w:val="1"/>
                <w:color w:val="auto"/>
              </w:rPr>
            </w:pPr>
          </w:p>
        </w:tc>
      </w:tr>
      <w:tr>
        <w:trPr>
          <w:trHeight w:val="230"/>
        </w:trPr>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380" w:type="dxa"/>
            <w:vAlign w:val="bottom"/>
          </w:tcPr>
          <w:p>
            <w:pPr>
              <w:spacing w:after="0"/>
              <w:rPr>
                <w:sz w:val="20"/>
                <w:szCs w:val="20"/>
                <w:color w:val="auto"/>
              </w:rPr>
            </w:pPr>
            <w:r>
              <w:rPr>
                <w:rFonts w:ascii="Arial" w:cs="Arial" w:eastAsia="Arial" w:hAnsi="Arial"/>
                <w:sz w:val="18"/>
                <w:szCs w:val="18"/>
                <w:color w:val="auto"/>
              </w:rPr>
              <w:t>December 22, 2011, by and among the Company, Genentech, Inc. and F. Hoffman-La Roche Ltd, as amended.</w:t>
            </w:r>
          </w:p>
        </w:tc>
        <w:tc>
          <w:tcPr>
            <w:tcW w:w="0" w:type="dxa"/>
            <w:vAlign w:val="bottom"/>
          </w:tcPr>
          <w:p>
            <w:pPr>
              <w:spacing w:after="0"/>
              <w:rPr>
                <w:sz w:val="1"/>
                <w:szCs w:val="1"/>
                <w:color w:val="auto"/>
              </w:rPr>
            </w:pPr>
          </w:p>
        </w:tc>
      </w:tr>
      <w:tr>
        <w:trPr>
          <w:trHeight w:val="338"/>
        </w:trPr>
        <w:tc>
          <w:tcPr>
            <w:tcW w:w="1040" w:type="dxa"/>
            <w:vAlign w:val="bottom"/>
            <w:gridSpan w:val="2"/>
          </w:tcPr>
          <w:p>
            <w:pPr>
              <w:spacing w:after="0"/>
              <w:rPr>
                <w:sz w:val="20"/>
                <w:szCs w:val="20"/>
                <w:color w:val="auto"/>
              </w:rPr>
            </w:pPr>
            <w:r>
              <w:rPr>
                <w:rFonts w:ascii="Arial" w:cs="Arial" w:eastAsia="Arial" w:hAnsi="Arial"/>
                <w:sz w:val="18"/>
                <w:szCs w:val="18"/>
                <w:color w:val="auto"/>
              </w:rPr>
              <w:t>10.2†</w:t>
            </w:r>
          </w:p>
        </w:tc>
        <w:tc>
          <w:tcPr>
            <w:tcW w:w="10380" w:type="dxa"/>
            <w:vAlign w:val="bottom"/>
          </w:tcPr>
          <w:p>
            <w:pPr>
              <w:spacing w:after="0"/>
              <w:rPr>
                <w:sz w:val="20"/>
                <w:szCs w:val="20"/>
                <w:color w:val="auto"/>
              </w:rPr>
            </w:pPr>
            <w:r>
              <w:rPr>
                <w:rFonts w:ascii="Arial" w:cs="Arial" w:eastAsia="Arial" w:hAnsi="Arial"/>
                <w:sz w:val="18"/>
                <w:szCs w:val="18"/>
                <w:color w:val="auto"/>
              </w:rPr>
              <w:t>Asset Purchase Agreement, dated April 25, 2017, by and between the Company and 1st Order Pharmaceuticals, Inc.</w:t>
            </w:r>
          </w:p>
        </w:tc>
        <w:tc>
          <w:tcPr>
            <w:tcW w:w="0" w:type="dxa"/>
            <w:vAlign w:val="bottom"/>
          </w:tcPr>
          <w:p>
            <w:pPr>
              <w:spacing w:after="0"/>
              <w:rPr>
                <w:sz w:val="1"/>
                <w:szCs w:val="1"/>
                <w:color w:val="auto"/>
              </w:rPr>
            </w:pPr>
          </w:p>
        </w:tc>
      </w:tr>
      <w:tr>
        <w:trPr>
          <w:trHeight w:val="338"/>
        </w:trPr>
        <w:tc>
          <w:tcPr>
            <w:tcW w:w="920" w:type="dxa"/>
            <w:vAlign w:val="bottom"/>
          </w:tcPr>
          <w:p>
            <w:pPr>
              <w:spacing w:after="0"/>
              <w:rPr>
                <w:sz w:val="20"/>
                <w:szCs w:val="20"/>
                <w:color w:val="auto"/>
              </w:rPr>
            </w:pPr>
            <w:r>
              <w:rPr>
                <w:rFonts w:ascii="Arial" w:cs="Arial" w:eastAsia="Arial" w:hAnsi="Arial"/>
                <w:sz w:val="18"/>
                <w:szCs w:val="18"/>
                <w:color w:val="auto"/>
              </w:rPr>
              <w:t>31.1</w:t>
            </w:r>
          </w:p>
        </w:tc>
        <w:tc>
          <w:tcPr>
            <w:tcW w:w="120" w:type="dxa"/>
            <w:vAlign w:val="bottom"/>
          </w:tcPr>
          <w:p>
            <w:pPr>
              <w:spacing w:after="0"/>
              <w:rPr>
                <w:sz w:val="24"/>
                <w:szCs w:val="24"/>
                <w:color w:val="auto"/>
              </w:rPr>
            </w:pPr>
          </w:p>
        </w:tc>
        <w:tc>
          <w:tcPr>
            <w:tcW w:w="10380" w:type="dxa"/>
            <w:vAlign w:val="bottom"/>
          </w:tcPr>
          <w:p>
            <w:pPr>
              <w:spacing w:after="0"/>
              <w:rPr>
                <w:sz w:val="20"/>
                <w:szCs w:val="20"/>
                <w:color w:val="auto"/>
              </w:rPr>
            </w:pPr>
            <w:r>
              <w:rPr>
                <w:rFonts w:ascii="Arial" w:cs="Arial" w:eastAsia="Arial" w:hAnsi="Arial"/>
                <w:sz w:val="18"/>
                <w:szCs w:val="18"/>
                <w:color w:val="auto"/>
              </w:rPr>
              <w:t>Certification of Chief Executive Officer pursuant to Rule 13a-14(a).</w:t>
            </w:r>
          </w:p>
        </w:tc>
        <w:tc>
          <w:tcPr>
            <w:tcW w:w="0" w:type="dxa"/>
            <w:vAlign w:val="bottom"/>
          </w:tcPr>
          <w:p>
            <w:pPr>
              <w:spacing w:after="0"/>
              <w:rPr>
                <w:sz w:val="1"/>
                <w:szCs w:val="1"/>
                <w:color w:val="auto"/>
              </w:rPr>
            </w:pPr>
          </w:p>
        </w:tc>
      </w:tr>
      <w:tr>
        <w:trPr>
          <w:trHeight w:val="338"/>
        </w:trPr>
        <w:tc>
          <w:tcPr>
            <w:tcW w:w="920" w:type="dxa"/>
            <w:vAlign w:val="bottom"/>
          </w:tcPr>
          <w:p>
            <w:pPr>
              <w:spacing w:after="0"/>
              <w:rPr>
                <w:sz w:val="20"/>
                <w:szCs w:val="20"/>
                <w:color w:val="auto"/>
              </w:rPr>
            </w:pPr>
            <w:r>
              <w:rPr>
                <w:rFonts w:ascii="Arial" w:cs="Arial" w:eastAsia="Arial" w:hAnsi="Arial"/>
                <w:sz w:val="18"/>
                <w:szCs w:val="18"/>
                <w:color w:val="auto"/>
              </w:rPr>
              <w:t>31.2</w:t>
            </w:r>
          </w:p>
        </w:tc>
        <w:tc>
          <w:tcPr>
            <w:tcW w:w="120" w:type="dxa"/>
            <w:vAlign w:val="bottom"/>
          </w:tcPr>
          <w:p>
            <w:pPr>
              <w:spacing w:after="0"/>
              <w:rPr>
                <w:sz w:val="24"/>
                <w:szCs w:val="24"/>
                <w:color w:val="auto"/>
              </w:rPr>
            </w:pPr>
          </w:p>
        </w:tc>
        <w:tc>
          <w:tcPr>
            <w:tcW w:w="10380" w:type="dxa"/>
            <w:vAlign w:val="bottom"/>
          </w:tcPr>
          <w:p>
            <w:pPr>
              <w:spacing w:after="0"/>
              <w:rPr>
                <w:sz w:val="20"/>
                <w:szCs w:val="20"/>
                <w:color w:val="auto"/>
              </w:rPr>
            </w:pPr>
            <w:r>
              <w:rPr>
                <w:rFonts w:ascii="Arial" w:cs="Arial" w:eastAsia="Arial" w:hAnsi="Arial"/>
                <w:sz w:val="18"/>
                <w:szCs w:val="18"/>
                <w:color w:val="auto"/>
              </w:rPr>
              <w:t>Certification of Chief Financial Officer pursuant to Rule 13a-14(a).</w:t>
            </w:r>
          </w:p>
        </w:tc>
        <w:tc>
          <w:tcPr>
            <w:tcW w:w="0" w:type="dxa"/>
            <w:vAlign w:val="bottom"/>
          </w:tcPr>
          <w:p>
            <w:pPr>
              <w:spacing w:after="0"/>
              <w:rPr>
                <w:sz w:val="1"/>
                <w:szCs w:val="1"/>
                <w:color w:val="auto"/>
              </w:rPr>
            </w:pPr>
          </w:p>
        </w:tc>
      </w:tr>
      <w:tr>
        <w:trPr>
          <w:trHeight w:val="338"/>
        </w:trPr>
        <w:tc>
          <w:tcPr>
            <w:tcW w:w="920" w:type="dxa"/>
            <w:vAlign w:val="bottom"/>
          </w:tcPr>
          <w:p>
            <w:pPr>
              <w:spacing w:after="0"/>
              <w:rPr>
                <w:sz w:val="20"/>
                <w:szCs w:val="20"/>
                <w:color w:val="auto"/>
              </w:rPr>
            </w:pPr>
            <w:r>
              <w:rPr>
                <w:rFonts w:ascii="Arial" w:cs="Arial" w:eastAsia="Arial" w:hAnsi="Arial"/>
                <w:sz w:val="18"/>
                <w:szCs w:val="18"/>
                <w:color w:val="auto"/>
              </w:rPr>
              <w:t>32.1*</w:t>
            </w:r>
          </w:p>
        </w:tc>
        <w:tc>
          <w:tcPr>
            <w:tcW w:w="120" w:type="dxa"/>
            <w:vAlign w:val="bottom"/>
          </w:tcPr>
          <w:p>
            <w:pPr>
              <w:spacing w:after="0"/>
              <w:rPr>
                <w:sz w:val="24"/>
                <w:szCs w:val="24"/>
                <w:color w:val="auto"/>
              </w:rPr>
            </w:pPr>
          </w:p>
        </w:tc>
        <w:tc>
          <w:tcPr>
            <w:tcW w:w="10380" w:type="dxa"/>
            <w:vAlign w:val="bottom"/>
          </w:tcPr>
          <w:p>
            <w:pPr>
              <w:spacing w:after="0"/>
              <w:rPr>
                <w:sz w:val="20"/>
                <w:szCs w:val="20"/>
                <w:color w:val="auto"/>
              </w:rPr>
            </w:pPr>
            <w:r>
              <w:rPr>
                <w:rFonts w:ascii="Arial" w:cs="Arial" w:eastAsia="Arial" w:hAnsi="Arial"/>
                <w:sz w:val="18"/>
                <w:szCs w:val="18"/>
                <w:color w:val="auto"/>
              </w:rPr>
              <w:t>Certification of Chief Executive Officer pursuant to 18 U.S.C Section 1350.</w:t>
            </w:r>
          </w:p>
        </w:tc>
        <w:tc>
          <w:tcPr>
            <w:tcW w:w="0" w:type="dxa"/>
            <w:vAlign w:val="bottom"/>
          </w:tcPr>
          <w:p>
            <w:pPr>
              <w:spacing w:after="0"/>
              <w:rPr>
                <w:sz w:val="1"/>
                <w:szCs w:val="1"/>
                <w:color w:val="auto"/>
              </w:rPr>
            </w:pPr>
          </w:p>
        </w:tc>
      </w:tr>
      <w:tr>
        <w:trPr>
          <w:trHeight w:val="338"/>
        </w:trPr>
        <w:tc>
          <w:tcPr>
            <w:tcW w:w="920" w:type="dxa"/>
            <w:vAlign w:val="bottom"/>
          </w:tcPr>
          <w:p>
            <w:pPr>
              <w:spacing w:after="0"/>
              <w:rPr>
                <w:sz w:val="20"/>
                <w:szCs w:val="20"/>
                <w:color w:val="auto"/>
              </w:rPr>
            </w:pPr>
            <w:r>
              <w:rPr>
                <w:rFonts w:ascii="Arial" w:cs="Arial" w:eastAsia="Arial" w:hAnsi="Arial"/>
                <w:sz w:val="18"/>
                <w:szCs w:val="18"/>
                <w:color w:val="auto"/>
              </w:rPr>
              <w:t>32.2*</w:t>
            </w:r>
          </w:p>
        </w:tc>
        <w:tc>
          <w:tcPr>
            <w:tcW w:w="120" w:type="dxa"/>
            <w:vAlign w:val="bottom"/>
          </w:tcPr>
          <w:p>
            <w:pPr>
              <w:spacing w:after="0"/>
              <w:rPr>
                <w:sz w:val="24"/>
                <w:szCs w:val="24"/>
                <w:color w:val="auto"/>
              </w:rPr>
            </w:pPr>
          </w:p>
        </w:tc>
        <w:tc>
          <w:tcPr>
            <w:tcW w:w="10380" w:type="dxa"/>
            <w:vAlign w:val="bottom"/>
          </w:tcPr>
          <w:p>
            <w:pPr>
              <w:spacing w:after="0"/>
              <w:rPr>
                <w:sz w:val="20"/>
                <w:szCs w:val="20"/>
                <w:color w:val="auto"/>
              </w:rPr>
            </w:pPr>
            <w:r>
              <w:rPr>
                <w:rFonts w:ascii="Arial" w:cs="Arial" w:eastAsia="Arial" w:hAnsi="Arial"/>
                <w:sz w:val="18"/>
                <w:szCs w:val="18"/>
                <w:color w:val="auto"/>
              </w:rPr>
              <w:t>Certification of Chief Financial Officer pursuant to 18 U.S.C Section 1350.</w:t>
            </w:r>
          </w:p>
        </w:tc>
        <w:tc>
          <w:tcPr>
            <w:tcW w:w="0" w:type="dxa"/>
            <w:vAlign w:val="bottom"/>
          </w:tcPr>
          <w:p>
            <w:pPr>
              <w:spacing w:after="0"/>
              <w:rPr>
                <w:sz w:val="1"/>
                <w:szCs w:val="1"/>
                <w:color w:val="auto"/>
              </w:rPr>
            </w:pPr>
          </w:p>
        </w:tc>
      </w:tr>
      <w:tr>
        <w:trPr>
          <w:trHeight w:val="338"/>
        </w:trPr>
        <w:tc>
          <w:tcPr>
            <w:tcW w:w="1040" w:type="dxa"/>
            <w:vAlign w:val="bottom"/>
            <w:gridSpan w:val="2"/>
          </w:tcPr>
          <w:p>
            <w:pPr>
              <w:spacing w:after="0"/>
              <w:rPr>
                <w:sz w:val="20"/>
                <w:szCs w:val="20"/>
                <w:color w:val="auto"/>
              </w:rPr>
            </w:pPr>
            <w:r>
              <w:rPr>
                <w:rFonts w:ascii="Arial" w:cs="Arial" w:eastAsia="Arial" w:hAnsi="Arial"/>
                <w:sz w:val="18"/>
                <w:szCs w:val="18"/>
                <w:color w:val="auto"/>
              </w:rPr>
              <w:t>101.INS</w:t>
            </w:r>
          </w:p>
        </w:tc>
        <w:tc>
          <w:tcPr>
            <w:tcW w:w="10380" w:type="dxa"/>
            <w:vAlign w:val="bottom"/>
          </w:tcPr>
          <w:p>
            <w:pPr>
              <w:spacing w:after="0"/>
              <w:rPr>
                <w:sz w:val="20"/>
                <w:szCs w:val="20"/>
                <w:color w:val="auto"/>
              </w:rPr>
            </w:pPr>
            <w:r>
              <w:rPr>
                <w:rFonts w:ascii="Arial" w:cs="Arial" w:eastAsia="Arial" w:hAnsi="Arial"/>
                <w:sz w:val="18"/>
                <w:szCs w:val="18"/>
                <w:color w:val="auto"/>
              </w:rPr>
              <w:t>XBRL Instance Document</w:t>
            </w:r>
          </w:p>
        </w:tc>
        <w:tc>
          <w:tcPr>
            <w:tcW w:w="0" w:type="dxa"/>
            <w:vAlign w:val="bottom"/>
          </w:tcPr>
          <w:p>
            <w:pPr>
              <w:spacing w:after="0"/>
              <w:rPr>
                <w:sz w:val="1"/>
                <w:szCs w:val="1"/>
                <w:color w:val="auto"/>
              </w:rPr>
            </w:pPr>
          </w:p>
        </w:tc>
      </w:tr>
      <w:tr>
        <w:trPr>
          <w:trHeight w:val="351"/>
        </w:trPr>
        <w:tc>
          <w:tcPr>
            <w:tcW w:w="1040" w:type="dxa"/>
            <w:vAlign w:val="bottom"/>
            <w:gridSpan w:val="2"/>
          </w:tcPr>
          <w:p>
            <w:pPr>
              <w:spacing w:after="0"/>
              <w:rPr>
                <w:sz w:val="20"/>
                <w:szCs w:val="20"/>
                <w:color w:val="auto"/>
              </w:rPr>
            </w:pPr>
            <w:r>
              <w:rPr>
                <w:rFonts w:ascii="Arial" w:cs="Arial" w:eastAsia="Arial" w:hAnsi="Arial"/>
                <w:sz w:val="18"/>
                <w:szCs w:val="18"/>
                <w:color w:val="auto"/>
              </w:rPr>
              <w:t>101.SCH</w:t>
            </w:r>
          </w:p>
        </w:tc>
        <w:tc>
          <w:tcPr>
            <w:tcW w:w="10380" w:type="dxa"/>
            <w:vAlign w:val="bottom"/>
          </w:tcPr>
          <w:p>
            <w:pPr>
              <w:spacing w:after="0"/>
              <w:rPr>
                <w:sz w:val="20"/>
                <w:szCs w:val="20"/>
                <w:color w:val="auto"/>
              </w:rPr>
            </w:pPr>
            <w:r>
              <w:rPr>
                <w:rFonts w:ascii="Arial" w:cs="Arial" w:eastAsia="Arial" w:hAnsi="Arial"/>
                <w:sz w:val="18"/>
                <w:szCs w:val="18"/>
                <w:color w:val="auto"/>
              </w:rPr>
              <w:t>XBRL Taxonomy Extension Schema Document</w:t>
            </w:r>
          </w:p>
        </w:tc>
        <w:tc>
          <w:tcPr>
            <w:tcW w:w="0" w:type="dxa"/>
            <w:vAlign w:val="bottom"/>
          </w:tcPr>
          <w:p>
            <w:pPr>
              <w:spacing w:after="0"/>
              <w:rPr>
                <w:sz w:val="1"/>
                <w:szCs w:val="1"/>
                <w:color w:val="auto"/>
              </w:rPr>
            </w:pPr>
          </w:p>
        </w:tc>
      </w:tr>
      <w:tr>
        <w:trPr>
          <w:trHeight w:val="351"/>
        </w:trPr>
        <w:tc>
          <w:tcPr>
            <w:tcW w:w="1040" w:type="dxa"/>
            <w:vAlign w:val="bottom"/>
            <w:gridSpan w:val="2"/>
          </w:tcPr>
          <w:p>
            <w:pPr>
              <w:spacing w:after="0"/>
              <w:rPr>
                <w:sz w:val="20"/>
                <w:szCs w:val="20"/>
                <w:color w:val="auto"/>
              </w:rPr>
            </w:pPr>
            <w:r>
              <w:rPr>
                <w:rFonts w:ascii="Arial" w:cs="Arial" w:eastAsia="Arial" w:hAnsi="Arial"/>
                <w:sz w:val="18"/>
                <w:szCs w:val="18"/>
                <w:color w:val="auto"/>
              </w:rPr>
              <w:t>101.CAL</w:t>
            </w:r>
          </w:p>
        </w:tc>
        <w:tc>
          <w:tcPr>
            <w:tcW w:w="10380" w:type="dxa"/>
            <w:vAlign w:val="bottom"/>
          </w:tcPr>
          <w:p>
            <w:pPr>
              <w:spacing w:after="0"/>
              <w:rPr>
                <w:sz w:val="20"/>
                <w:szCs w:val="20"/>
                <w:color w:val="auto"/>
              </w:rPr>
            </w:pPr>
            <w:r>
              <w:rPr>
                <w:rFonts w:ascii="Arial" w:cs="Arial" w:eastAsia="Arial" w:hAnsi="Arial"/>
                <w:sz w:val="18"/>
                <w:szCs w:val="18"/>
                <w:color w:val="auto"/>
              </w:rPr>
              <w:t>XBRL Taxonomy Extension Calculation Linkbase Document</w:t>
            </w:r>
          </w:p>
        </w:tc>
        <w:tc>
          <w:tcPr>
            <w:tcW w:w="0" w:type="dxa"/>
            <w:vAlign w:val="bottom"/>
          </w:tcPr>
          <w:p>
            <w:pPr>
              <w:spacing w:after="0"/>
              <w:rPr>
                <w:sz w:val="1"/>
                <w:szCs w:val="1"/>
                <w:color w:val="auto"/>
              </w:rPr>
            </w:pPr>
          </w:p>
        </w:tc>
      </w:tr>
      <w:tr>
        <w:trPr>
          <w:trHeight w:val="351"/>
        </w:trPr>
        <w:tc>
          <w:tcPr>
            <w:tcW w:w="1040" w:type="dxa"/>
            <w:vAlign w:val="bottom"/>
            <w:gridSpan w:val="2"/>
          </w:tcPr>
          <w:p>
            <w:pPr>
              <w:spacing w:after="0"/>
              <w:rPr>
                <w:sz w:val="20"/>
                <w:szCs w:val="20"/>
                <w:color w:val="auto"/>
              </w:rPr>
            </w:pPr>
            <w:r>
              <w:rPr>
                <w:rFonts w:ascii="Arial" w:cs="Arial" w:eastAsia="Arial" w:hAnsi="Arial"/>
                <w:sz w:val="18"/>
                <w:szCs w:val="18"/>
                <w:color w:val="auto"/>
              </w:rPr>
              <w:t>101.DEF</w:t>
            </w:r>
          </w:p>
        </w:tc>
        <w:tc>
          <w:tcPr>
            <w:tcW w:w="10380" w:type="dxa"/>
            <w:vAlign w:val="bottom"/>
          </w:tcPr>
          <w:p>
            <w:pPr>
              <w:spacing w:after="0"/>
              <w:rPr>
                <w:sz w:val="20"/>
                <w:szCs w:val="20"/>
                <w:color w:val="auto"/>
              </w:rPr>
            </w:pPr>
            <w:r>
              <w:rPr>
                <w:rFonts w:ascii="Arial" w:cs="Arial" w:eastAsia="Arial" w:hAnsi="Arial"/>
                <w:sz w:val="18"/>
                <w:szCs w:val="18"/>
                <w:color w:val="auto"/>
              </w:rPr>
              <w:t>XBRL Taxonomy Extension Definition Linkbase Document</w:t>
            </w:r>
          </w:p>
        </w:tc>
        <w:tc>
          <w:tcPr>
            <w:tcW w:w="0" w:type="dxa"/>
            <w:vAlign w:val="bottom"/>
          </w:tcPr>
          <w:p>
            <w:pPr>
              <w:spacing w:after="0"/>
              <w:rPr>
                <w:sz w:val="1"/>
                <w:szCs w:val="1"/>
                <w:color w:val="auto"/>
              </w:rPr>
            </w:pPr>
          </w:p>
        </w:tc>
      </w:tr>
      <w:tr>
        <w:trPr>
          <w:trHeight w:val="351"/>
        </w:trPr>
        <w:tc>
          <w:tcPr>
            <w:tcW w:w="1040" w:type="dxa"/>
            <w:vAlign w:val="bottom"/>
            <w:gridSpan w:val="2"/>
          </w:tcPr>
          <w:p>
            <w:pPr>
              <w:spacing w:after="0"/>
              <w:rPr>
                <w:sz w:val="20"/>
                <w:szCs w:val="20"/>
                <w:color w:val="auto"/>
              </w:rPr>
            </w:pPr>
            <w:r>
              <w:rPr>
                <w:rFonts w:ascii="Arial" w:cs="Arial" w:eastAsia="Arial" w:hAnsi="Arial"/>
                <w:sz w:val="18"/>
                <w:szCs w:val="18"/>
                <w:color w:val="auto"/>
              </w:rPr>
              <w:t>101.LAB</w:t>
            </w:r>
          </w:p>
        </w:tc>
        <w:tc>
          <w:tcPr>
            <w:tcW w:w="10380" w:type="dxa"/>
            <w:vAlign w:val="bottom"/>
          </w:tcPr>
          <w:p>
            <w:pPr>
              <w:spacing w:after="0"/>
              <w:rPr>
                <w:sz w:val="20"/>
                <w:szCs w:val="20"/>
                <w:color w:val="auto"/>
              </w:rPr>
            </w:pPr>
            <w:r>
              <w:rPr>
                <w:rFonts w:ascii="Arial" w:cs="Arial" w:eastAsia="Arial" w:hAnsi="Arial"/>
                <w:sz w:val="18"/>
                <w:szCs w:val="18"/>
                <w:color w:val="auto"/>
              </w:rPr>
              <w:t>XBRL Taxonomy Extension Label Linkbase Document</w:t>
            </w:r>
          </w:p>
        </w:tc>
        <w:tc>
          <w:tcPr>
            <w:tcW w:w="0" w:type="dxa"/>
            <w:vAlign w:val="bottom"/>
          </w:tcPr>
          <w:p>
            <w:pPr>
              <w:spacing w:after="0"/>
              <w:rPr>
                <w:sz w:val="1"/>
                <w:szCs w:val="1"/>
                <w:color w:val="auto"/>
              </w:rPr>
            </w:pPr>
          </w:p>
        </w:tc>
      </w:tr>
      <w:tr>
        <w:trPr>
          <w:trHeight w:val="351"/>
        </w:trPr>
        <w:tc>
          <w:tcPr>
            <w:tcW w:w="1040" w:type="dxa"/>
            <w:vAlign w:val="bottom"/>
            <w:gridSpan w:val="2"/>
          </w:tcPr>
          <w:p>
            <w:pPr>
              <w:spacing w:after="0"/>
              <w:rPr>
                <w:sz w:val="20"/>
                <w:szCs w:val="20"/>
                <w:color w:val="auto"/>
              </w:rPr>
            </w:pPr>
            <w:r>
              <w:rPr>
                <w:rFonts w:ascii="Arial" w:cs="Arial" w:eastAsia="Arial" w:hAnsi="Arial"/>
                <w:sz w:val="18"/>
                <w:szCs w:val="18"/>
                <w:color w:val="auto"/>
              </w:rPr>
              <w:t>101.PRE</w:t>
            </w:r>
          </w:p>
        </w:tc>
        <w:tc>
          <w:tcPr>
            <w:tcW w:w="10380" w:type="dxa"/>
            <w:vAlign w:val="bottom"/>
          </w:tcPr>
          <w:p>
            <w:pPr>
              <w:spacing w:after="0"/>
              <w:rPr>
                <w:sz w:val="20"/>
                <w:szCs w:val="20"/>
                <w:color w:val="auto"/>
              </w:rPr>
            </w:pPr>
            <w:r>
              <w:rPr>
                <w:rFonts w:ascii="Arial" w:cs="Arial" w:eastAsia="Arial" w:hAnsi="Arial"/>
                <w:sz w:val="18"/>
                <w:szCs w:val="18"/>
                <w:color w:val="auto"/>
              </w:rPr>
              <w:t>XBRL Taxonomy Extension Presentation Linkbase Document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102870</wp:posOffset>
            </wp:positionV>
            <wp:extent cx="120904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209040" cy="8890"/>
                    </a:xfrm>
                    <a:prstGeom prst="rect">
                      <a:avLst/>
                    </a:prstGeom>
                    <a:noFill/>
                  </pic:spPr>
                </pic:pic>
              </a:graphicData>
            </a:graphic>
          </wp:anchor>
        </w:drawing>
      </w:r>
    </w:p>
    <w:p>
      <w:pPr>
        <w:spacing w:after="0" w:line="263" w:lineRule="exact"/>
        <w:rPr>
          <w:sz w:val="20"/>
          <w:szCs w:val="20"/>
          <w:color w:val="auto"/>
        </w:rPr>
      </w:pPr>
    </w:p>
    <w:p>
      <w:pPr>
        <w:ind w:left="520" w:right="680" w:hanging="512"/>
        <w:spacing w:after="0" w:line="277" w:lineRule="auto"/>
        <w:tabs>
          <w:tab w:leader="none" w:pos="5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Confidential treatment has been requested with respect to certain portions of this exhibit. Omitted portions have been filed separately with the Securities and Exchange Commission.</w:t>
      </w:r>
    </w:p>
    <w:p>
      <w:pPr>
        <w:spacing w:after="0" w:line="170" w:lineRule="exact"/>
        <w:rPr>
          <w:sz w:val="20"/>
          <w:szCs w:val="20"/>
          <w:color w:val="auto"/>
        </w:rPr>
      </w:pPr>
    </w:p>
    <w:p>
      <w:pPr>
        <w:ind w:left="520" w:right="40" w:hanging="512"/>
        <w:spacing w:after="0" w:line="259" w:lineRule="auto"/>
        <w:tabs>
          <w:tab w:leader="none" w:pos="5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Certifications attached as Exhibits 32.1 and 32.2 that accompany this Quarterly Report on Form 10-Q are not deemed filed with the Securities and Exchange Commission and are not to be incorporated by reference into any filing of Xenon Pharmaceuticals Inc. under the Securities Act of 1933, as amended, or the Securities Exchange Act of 1934, as amended, whether made before or after the date of this Form 10-Q, irrespective of any general incorporation language contained in such filing.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35" w:right="239" w:bottom="1440" w:gutter="0" w:footer="0" w:header="0"/>
        </w:sectPr>
      </w:pPr>
    </w:p>
    <w:bookmarkStart w:id="58" w:name="page59"/>
    <w:bookmarkEnd w:id="58"/>
    <w:p>
      <w:pPr>
        <w:jc w:val="center"/>
        <w:ind w:right="-5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580" w:firstLine="51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August 3, 2017</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XENON PHARMACEUTICALS INC.</w:t>
      </w:r>
    </w:p>
    <w:p>
      <w:pPr>
        <w:spacing w:after="0" w:line="211" w:lineRule="exact"/>
        <w:rPr>
          <w:sz w:val="20"/>
          <w:szCs w:val="20"/>
          <w:color w:val="auto"/>
        </w:rPr>
      </w:pPr>
    </w:p>
    <w:p>
      <w:pPr>
        <w:ind w:left="5720"/>
        <w:spacing w:after="0"/>
        <w:tabs>
          <w:tab w:leader="none" w:pos="62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i w:val="1"/>
          <w:iCs w:val="1"/>
          <w:color w:val="auto"/>
        </w:rPr>
        <w:t>/s/ Simon Pimstone</w:t>
      </w:r>
    </w:p>
    <w:p>
      <w:pPr>
        <w:spacing w:after="0" w:line="23" w:lineRule="exact"/>
        <w:rPr>
          <w:sz w:val="20"/>
          <w:szCs w:val="20"/>
          <w:color w:val="auto"/>
        </w:rPr>
      </w:pPr>
    </w:p>
    <w:p>
      <w:pPr>
        <w:ind w:left="6120"/>
        <w:spacing w:after="0"/>
        <w:rPr>
          <w:sz w:val="20"/>
          <w:szCs w:val="20"/>
          <w:color w:val="auto"/>
        </w:rPr>
      </w:pPr>
      <w:r>
        <w:rPr>
          <w:rFonts w:ascii="Arial" w:cs="Arial" w:eastAsia="Arial" w:hAnsi="Arial"/>
          <w:sz w:val="18"/>
          <w:szCs w:val="18"/>
          <w:color w:val="auto"/>
        </w:rPr>
        <w:t>Simon Pimstone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3890010</wp:posOffset>
            </wp:positionH>
            <wp:positionV relativeFrom="paragraph">
              <wp:posOffset>-130810</wp:posOffset>
            </wp:positionV>
            <wp:extent cx="336169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3361690" cy="8890"/>
                    </a:xfrm>
                    <a:prstGeom prst="rect">
                      <a:avLst/>
                    </a:prstGeom>
                    <a:noFill/>
                  </pic:spPr>
                </pic:pic>
              </a:graphicData>
            </a:graphic>
          </wp:anchor>
        </w:drawing>
      </w:r>
    </w:p>
    <w:p>
      <w:pPr>
        <w:spacing w:after="0" w:line="3" w:lineRule="exact"/>
        <w:rPr>
          <w:sz w:val="20"/>
          <w:szCs w:val="20"/>
          <w:color w:val="auto"/>
        </w:rPr>
      </w:pPr>
    </w:p>
    <w:p>
      <w:pPr>
        <w:ind w:left="6120"/>
        <w:spacing w:after="0"/>
        <w:rPr>
          <w:sz w:val="20"/>
          <w:szCs w:val="20"/>
          <w:color w:val="auto"/>
        </w:rPr>
      </w:pPr>
      <w:r>
        <w:rPr>
          <w:rFonts w:ascii="Arial" w:cs="Arial" w:eastAsia="Arial" w:hAnsi="Arial"/>
          <w:sz w:val="18"/>
          <w:szCs w:val="18"/>
          <w:i w:val="1"/>
          <w:iCs w:val="1"/>
          <w:color w:val="auto"/>
        </w:rPr>
        <w:t>President and Chief Executive Officer</w:t>
      </w:r>
    </w:p>
    <w:p>
      <w:pPr>
        <w:spacing w:after="0" w:line="9" w:lineRule="exact"/>
        <w:rPr>
          <w:sz w:val="20"/>
          <w:szCs w:val="20"/>
          <w:color w:val="auto"/>
        </w:rPr>
      </w:pPr>
    </w:p>
    <w:p>
      <w:pPr>
        <w:ind w:left="6120"/>
        <w:spacing w:after="0"/>
        <w:rPr>
          <w:sz w:val="20"/>
          <w:szCs w:val="20"/>
          <w:color w:val="auto"/>
        </w:rPr>
      </w:pPr>
      <w:r>
        <w:rPr>
          <w:rFonts w:ascii="Arial" w:cs="Arial" w:eastAsia="Arial" w:hAnsi="Arial"/>
          <w:sz w:val="18"/>
          <w:szCs w:val="18"/>
          <w:i w:val="1"/>
          <w:iCs w:val="1"/>
          <w:color w:val="auto"/>
        </w:rPr>
        <w:t>(Principal Executive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August 3, 2017</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XENON PHARMACEUTICALS INC.</w:t>
      </w:r>
    </w:p>
    <w:p>
      <w:pPr>
        <w:spacing w:after="0" w:line="211" w:lineRule="exact"/>
        <w:rPr>
          <w:sz w:val="20"/>
          <w:szCs w:val="20"/>
          <w:color w:val="auto"/>
        </w:rPr>
      </w:pPr>
    </w:p>
    <w:p>
      <w:pPr>
        <w:ind w:left="5720"/>
        <w:spacing w:after="0"/>
        <w:tabs>
          <w:tab w:leader="none" w:pos="61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i w:val="1"/>
          <w:iCs w:val="1"/>
          <w:color w:val="auto"/>
        </w:rPr>
        <w:t>/s/ Ian Mortimer</w:t>
      </w:r>
    </w:p>
    <w:p>
      <w:pPr>
        <w:spacing w:after="0" w:line="23"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Ian Mortimer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3838575</wp:posOffset>
            </wp:positionH>
            <wp:positionV relativeFrom="paragraph">
              <wp:posOffset>-130810</wp:posOffset>
            </wp:positionV>
            <wp:extent cx="3413125"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3413125" cy="8890"/>
                    </a:xfrm>
                    <a:prstGeom prst="rect">
                      <a:avLst/>
                    </a:prstGeom>
                    <a:noFill/>
                  </pic:spPr>
                </pic:pic>
              </a:graphicData>
            </a:graphic>
          </wp:anchor>
        </w:drawing>
      </w:r>
    </w:p>
    <w:p>
      <w:pPr>
        <w:spacing w:after="0" w:line="3" w:lineRule="exact"/>
        <w:rPr>
          <w:sz w:val="20"/>
          <w:szCs w:val="20"/>
          <w:color w:val="auto"/>
        </w:rPr>
      </w:pPr>
    </w:p>
    <w:p>
      <w:pPr>
        <w:ind w:left="6040"/>
        <w:spacing w:after="0"/>
        <w:rPr>
          <w:sz w:val="20"/>
          <w:szCs w:val="20"/>
          <w:color w:val="auto"/>
        </w:rPr>
      </w:pPr>
      <w:r>
        <w:rPr>
          <w:rFonts w:ascii="Arial" w:cs="Arial" w:eastAsia="Arial" w:hAnsi="Arial"/>
          <w:sz w:val="16"/>
          <w:szCs w:val="16"/>
          <w:i w:val="1"/>
          <w:iCs w:val="1"/>
          <w:color w:val="auto"/>
        </w:rPr>
        <w:t>Chief Financial Officer, Chief Operating Officer and Corporate Secretary</w:t>
      </w:r>
    </w:p>
    <w:p>
      <w:pPr>
        <w:spacing w:after="0" w:line="32" w:lineRule="exact"/>
        <w:rPr>
          <w:sz w:val="20"/>
          <w:szCs w:val="20"/>
          <w:color w:val="auto"/>
        </w:rPr>
      </w:pPr>
    </w:p>
    <w:p>
      <w:pPr>
        <w:ind w:left="6040"/>
        <w:spacing w:after="0"/>
        <w:rPr>
          <w:sz w:val="20"/>
          <w:szCs w:val="20"/>
          <w:color w:val="auto"/>
        </w:rPr>
      </w:pPr>
      <w:r>
        <w:rPr>
          <w:rFonts w:ascii="Arial" w:cs="Arial" w:eastAsia="Arial" w:hAnsi="Arial"/>
          <w:sz w:val="18"/>
          <w:szCs w:val="18"/>
          <w:i w:val="1"/>
          <w:iCs w:val="1"/>
          <w:color w:val="auto"/>
        </w:rPr>
        <w:t>(Principal Financial and Accounting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135" w:right="279" w:bottom="1440" w:gutter="0" w:footer="0" w:header="0"/>
        </w:sectPr>
      </w:pPr>
    </w:p>
    <w:bookmarkStart w:id="59" w:name="page60"/>
    <w:bookmarkEnd w:id="59"/>
    <w:tbl>
      <w:tblPr>
        <w:tblLayout w:type="fixed"/>
        <w:tblInd w:w="0" w:type="dxa"/>
        <w:tblCellMar>
          <w:top w:w="0" w:type="dxa"/>
          <w:left w:w="0" w:type="dxa"/>
          <w:bottom w:w="0" w:type="dxa"/>
          <w:right w:w="0" w:type="dxa"/>
        </w:tblCellMar>
      </w:tblPr>
      <w:tr>
        <w:trPr>
          <w:trHeight w:val="234"/>
        </w:trPr>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380" w:type="dxa"/>
            <w:vAlign w:val="bottom"/>
          </w:tcPr>
          <w:p>
            <w:pPr>
              <w:ind w:left="3980"/>
              <w:spacing w:after="0"/>
              <w:rPr>
                <w:sz w:val="20"/>
                <w:szCs w:val="20"/>
                <w:color w:val="auto"/>
              </w:rPr>
            </w:pPr>
            <w:r>
              <w:rPr>
                <w:rFonts w:ascii="Arial" w:cs="Arial" w:eastAsia="Arial" w:hAnsi="Arial"/>
                <w:sz w:val="18"/>
                <w:szCs w:val="18"/>
                <w:b w:val="1"/>
                <w:bCs w:val="1"/>
                <w:color w:val="auto"/>
              </w:rPr>
              <w:t>EXHIBIT INDEX</w:t>
            </w:r>
          </w:p>
        </w:tc>
        <w:tc>
          <w:tcPr>
            <w:tcW w:w="0" w:type="dxa"/>
            <w:vAlign w:val="bottom"/>
          </w:tcPr>
          <w:p>
            <w:pPr>
              <w:spacing w:after="0"/>
              <w:rPr>
                <w:sz w:val="1"/>
                <w:szCs w:val="1"/>
                <w:color w:val="auto"/>
              </w:rPr>
            </w:pPr>
          </w:p>
        </w:tc>
      </w:tr>
      <w:tr>
        <w:trPr>
          <w:trHeight w:val="369"/>
        </w:trPr>
        <w:tc>
          <w:tcPr>
            <w:tcW w:w="1040" w:type="dxa"/>
            <w:vAlign w:val="bottom"/>
            <w:gridSpan w:val="2"/>
          </w:tcPr>
          <w:p>
            <w:pPr>
              <w:ind w:left="240"/>
              <w:spacing w:after="0"/>
              <w:rPr>
                <w:sz w:val="20"/>
                <w:szCs w:val="20"/>
                <w:color w:val="auto"/>
              </w:rPr>
            </w:pPr>
            <w:r>
              <w:rPr>
                <w:rFonts w:ascii="Arial" w:cs="Arial" w:eastAsia="Arial" w:hAnsi="Arial"/>
                <w:sz w:val="14"/>
                <w:szCs w:val="14"/>
                <w:b w:val="1"/>
                <w:bCs w:val="1"/>
                <w:color w:val="auto"/>
              </w:rPr>
              <w:t>Exhibit</w:t>
            </w:r>
          </w:p>
        </w:tc>
        <w:tc>
          <w:tcPr>
            <w:tcW w:w="10380" w:type="dxa"/>
            <w:vAlign w:val="bottom"/>
            <w:vMerge w:val="restart"/>
          </w:tcPr>
          <w:p>
            <w:pPr>
              <w:ind w:left="440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71"/>
        </w:trPr>
        <w:tc>
          <w:tcPr>
            <w:tcW w:w="920" w:type="dxa"/>
            <w:vAlign w:val="bottom"/>
            <w:tcBorders>
              <w:bottom w:val="single" w:sz="8" w:color="auto"/>
            </w:tcBorders>
          </w:tcPr>
          <w:p>
            <w:pPr>
              <w:ind w:left="220"/>
              <w:spacing w:after="0"/>
              <w:rPr>
                <w:sz w:val="20"/>
                <w:szCs w:val="20"/>
                <w:color w:val="auto"/>
              </w:rPr>
            </w:pPr>
            <w:r>
              <w:rPr>
                <w:rFonts w:ascii="Arial" w:cs="Arial" w:eastAsia="Arial" w:hAnsi="Arial"/>
                <w:sz w:val="14"/>
                <w:szCs w:val="14"/>
                <w:b w:val="1"/>
                <w:bCs w:val="1"/>
                <w:color w:val="auto"/>
              </w:rPr>
              <w:t>Number</w:t>
            </w:r>
          </w:p>
        </w:tc>
        <w:tc>
          <w:tcPr>
            <w:tcW w:w="120" w:type="dxa"/>
            <w:vAlign w:val="bottom"/>
          </w:tcPr>
          <w:p>
            <w:pPr>
              <w:spacing w:after="0"/>
              <w:rPr>
                <w:sz w:val="14"/>
                <w:szCs w:val="14"/>
                <w:color w:val="auto"/>
              </w:rPr>
            </w:pPr>
          </w:p>
        </w:tc>
        <w:tc>
          <w:tcPr>
            <w:tcW w:w="1038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560"/>
        </w:trPr>
        <w:tc>
          <w:tcPr>
            <w:tcW w:w="1040" w:type="dxa"/>
            <w:vAlign w:val="bottom"/>
            <w:gridSpan w:val="2"/>
          </w:tcPr>
          <w:p>
            <w:pPr>
              <w:spacing w:after="0"/>
              <w:rPr>
                <w:sz w:val="20"/>
                <w:szCs w:val="20"/>
                <w:color w:val="auto"/>
              </w:rPr>
            </w:pPr>
            <w:r>
              <w:rPr>
                <w:rFonts w:ascii="Arial" w:cs="Arial" w:eastAsia="Arial" w:hAnsi="Arial"/>
                <w:sz w:val="18"/>
                <w:szCs w:val="18"/>
                <w:color w:val="auto"/>
              </w:rPr>
              <w:t>10.1†</w:t>
            </w:r>
          </w:p>
        </w:tc>
        <w:tc>
          <w:tcPr>
            <w:tcW w:w="10380" w:type="dxa"/>
            <w:vAlign w:val="bottom"/>
          </w:tcPr>
          <w:p>
            <w:pPr>
              <w:spacing w:after="0"/>
              <w:rPr>
                <w:sz w:val="20"/>
                <w:szCs w:val="20"/>
                <w:color w:val="auto"/>
              </w:rPr>
            </w:pPr>
            <w:r>
              <w:rPr>
                <w:rFonts w:ascii="Arial" w:cs="Arial" w:eastAsia="Arial" w:hAnsi="Arial"/>
                <w:sz w:val="18"/>
                <w:szCs w:val="18"/>
                <w:color w:val="auto"/>
                <w:w w:val="92"/>
              </w:rPr>
              <w:t>Letter Agreement, dated May 8, 2017, to Amendment #4, dated May 13, 2015, to the Collaborative Research and License Agreement, dated</w:t>
            </w:r>
          </w:p>
        </w:tc>
        <w:tc>
          <w:tcPr>
            <w:tcW w:w="0" w:type="dxa"/>
            <w:vAlign w:val="bottom"/>
          </w:tcPr>
          <w:p>
            <w:pPr>
              <w:spacing w:after="0"/>
              <w:rPr>
                <w:sz w:val="1"/>
                <w:szCs w:val="1"/>
                <w:color w:val="auto"/>
              </w:rPr>
            </w:pPr>
          </w:p>
        </w:tc>
      </w:tr>
      <w:tr>
        <w:trPr>
          <w:trHeight w:val="230"/>
        </w:trPr>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380" w:type="dxa"/>
            <w:vAlign w:val="bottom"/>
          </w:tcPr>
          <w:p>
            <w:pPr>
              <w:spacing w:after="0"/>
              <w:rPr>
                <w:sz w:val="20"/>
                <w:szCs w:val="20"/>
                <w:color w:val="auto"/>
              </w:rPr>
            </w:pPr>
            <w:r>
              <w:rPr>
                <w:rFonts w:ascii="Arial" w:cs="Arial" w:eastAsia="Arial" w:hAnsi="Arial"/>
                <w:sz w:val="18"/>
                <w:szCs w:val="18"/>
                <w:color w:val="auto"/>
              </w:rPr>
              <w:t>December 22, 2011, by and among the Company, Genentech, Inc. and F. Hoffman-La Roche Ltd, as amended.</w:t>
            </w:r>
          </w:p>
        </w:tc>
        <w:tc>
          <w:tcPr>
            <w:tcW w:w="0" w:type="dxa"/>
            <w:vAlign w:val="bottom"/>
          </w:tcPr>
          <w:p>
            <w:pPr>
              <w:spacing w:after="0"/>
              <w:rPr>
                <w:sz w:val="1"/>
                <w:szCs w:val="1"/>
                <w:color w:val="auto"/>
              </w:rPr>
            </w:pPr>
          </w:p>
        </w:tc>
      </w:tr>
      <w:tr>
        <w:trPr>
          <w:trHeight w:val="338"/>
        </w:trPr>
        <w:tc>
          <w:tcPr>
            <w:tcW w:w="1040" w:type="dxa"/>
            <w:vAlign w:val="bottom"/>
            <w:gridSpan w:val="2"/>
          </w:tcPr>
          <w:p>
            <w:pPr>
              <w:spacing w:after="0"/>
              <w:rPr>
                <w:sz w:val="20"/>
                <w:szCs w:val="20"/>
                <w:color w:val="auto"/>
              </w:rPr>
            </w:pPr>
            <w:r>
              <w:rPr>
                <w:rFonts w:ascii="Arial" w:cs="Arial" w:eastAsia="Arial" w:hAnsi="Arial"/>
                <w:sz w:val="18"/>
                <w:szCs w:val="18"/>
                <w:color w:val="auto"/>
              </w:rPr>
              <w:t>10.2†</w:t>
            </w:r>
          </w:p>
        </w:tc>
        <w:tc>
          <w:tcPr>
            <w:tcW w:w="10380" w:type="dxa"/>
            <w:vAlign w:val="bottom"/>
          </w:tcPr>
          <w:p>
            <w:pPr>
              <w:spacing w:after="0"/>
              <w:rPr>
                <w:sz w:val="20"/>
                <w:szCs w:val="20"/>
                <w:color w:val="auto"/>
              </w:rPr>
            </w:pPr>
            <w:r>
              <w:rPr>
                <w:rFonts w:ascii="Arial" w:cs="Arial" w:eastAsia="Arial" w:hAnsi="Arial"/>
                <w:sz w:val="18"/>
                <w:szCs w:val="18"/>
                <w:color w:val="auto"/>
              </w:rPr>
              <w:t>Asset Purchase Agreement, dated April 25, 2017, by and between the Company and 1st Order Pharmaceuticals, Inc.</w:t>
            </w:r>
          </w:p>
        </w:tc>
        <w:tc>
          <w:tcPr>
            <w:tcW w:w="0" w:type="dxa"/>
            <w:vAlign w:val="bottom"/>
          </w:tcPr>
          <w:p>
            <w:pPr>
              <w:spacing w:after="0"/>
              <w:rPr>
                <w:sz w:val="1"/>
                <w:szCs w:val="1"/>
                <w:color w:val="auto"/>
              </w:rPr>
            </w:pPr>
          </w:p>
        </w:tc>
      </w:tr>
      <w:tr>
        <w:trPr>
          <w:trHeight w:val="338"/>
        </w:trPr>
        <w:tc>
          <w:tcPr>
            <w:tcW w:w="920" w:type="dxa"/>
            <w:vAlign w:val="bottom"/>
          </w:tcPr>
          <w:p>
            <w:pPr>
              <w:spacing w:after="0"/>
              <w:rPr>
                <w:sz w:val="20"/>
                <w:szCs w:val="20"/>
                <w:color w:val="auto"/>
              </w:rPr>
            </w:pPr>
            <w:r>
              <w:rPr>
                <w:rFonts w:ascii="Arial" w:cs="Arial" w:eastAsia="Arial" w:hAnsi="Arial"/>
                <w:sz w:val="18"/>
                <w:szCs w:val="18"/>
                <w:color w:val="auto"/>
              </w:rPr>
              <w:t>31.1</w:t>
            </w:r>
          </w:p>
        </w:tc>
        <w:tc>
          <w:tcPr>
            <w:tcW w:w="120" w:type="dxa"/>
            <w:vAlign w:val="bottom"/>
          </w:tcPr>
          <w:p>
            <w:pPr>
              <w:spacing w:after="0"/>
              <w:rPr>
                <w:sz w:val="24"/>
                <w:szCs w:val="24"/>
                <w:color w:val="auto"/>
              </w:rPr>
            </w:pPr>
          </w:p>
        </w:tc>
        <w:tc>
          <w:tcPr>
            <w:tcW w:w="10380" w:type="dxa"/>
            <w:vAlign w:val="bottom"/>
          </w:tcPr>
          <w:p>
            <w:pPr>
              <w:spacing w:after="0"/>
              <w:rPr>
                <w:sz w:val="20"/>
                <w:szCs w:val="20"/>
                <w:color w:val="auto"/>
              </w:rPr>
            </w:pPr>
            <w:r>
              <w:rPr>
                <w:rFonts w:ascii="Arial" w:cs="Arial" w:eastAsia="Arial" w:hAnsi="Arial"/>
                <w:sz w:val="18"/>
                <w:szCs w:val="18"/>
                <w:color w:val="auto"/>
              </w:rPr>
              <w:t>Certification of Chief Executive Officer pursuant to Rule 13a-14(a).</w:t>
            </w:r>
          </w:p>
        </w:tc>
        <w:tc>
          <w:tcPr>
            <w:tcW w:w="0" w:type="dxa"/>
            <w:vAlign w:val="bottom"/>
          </w:tcPr>
          <w:p>
            <w:pPr>
              <w:spacing w:after="0"/>
              <w:rPr>
                <w:sz w:val="1"/>
                <w:szCs w:val="1"/>
                <w:color w:val="auto"/>
              </w:rPr>
            </w:pPr>
          </w:p>
        </w:tc>
      </w:tr>
      <w:tr>
        <w:trPr>
          <w:trHeight w:val="338"/>
        </w:trPr>
        <w:tc>
          <w:tcPr>
            <w:tcW w:w="920" w:type="dxa"/>
            <w:vAlign w:val="bottom"/>
          </w:tcPr>
          <w:p>
            <w:pPr>
              <w:spacing w:after="0"/>
              <w:rPr>
                <w:sz w:val="20"/>
                <w:szCs w:val="20"/>
                <w:color w:val="auto"/>
              </w:rPr>
            </w:pPr>
            <w:r>
              <w:rPr>
                <w:rFonts w:ascii="Arial" w:cs="Arial" w:eastAsia="Arial" w:hAnsi="Arial"/>
                <w:sz w:val="18"/>
                <w:szCs w:val="18"/>
                <w:color w:val="auto"/>
              </w:rPr>
              <w:t>31.2</w:t>
            </w:r>
          </w:p>
        </w:tc>
        <w:tc>
          <w:tcPr>
            <w:tcW w:w="120" w:type="dxa"/>
            <w:vAlign w:val="bottom"/>
          </w:tcPr>
          <w:p>
            <w:pPr>
              <w:spacing w:after="0"/>
              <w:rPr>
                <w:sz w:val="24"/>
                <w:szCs w:val="24"/>
                <w:color w:val="auto"/>
              </w:rPr>
            </w:pPr>
          </w:p>
        </w:tc>
        <w:tc>
          <w:tcPr>
            <w:tcW w:w="10380" w:type="dxa"/>
            <w:vAlign w:val="bottom"/>
          </w:tcPr>
          <w:p>
            <w:pPr>
              <w:spacing w:after="0"/>
              <w:rPr>
                <w:sz w:val="20"/>
                <w:szCs w:val="20"/>
                <w:color w:val="auto"/>
              </w:rPr>
            </w:pPr>
            <w:r>
              <w:rPr>
                <w:rFonts w:ascii="Arial" w:cs="Arial" w:eastAsia="Arial" w:hAnsi="Arial"/>
                <w:sz w:val="18"/>
                <w:szCs w:val="18"/>
                <w:color w:val="auto"/>
              </w:rPr>
              <w:t>Certification of Chief Financial Officer pursuant to Rule 13a-14(a).</w:t>
            </w:r>
          </w:p>
        </w:tc>
        <w:tc>
          <w:tcPr>
            <w:tcW w:w="0" w:type="dxa"/>
            <w:vAlign w:val="bottom"/>
          </w:tcPr>
          <w:p>
            <w:pPr>
              <w:spacing w:after="0"/>
              <w:rPr>
                <w:sz w:val="1"/>
                <w:szCs w:val="1"/>
                <w:color w:val="auto"/>
              </w:rPr>
            </w:pPr>
          </w:p>
        </w:tc>
      </w:tr>
      <w:tr>
        <w:trPr>
          <w:trHeight w:val="338"/>
        </w:trPr>
        <w:tc>
          <w:tcPr>
            <w:tcW w:w="920" w:type="dxa"/>
            <w:vAlign w:val="bottom"/>
          </w:tcPr>
          <w:p>
            <w:pPr>
              <w:spacing w:after="0"/>
              <w:rPr>
                <w:sz w:val="20"/>
                <w:szCs w:val="20"/>
                <w:color w:val="auto"/>
              </w:rPr>
            </w:pPr>
            <w:r>
              <w:rPr>
                <w:rFonts w:ascii="Arial" w:cs="Arial" w:eastAsia="Arial" w:hAnsi="Arial"/>
                <w:sz w:val="18"/>
                <w:szCs w:val="18"/>
                <w:color w:val="auto"/>
              </w:rPr>
              <w:t>32.1*</w:t>
            </w:r>
          </w:p>
        </w:tc>
        <w:tc>
          <w:tcPr>
            <w:tcW w:w="120" w:type="dxa"/>
            <w:vAlign w:val="bottom"/>
          </w:tcPr>
          <w:p>
            <w:pPr>
              <w:spacing w:after="0"/>
              <w:rPr>
                <w:sz w:val="24"/>
                <w:szCs w:val="24"/>
                <w:color w:val="auto"/>
              </w:rPr>
            </w:pPr>
          </w:p>
        </w:tc>
        <w:tc>
          <w:tcPr>
            <w:tcW w:w="10380" w:type="dxa"/>
            <w:vAlign w:val="bottom"/>
          </w:tcPr>
          <w:p>
            <w:pPr>
              <w:spacing w:after="0"/>
              <w:rPr>
                <w:sz w:val="20"/>
                <w:szCs w:val="20"/>
                <w:color w:val="auto"/>
              </w:rPr>
            </w:pPr>
            <w:r>
              <w:rPr>
                <w:rFonts w:ascii="Arial" w:cs="Arial" w:eastAsia="Arial" w:hAnsi="Arial"/>
                <w:sz w:val="18"/>
                <w:szCs w:val="18"/>
                <w:color w:val="auto"/>
              </w:rPr>
              <w:t>Certification of Chief Executive Officer pursuant to 18 U.S.C Section 1350.</w:t>
            </w:r>
          </w:p>
        </w:tc>
        <w:tc>
          <w:tcPr>
            <w:tcW w:w="0" w:type="dxa"/>
            <w:vAlign w:val="bottom"/>
          </w:tcPr>
          <w:p>
            <w:pPr>
              <w:spacing w:after="0"/>
              <w:rPr>
                <w:sz w:val="1"/>
                <w:szCs w:val="1"/>
                <w:color w:val="auto"/>
              </w:rPr>
            </w:pPr>
          </w:p>
        </w:tc>
      </w:tr>
      <w:tr>
        <w:trPr>
          <w:trHeight w:val="338"/>
        </w:trPr>
        <w:tc>
          <w:tcPr>
            <w:tcW w:w="920" w:type="dxa"/>
            <w:vAlign w:val="bottom"/>
          </w:tcPr>
          <w:p>
            <w:pPr>
              <w:spacing w:after="0"/>
              <w:rPr>
                <w:sz w:val="20"/>
                <w:szCs w:val="20"/>
                <w:color w:val="auto"/>
              </w:rPr>
            </w:pPr>
            <w:r>
              <w:rPr>
                <w:rFonts w:ascii="Arial" w:cs="Arial" w:eastAsia="Arial" w:hAnsi="Arial"/>
                <w:sz w:val="18"/>
                <w:szCs w:val="18"/>
                <w:color w:val="auto"/>
              </w:rPr>
              <w:t>32.2*</w:t>
            </w:r>
          </w:p>
        </w:tc>
        <w:tc>
          <w:tcPr>
            <w:tcW w:w="120" w:type="dxa"/>
            <w:vAlign w:val="bottom"/>
          </w:tcPr>
          <w:p>
            <w:pPr>
              <w:spacing w:after="0"/>
              <w:rPr>
                <w:sz w:val="24"/>
                <w:szCs w:val="24"/>
                <w:color w:val="auto"/>
              </w:rPr>
            </w:pPr>
          </w:p>
        </w:tc>
        <w:tc>
          <w:tcPr>
            <w:tcW w:w="10380" w:type="dxa"/>
            <w:vAlign w:val="bottom"/>
          </w:tcPr>
          <w:p>
            <w:pPr>
              <w:spacing w:after="0"/>
              <w:rPr>
                <w:sz w:val="20"/>
                <w:szCs w:val="20"/>
                <w:color w:val="auto"/>
              </w:rPr>
            </w:pPr>
            <w:r>
              <w:rPr>
                <w:rFonts w:ascii="Arial" w:cs="Arial" w:eastAsia="Arial" w:hAnsi="Arial"/>
                <w:sz w:val="18"/>
                <w:szCs w:val="18"/>
                <w:color w:val="auto"/>
              </w:rPr>
              <w:t>Certification of Chief Financial Officer pursuant to 18 U.S.C Section 1350.</w:t>
            </w:r>
          </w:p>
        </w:tc>
        <w:tc>
          <w:tcPr>
            <w:tcW w:w="0" w:type="dxa"/>
            <w:vAlign w:val="bottom"/>
          </w:tcPr>
          <w:p>
            <w:pPr>
              <w:spacing w:after="0"/>
              <w:rPr>
                <w:sz w:val="1"/>
                <w:szCs w:val="1"/>
                <w:color w:val="auto"/>
              </w:rPr>
            </w:pPr>
          </w:p>
        </w:tc>
      </w:tr>
      <w:tr>
        <w:trPr>
          <w:trHeight w:val="338"/>
        </w:trPr>
        <w:tc>
          <w:tcPr>
            <w:tcW w:w="1040" w:type="dxa"/>
            <w:vAlign w:val="bottom"/>
            <w:gridSpan w:val="2"/>
          </w:tcPr>
          <w:p>
            <w:pPr>
              <w:spacing w:after="0"/>
              <w:rPr>
                <w:sz w:val="20"/>
                <w:szCs w:val="20"/>
                <w:color w:val="auto"/>
              </w:rPr>
            </w:pPr>
            <w:r>
              <w:rPr>
                <w:rFonts w:ascii="Arial" w:cs="Arial" w:eastAsia="Arial" w:hAnsi="Arial"/>
                <w:sz w:val="18"/>
                <w:szCs w:val="18"/>
                <w:color w:val="auto"/>
              </w:rPr>
              <w:t>101.INS</w:t>
            </w:r>
          </w:p>
        </w:tc>
        <w:tc>
          <w:tcPr>
            <w:tcW w:w="10380" w:type="dxa"/>
            <w:vAlign w:val="bottom"/>
          </w:tcPr>
          <w:p>
            <w:pPr>
              <w:spacing w:after="0"/>
              <w:rPr>
                <w:sz w:val="20"/>
                <w:szCs w:val="20"/>
                <w:color w:val="auto"/>
              </w:rPr>
            </w:pPr>
            <w:r>
              <w:rPr>
                <w:rFonts w:ascii="Arial" w:cs="Arial" w:eastAsia="Arial" w:hAnsi="Arial"/>
                <w:sz w:val="18"/>
                <w:szCs w:val="18"/>
                <w:color w:val="auto"/>
              </w:rPr>
              <w:t>XBRL Instance Document</w:t>
            </w:r>
          </w:p>
        </w:tc>
        <w:tc>
          <w:tcPr>
            <w:tcW w:w="0" w:type="dxa"/>
            <w:vAlign w:val="bottom"/>
          </w:tcPr>
          <w:p>
            <w:pPr>
              <w:spacing w:after="0"/>
              <w:rPr>
                <w:sz w:val="1"/>
                <w:szCs w:val="1"/>
                <w:color w:val="auto"/>
              </w:rPr>
            </w:pPr>
          </w:p>
        </w:tc>
      </w:tr>
      <w:tr>
        <w:trPr>
          <w:trHeight w:val="338"/>
        </w:trPr>
        <w:tc>
          <w:tcPr>
            <w:tcW w:w="1040" w:type="dxa"/>
            <w:vAlign w:val="bottom"/>
            <w:gridSpan w:val="2"/>
          </w:tcPr>
          <w:p>
            <w:pPr>
              <w:spacing w:after="0"/>
              <w:rPr>
                <w:sz w:val="20"/>
                <w:szCs w:val="20"/>
                <w:color w:val="auto"/>
              </w:rPr>
            </w:pPr>
            <w:r>
              <w:rPr>
                <w:rFonts w:ascii="Arial" w:cs="Arial" w:eastAsia="Arial" w:hAnsi="Arial"/>
                <w:sz w:val="18"/>
                <w:szCs w:val="18"/>
                <w:color w:val="auto"/>
              </w:rPr>
              <w:t>101.SCH</w:t>
            </w:r>
          </w:p>
        </w:tc>
        <w:tc>
          <w:tcPr>
            <w:tcW w:w="10380" w:type="dxa"/>
            <w:vAlign w:val="bottom"/>
          </w:tcPr>
          <w:p>
            <w:pPr>
              <w:spacing w:after="0"/>
              <w:rPr>
                <w:sz w:val="20"/>
                <w:szCs w:val="20"/>
                <w:color w:val="auto"/>
              </w:rPr>
            </w:pPr>
            <w:r>
              <w:rPr>
                <w:rFonts w:ascii="Arial" w:cs="Arial" w:eastAsia="Arial" w:hAnsi="Arial"/>
                <w:sz w:val="18"/>
                <w:szCs w:val="18"/>
                <w:color w:val="auto"/>
              </w:rPr>
              <w:t>XBRL Taxonomy Extension Schema Document</w:t>
            </w:r>
          </w:p>
        </w:tc>
        <w:tc>
          <w:tcPr>
            <w:tcW w:w="0" w:type="dxa"/>
            <w:vAlign w:val="bottom"/>
          </w:tcPr>
          <w:p>
            <w:pPr>
              <w:spacing w:after="0"/>
              <w:rPr>
                <w:sz w:val="1"/>
                <w:szCs w:val="1"/>
                <w:color w:val="auto"/>
              </w:rPr>
            </w:pPr>
          </w:p>
        </w:tc>
      </w:tr>
      <w:tr>
        <w:trPr>
          <w:trHeight w:val="338"/>
        </w:trPr>
        <w:tc>
          <w:tcPr>
            <w:tcW w:w="1040" w:type="dxa"/>
            <w:vAlign w:val="bottom"/>
            <w:gridSpan w:val="2"/>
          </w:tcPr>
          <w:p>
            <w:pPr>
              <w:spacing w:after="0"/>
              <w:rPr>
                <w:sz w:val="20"/>
                <w:szCs w:val="20"/>
                <w:color w:val="auto"/>
              </w:rPr>
            </w:pPr>
            <w:r>
              <w:rPr>
                <w:rFonts w:ascii="Arial" w:cs="Arial" w:eastAsia="Arial" w:hAnsi="Arial"/>
                <w:sz w:val="18"/>
                <w:szCs w:val="18"/>
                <w:color w:val="auto"/>
              </w:rPr>
              <w:t>101.CAL</w:t>
            </w:r>
          </w:p>
        </w:tc>
        <w:tc>
          <w:tcPr>
            <w:tcW w:w="10380" w:type="dxa"/>
            <w:vAlign w:val="bottom"/>
          </w:tcPr>
          <w:p>
            <w:pPr>
              <w:spacing w:after="0"/>
              <w:rPr>
                <w:sz w:val="20"/>
                <w:szCs w:val="20"/>
                <w:color w:val="auto"/>
              </w:rPr>
            </w:pPr>
            <w:r>
              <w:rPr>
                <w:rFonts w:ascii="Arial" w:cs="Arial" w:eastAsia="Arial" w:hAnsi="Arial"/>
                <w:sz w:val="18"/>
                <w:szCs w:val="18"/>
                <w:color w:val="auto"/>
              </w:rPr>
              <w:t>XBRL Taxonomy Extension Calculation Linkbase Document</w:t>
            </w:r>
          </w:p>
        </w:tc>
        <w:tc>
          <w:tcPr>
            <w:tcW w:w="0" w:type="dxa"/>
            <w:vAlign w:val="bottom"/>
          </w:tcPr>
          <w:p>
            <w:pPr>
              <w:spacing w:after="0"/>
              <w:rPr>
                <w:sz w:val="1"/>
                <w:szCs w:val="1"/>
                <w:color w:val="auto"/>
              </w:rPr>
            </w:pPr>
          </w:p>
        </w:tc>
      </w:tr>
      <w:tr>
        <w:trPr>
          <w:trHeight w:val="338"/>
        </w:trPr>
        <w:tc>
          <w:tcPr>
            <w:tcW w:w="1040" w:type="dxa"/>
            <w:vAlign w:val="bottom"/>
            <w:gridSpan w:val="2"/>
          </w:tcPr>
          <w:p>
            <w:pPr>
              <w:spacing w:after="0"/>
              <w:rPr>
                <w:sz w:val="20"/>
                <w:szCs w:val="20"/>
                <w:color w:val="auto"/>
              </w:rPr>
            </w:pPr>
            <w:r>
              <w:rPr>
                <w:rFonts w:ascii="Arial" w:cs="Arial" w:eastAsia="Arial" w:hAnsi="Arial"/>
                <w:sz w:val="18"/>
                <w:szCs w:val="18"/>
                <w:color w:val="auto"/>
              </w:rPr>
              <w:t>101.DEF</w:t>
            </w:r>
          </w:p>
        </w:tc>
        <w:tc>
          <w:tcPr>
            <w:tcW w:w="10380" w:type="dxa"/>
            <w:vAlign w:val="bottom"/>
          </w:tcPr>
          <w:p>
            <w:pPr>
              <w:spacing w:after="0"/>
              <w:rPr>
                <w:sz w:val="20"/>
                <w:szCs w:val="20"/>
                <w:color w:val="auto"/>
              </w:rPr>
            </w:pPr>
            <w:r>
              <w:rPr>
                <w:rFonts w:ascii="Arial" w:cs="Arial" w:eastAsia="Arial" w:hAnsi="Arial"/>
                <w:sz w:val="18"/>
                <w:szCs w:val="18"/>
                <w:color w:val="auto"/>
              </w:rPr>
              <w:t>XBRL Taxonomy Extension Definition Linkbase Document</w:t>
            </w:r>
          </w:p>
        </w:tc>
        <w:tc>
          <w:tcPr>
            <w:tcW w:w="0" w:type="dxa"/>
            <w:vAlign w:val="bottom"/>
          </w:tcPr>
          <w:p>
            <w:pPr>
              <w:spacing w:after="0"/>
              <w:rPr>
                <w:sz w:val="1"/>
                <w:szCs w:val="1"/>
                <w:color w:val="auto"/>
              </w:rPr>
            </w:pPr>
          </w:p>
        </w:tc>
      </w:tr>
      <w:tr>
        <w:trPr>
          <w:trHeight w:val="338"/>
        </w:trPr>
        <w:tc>
          <w:tcPr>
            <w:tcW w:w="1040" w:type="dxa"/>
            <w:vAlign w:val="bottom"/>
            <w:gridSpan w:val="2"/>
          </w:tcPr>
          <w:p>
            <w:pPr>
              <w:spacing w:after="0"/>
              <w:rPr>
                <w:sz w:val="20"/>
                <w:szCs w:val="20"/>
                <w:color w:val="auto"/>
              </w:rPr>
            </w:pPr>
            <w:r>
              <w:rPr>
                <w:rFonts w:ascii="Arial" w:cs="Arial" w:eastAsia="Arial" w:hAnsi="Arial"/>
                <w:sz w:val="18"/>
                <w:szCs w:val="18"/>
                <w:color w:val="auto"/>
              </w:rPr>
              <w:t>101.LAB</w:t>
            </w:r>
          </w:p>
        </w:tc>
        <w:tc>
          <w:tcPr>
            <w:tcW w:w="10380" w:type="dxa"/>
            <w:vAlign w:val="bottom"/>
          </w:tcPr>
          <w:p>
            <w:pPr>
              <w:spacing w:after="0"/>
              <w:rPr>
                <w:sz w:val="20"/>
                <w:szCs w:val="20"/>
                <w:color w:val="auto"/>
              </w:rPr>
            </w:pPr>
            <w:r>
              <w:rPr>
                <w:rFonts w:ascii="Arial" w:cs="Arial" w:eastAsia="Arial" w:hAnsi="Arial"/>
                <w:sz w:val="18"/>
                <w:szCs w:val="18"/>
                <w:color w:val="auto"/>
              </w:rPr>
              <w:t>XBRL Taxonomy Extension Label Linkbase Document</w:t>
            </w:r>
          </w:p>
        </w:tc>
        <w:tc>
          <w:tcPr>
            <w:tcW w:w="0" w:type="dxa"/>
            <w:vAlign w:val="bottom"/>
          </w:tcPr>
          <w:p>
            <w:pPr>
              <w:spacing w:after="0"/>
              <w:rPr>
                <w:sz w:val="1"/>
                <w:szCs w:val="1"/>
                <w:color w:val="auto"/>
              </w:rPr>
            </w:pPr>
          </w:p>
        </w:tc>
      </w:tr>
      <w:tr>
        <w:trPr>
          <w:trHeight w:val="338"/>
        </w:trPr>
        <w:tc>
          <w:tcPr>
            <w:tcW w:w="1040" w:type="dxa"/>
            <w:vAlign w:val="bottom"/>
            <w:gridSpan w:val="2"/>
          </w:tcPr>
          <w:p>
            <w:pPr>
              <w:spacing w:after="0"/>
              <w:rPr>
                <w:sz w:val="20"/>
                <w:szCs w:val="20"/>
                <w:color w:val="auto"/>
              </w:rPr>
            </w:pPr>
            <w:r>
              <w:rPr>
                <w:rFonts w:ascii="Arial" w:cs="Arial" w:eastAsia="Arial" w:hAnsi="Arial"/>
                <w:sz w:val="18"/>
                <w:szCs w:val="18"/>
                <w:color w:val="auto"/>
              </w:rPr>
              <w:t>101.PRE</w:t>
            </w:r>
          </w:p>
        </w:tc>
        <w:tc>
          <w:tcPr>
            <w:tcW w:w="10380" w:type="dxa"/>
            <w:vAlign w:val="bottom"/>
          </w:tcPr>
          <w:p>
            <w:pPr>
              <w:spacing w:after="0"/>
              <w:rPr>
                <w:sz w:val="20"/>
                <w:szCs w:val="20"/>
                <w:color w:val="auto"/>
              </w:rPr>
            </w:pPr>
            <w:r>
              <w:rPr>
                <w:rFonts w:ascii="Arial" w:cs="Arial" w:eastAsia="Arial" w:hAnsi="Arial"/>
                <w:sz w:val="18"/>
                <w:szCs w:val="18"/>
                <w:color w:val="auto"/>
              </w:rPr>
              <w:t>XBRL Taxonomy Extension Presentation Linkbase Document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120904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209040" cy="8890"/>
                    </a:xfrm>
                    <a:prstGeom prst="rect">
                      <a:avLst/>
                    </a:prstGeom>
                    <a:noFill/>
                  </pic:spPr>
                </pic:pic>
              </a:graphicData>
            </a:graphic>
          </wp:anchor>
        </w:drawing>
      </w:r>
    </w:p>
    <w:p>
      <w:pPr>
        <w:spacing w:after="0" w:line="249" w:lineRule="exact"/>
        <w:rPr>
          <w:sz w:val="20"/>
          <w:szCs w:val="20"/>
          <w:color w:val="auto"/>
        </w:rPr>
      </w:pPr>
    </w:p>
    <w:p>
      <w:pPr>
        <w:ind w:left="520" w:right="680" w:hanging="512"/>
        <w:spacing w:after="0" w:line="277" w:lineRule="auto"/>
        <w:tabs>
          <w:tab w:leader="none" w:pos="5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Confidential treatment has been requested with respect to certain portions of this exhibit. Omitted portions have been filed separately with the Securities and Exchange Commission.</w:t>
      </w:r>
    </w:p>
    <w:p>
      <w:pPr>
        <w:spacing w:after="0" w:line="170" w:lineRule="exact"/>
        <w:rPr>
          <w:sz w:val="20"/>
          <w:szCs w:val="20"/>
          <w:color w:val="auto"/>
        </w:rPr>
      </w:pPr>
    </w:p>
    <w:p>
      <w:pPr>
        <w:ind w:left="520" w:right="40" w:hanging="512"/>
        <w:spacing w:after="0" w:line="259" w:lineRule="auto"/>
        <w:tabs>
          <w:tab w:leader="none" w:pos="5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Certifications attached as Exhibits 32.1 and 32.2 that accompany this Quarterly Report on Form 10-Q are not deemed filed with the Securities and Exchange Commission and are not to be incorporated by reference into any filing of Xenon Pharmaceuticals Inc. under the Securities Act of 1933, as amended, or the Securities Exchange Act of 1934, as amended, whether made before or after the date of this Form 10-Q, irrespective of any general incorporation language contained in such filing.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20"/>
          </w:cols>
          <w:pgMar w:left="240" w:top="135" w:right="239" w:bottom="1440" w:gutter="0" w:footer="0" w:header="0"/>
        </w:sectPr>
      </w:pPr>
    </w:p>
    <w:bookmarkStart w:id="60" w:name="page61"/>
    <w:bookmarkEnd w:id="60"/>
    <w:p>
      <w:pPr>
        <w:jc w:val="right"/>
        <w:spacing w:after="0"/>
        <w:rPr>
          <w:sz w:val="20"/>
          <w:szCs w:val="20"/>
          <w:color w:val="auto"/>
        </w:rPr>
      </w:pPr>
      <w:r>
        <w:rPr>
          <w:rFonts w:ascii="Arial" w:cs="Arial" w:eastAsia="Arial" w:hAnsi="Arial"/>
          <w:sz w:val="18"/>
          <w:szCs w:val="18"/>
          <w:b w:val="1"/>
          <w:bCs w:val="1"/>
          <w:color w:val="auto"/>
        </w:rPr>
        <w:t>EXHIBIT 10.1</w:t>
      </w:r>
    </w:p>
    <w:p>
      <w:pPr>
        <w:spacing w:after="0" w:line="27" w:lineRule="exact"/>
        <w:rPr>
          <w:sz w:val="20"/>
          <w:szCs w:val="20"/>
          <w:color w:val="auto"/>
        </w:rPr>
      </w:pPr>
    </w:p>
    <w:p>
      <w:pPr>
        <w:spacing w:after="0"/>
        <w:rPr>
          <w:sz w:val="20"/>
          <w:szCs w:val="20"/>
          <w:color w:val="auto"/>
        </w:rPr>
      </w:pPr>
      <w:r>
        <w:rPr>
          <w:rFonts w:ascii="Arial" w:cs="Arial" w:eastAsia="Arial" w:hAnsi="Arial"/>
          <w:sz w:val="20"/>
          <w:szCs w:val="20"/>
          <w:color w:val="auto"/>
        </w:rPr>
        <w:t>May 8, 2017</w:t>
      </w:r>
    </w:p>
    <w:p>
      <w:pPr>
        <w:spacing w:after="0" w:line="227" w:lineRule="exact"/>
        <w:rPr>
          <w:sz w:val="20"/>
          <w:szCs w:val="20"/>
          <w:color w:val="auto"/>
        </w:rPr>
      </w:pPr>
    </w:p>
    <w:p>
      <w:pPr>
        <w:spacing w:after="0"/>
        <w:rPr>
          <w:sz w:val="20"/>
          <w:szCs w:val="20"/>
          <w:color w:val="auto"/>
        </w:rPr>
      </w:pPr>
      <w:r>
        <w:rPr>
          <w:rFonts w:ascii="Arial" w:cs="Arial" w:eastAsia="Arial" w:hAnsi="Arial"/>
          <w:sz w:val="20"/>
          <w:szCs w:val="20"/>
          <w:color w:val="auto"/>
        </w:rPr>
        <w:t>To:</w:t>
      </w:r>
    </w:p>
    <w:p>
      <w:pPr>
        <w:spacing w:after="0" w:line="15" w:lineRule="exact"/>
        <w:rPr>
          <w:sz w:val="20"/>
          <w:szCs w:val="20"/>
          <w:color w:val="auto"/>
        </w:rPr>
      </w:pPr>
    </w:p>
    <w:p>
      <w:pPr>
        <w:spacing w:after="0"/>
        <w:rPr>
          <w:sz w:val="20"/>
          <w:szCs w:val="20"/>
          <w:color w:val="auto"/>
        </w:rPr>
      </w:pPr>
      <w:r>
        <w:rPr>
          <w:rFonts w:ascii="Arial" w:cs="Arial" w:eastAsia="Arial" w:hAnsi="Arial"/>
          <w:sz w:val="20"/>
          <w:szCs w:val="20"/>
          <w:color w:val="auto"/>
        </w:rPr>
        <w:t>Xenon Pharmaceuticals Inc.</w:t>
      </w:r>
    </w:p>
    <w:p>
      <w:pPr>
        <w:spacing w:after="0"/>
        <w:rPr>
          <w:sz w:val="20"/>
          <w:szCs w:val="20"/>
          <w:color w:val="auto"/>
        </w:rPr>
      </w:pPr>
      <w:r>
        <w:rPr>
          <w:rFonts w:ascii="Arial" w:cs="Arial" w:eastAsia="Arial" w:hAnsi="Arial"/>
          <w:sz w:val="20"/>
          <w:szCs w:val="20"/>
          <w:color w:val="auto"/>
        </w:rPr>
        <w:t>Attention: Simon Pimstone, President and Chief Executive Officer</w:t>
      </w:r>
    </w:p>
    <w:p>
      <w:pPr>
        <w:spacing w:after="0"/>
        <w:rPr>
          <w:sz w:val="20"/>
          <w:szCs w:val="20"/>
          <w:color w:val="auto"/>
        </w:rPr>
      </w:pPr>
      <w:r>
        <w:rPr>
          <w:rFonts w:ascii="Arial" w:cs="Arial" w:eastAsia="Arial" w:hAnsi="Arial"/>
          <w:sz w:val="20"/>
          <w:szCs w:val="20"/>
          <w:color w:val="auto"/>
        </w:rPr>
        <w:t>3650 Gilmore Way</w:t>
      </w:r>
    </w:p>
    <w:p>
      <w:pPr>
        <w:spacing w:after="0"/>
        <w:rPr>
          <w:sz w:val="20"/>
          <w:szCs w:val="20"/>
          <w:color w:val="auto"/>
        </w:rPr>
      </w:pPr>
      <w:r>
        <w:rPr>
          <w:rFonts w:ascii="Arial" w:cs="Arial" w:eastAsia="Arial" w:hAnsi="Arial"/>
          <w:sz w:val="20"/>
          <w:szCs w:val="20"/>
          <w:color w:val="auto"/>
        </w:rPr>
        <w:t>Burnaby, BC</w:t>
      </w:r>
    </w:p>
    <w:p>
      <w:pPr>
        <w:spacing w:after="0"/>
        <w:rPr>
          <w:sz w:val="20"/>
          <w:szCs w:val="20"/>
          <w:color w:val="auto"/>
        </w:rPr>
      </w:pPr>
      <w:r>
        <w:rPr>
          <w:rFonts w:ascii="Arial" w:cs="Arial" w:eastAsia="Arial" w:hAnsi="Arial"/>
          <w:sz w:val="20"/>
          <w:szCs w:val="20"/>
          <w:color w:val="auto"/>
        </w:rPr>
        <w:t>V5G 4W8</w:t>
      </w:r>
    </w:p>
    <w:p>
      <w:pPr>
        <w:spacing w:after="0" w:line="227" w:lineRule="exact"/>
        <w:rPr>
          <w:sz w:val="20"/>
          <w:szCs w:val="20"/>
          <w:color w:val="auto"/>
        </w:rPr>
      </w:pPr>
    </w:p>
    <w:p>
      <w:pPr>
        <w:spacing w:after="0"/>
        <w:rPr>
          <w:sz w:val="20"/>
          <w:szCs w:val="20"/>
          <w:color w:val="auto"/>
        </w:rPr>
      </w:pPr>
      <w:r>
        <w:rPr>
          <w:rFonts w:ascii="Arial" w:cs="Arial" w:eastAsia="Arial" w:hAnsi="Arial"/>
          <w:sz w:val="20"/>
          <w:szCs w:val="20"/>
          <w:color w:val="auto"/>
        </w:rPr>
        <w:t>Xenon Pharmaceuticals Inc.</w:t>
      </w:r>
    </w:p>
    <w:p>
      <w:pPr>
        <w:spacing w:after="0" w:line="15" w:lineRule="exact"/>
        <w:rPr>
          <w:sz w:val="20"/>
          <w:szCs w:val="20"/>
          <w:color w:val="auto"/>
        </w:rPr>
      </w:pPr>
    </w:p>
    <w:p>
      <w:pPr>
        <w:spacing w:after="0"/>
        <w:rPr>
          <w:sz w:val="20"/>
          <w:szCs w:val="20"/>
          <w:color w:val="auto"/>
        </w:rPr>
      </w:pPr>
      <w:r>
        <w:rPr>
          <w:rFonts w:ascii="Arial" w:cs="Arial" w:eastAsia="Arial" w:hAnsi="Arial"/>
          <w:sz w:val="20"/>
          <w:szCs w:val="20"/>
          <w:color w:val="auto"/>
        </w:rPr>
        <w:t>Attention: General Counsel and Corporate Secretary</w:t>
      </w:r>
    </w:p>
    <w:p>
      <w:pPr>
        <w:spacing w:after="0"/>
        <w:rPr>
          <w:sz w:val="20"/>
          <w:szCs w:val="20"/>
          <w:color w:val="auto"/>
        </w:rPr>
      </w:pPr>
      <w:r>
        <w:rPr>
          <w:rFonts w:ascii="Arial" w:cs="Arial" w:eastAsia="Arial" w:hAnsi="Arial"/>
          <w:sz w:val="20"/>
          <w:szCs w:val="20"/>
          <w:color w:val="auto"/>
        </w:rPr>
        <w:t>3650 Gilmore Way</w:t>
      </w:r>
    </w:p>
    <w:p>
      <w:pPr>
        <w:spacing w:after="0"/>
        <w:rPr>
          <w:sz w:val="20"/>
          <w:szCs w:val="20"/>
          <w:color w:val="auto"/>
        </w:rPr>
      </w:pPr>
      <w:r>
        <w:rPr>
          <w:rFonts w:ascii="Arial" w:cs="Arial" w:eastAsia="Arial" w:hAnsi="Arial"/>
          <w:sz w:val="20"/>
          <w:szCs w:val="20"/>
          <w:color w:val="auto"/>
        </w:rPr>
        <w:t>Burnaby, BC</w:t>
      </w:r>
    </w:p>
    <w:p>
      <w:pPr>
        <w:spacing w:after="0"/>
        <w:rPr>
          <w:sz w:val="20"/>
          <w:szCs w:val="20"/>
          <w:color w:val="auto"/>
        </w:rPr>
      </w:pPr>
      <w:r>
        <w:rPr>
          <w:rFonts w:ascii="Arial" w:cs="Arial" w:eastAsia="Arial" w:hAnsi="Arial"/>
          <w:sz w:val="20"/>
          <w:szCs w:val="20"/>
          <w:color w:val="auto"/>
        </w:rPr>
        <w:t>V5G 4W8</w:t>
      </w:r>
    </w:p>
    <w:p>
      <w:pPr>
        <w:spacing w:after="0" w:line="200" w:lineRule="exact"/>
        <w:rPr>
          <w:sz w:val="20"/>
          <w:szCs w:val="20"/>
          <w:color w:val="auto"/>
        </w:rPr>
      </w:pPr>
    </w:p>
    <w:p>
      <w:pPr>
        <w:spacing w:after="0" w:line="264" w:lineRule="exact"/>
        <w:rPr>
          <w:sz w:val="20"/>
          <w:szCs w:val="20"/>
          <w:color w:val="auto"/>
        </w:rPr>
      </w:pPr>
    </w:p>
    <w:p>
      <w:pPr>
        <w:spacing w:after="0" w:line="253" w:lineRule="auto"/>
        <w:rPr>
          <w:sz w:val="20"/>
          <w:szCs w:val="20"/>
          <w:color w:val="auto"/>
        </w:rPr>
      </w:pPr>
      <w:r>
        <w:rPr>
          <w:rFonts w:ascii="Arial" w:cs="Arial" w:eastAsia="Arial" w:hAnsi="Arial"/>
          <w:sz w:val="20"/>
          <w:szCs w:val="20"/>
          <w:color w:val="auto"/>
        </w:rPr>
        <w:t>Re: Collaborative Research and License Agreement between Xenon Pharmaceuticals Inc. (“</w:t>
      </w:r>
      <w:r>
        <w:rPr>
          <w:rFonts w:ascii="Arial" w:cs="Arial" w:eastAsia="Arial" w:hAnsi="Arial"/>
          <w:sz w:val="20"/>
          <w:szCs w:val="20"/>
          <w:b w:val="1"/>
          <w:bCs w:val="1"/>
          <w:color w:val="auto"/>
        </w:rPr>
        <w:t>Xenon</w:t>
      </w:r>
      <w:r>
        <w:rPr>
          <w:rFonts w:ascii="Arial" w:cs="Arial" w:eastAsia="Arial" w:hAnsi="Arial"/>
          <w:sz w:val="20"/>
          <w:szCs w:val="20"/>
          <w:color w:val="auto"/>
        </w:rPr>
        <w:t>”) and Genentech, Inc. (“</w:t>
      </w:r>
      <w:r>
        <w:rPr>
          <w:rFonts w:ascii="Arial" w:cs="Arial" w:eastAsia="Arial" w:hAnsi="Arial"/>
          <w:sz w:val="20"/>
          <w:szCs w:val="20"/>
          <w:b w:val="1"/>
          <w:bCs w:val="1"/>
          <w:color w:val="auto"/>
        </w:rPr>
        <w:t>GNE</w:t>
      </w:r>
      <w:r>
        <w:rPr>
          <w:rFonts w:ascii="Arial" w:cs="Arial" w:eastAsia="Arial" w:hAnsi="Arial"/>
          <w:sz w:val="20"/>
          <w:szCs w:val="20"/>
          <w:color w:val="auto"/>
        </w:rPr>
        <w:t>”) together with F. Hoffmann-La-Roche Ltd (“</w:t>
      </w:r>
      <w:r>
        <w:rPr>
          <w:rFonts w:ascii="Arial" w:cs="Arial" w:eastAsia="Arial" w:hAnsi="Arial"/>
          <w:sz w:val="20"/>
          <w:szCs w:val="20"/>
          <w:b w:val="1"/>
          <w:bCs w:val="1"/>
          <w:color w:val="auto"/>
        </w:rPr>
        <w:t>Roche</w:t>
      </w:r>
      <w:r>
        <w:rPr>
          <w:rFonts w:ascii="Arial" w:cs="Arial" w:eastAsia="Arial" w:hAnsi="Arial"/>
          <w:sz w:val="20"/>
          <w:szCs w:val="20"/>
          <w:color w:val="auto"/>
        </w:rPr>
        <w:t>”) (GNE and Roche, collectively, “</w:t>
      </w:r>
      <w:r>
        <w:rPr>
          <w:rFonts w:ascii="Arial" w:cs="Arial" w:eastAsia="Arial" w:hAnsi="Arial"/>
          <w:sz w:val="20"/>
          <w:szCs w:val="20"/>
          <w:b w:val="1"/>
          <w:bCs w:val="1"/>
          <w:color w:val="auto"/>
        </w:rPr>
        <w:t>Genentech</w:t>
      </w:r>
      <w:r>
        <w:rPr>
          <w:rFonts w:ascii="Arial" w:cs="Arial" w:eastAsia="Arial" w:hAnsi="Arial"/>
          <w:sz w:val="20"/>
          <w:szCs w:val="20"/>
          <w:color w:val="auto"/>
        </w:rPr>
        <w:t>”), made as of December 22, 2011, as amended (the “</w:t>
      </w:r>
      <w:r>
        <w:rPr>
          <w:rFonts w:ascii="Arial" w:cs="Arial" w:eastAsia="Arial" w:hAnsi="Arial"/>
          <w:sz w:val="20"/>
          <w:szCs w:val="20"/>
          <w:b w:val="1"/>
          <w:bCs w:val="1"/>
          <w:color w:val="auto"/>
        </w:rPr>
        <w:t>Agreement</w:t>
      </w:r>
      <w:r>
        <w:rPr>
          <w:rFonts w:ascii="Arial" w:cs="Arial" w:eastAsia="Arial" w:hAnsi="Arial"/>
          <w:sz w:val="20"/>
          <w:szCs w:val="20"/>
          <w:color w:val="auto"/>
        </w:rPr>
        <w:t>”)</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20"/>
          <w:szCs w:val="20"/>
          <w:color w:val="auto"/>
        </w:rPr>
        <w:t>Dear Simon,</w:t>
      </w:r>
    </w:p>
    <w:p>
      <w:pPr>
        <w:spacing w:after="0" w:line="243" w:lineRule="exact"/>
        <w:rPr>
          <w:sz w:val="20"/>
          <w:szCs w:val="20"/>
          <w:color w:val="auto"/>
        </w:rPr>
      </w:pPr>
    </w:p>
    <w:p>
      <w:pPr>
        <w:ind w:right="480"/>
        <w:spacing w:after="0" w:line="260" w:lineRule="auto"/>
        <w:rPr>
          <w:sz w:val="20"/>
          <w:szCs w:val="20"/>
          <w:color w:val="auto"/>
        </w:rPr>
      </w:pPr>
      <w:r>
        <w:rPr>
          <w:rFonts w:ascii="Arial" w:cs="Arial" w:eastAsia="Arial" w:hAnsi="Arial"/>
          <w:sz w:val="20"/>
          <w:szCs w:val="20"/>
          <w:color w:val="auto"/>
        </w:rPr>
        <w:t>Further to our recent discussions and in accordance with Section 16.14 of the Agreement, and in consideration of the premises and mutual covenants contained herein, Xenon and Genentech agree as follows:</w:t>
      </w:r>
    </w:p>
    <w:p>
      <w:pPr>
        <w:spacing w:after="0" w:line="198" w:lineRule="exact"/>
        <w:rPr>
          <w:sz w:val="20"/>
          <w:szCs w:val="20"/>
          <w:color w:val="auto"/>
        </w:rPr>
      </w:pPr>
    </w:p>
    <w:p>
      <w:pPr>
        <w:ind w:left="920" w:right="320" w:hanging="912"/>
        <w:spacing w:after="0" w:line="293" w:lineRule="auto"/>
        <w:tabs>
          <w:tab w:leader="none" w:pos="920" w:val="left"/>
        </w:tabs>
        <w:numPr>
          <w:ilvl w:val="0"/>
          <w:numId w:val="51"/>
        </w:numPr>
        <w:rPr>
          <w:rFonts w:ascii="Arial" w:cs="Arial" w:eastAsia="Arial" w:hAnsi="Arial"/>
          <w:sz w:val="19"/>
          <w:szCs w:val="19"/>
          <w:color w:val="auto"/>
        </w:rPr>
      </w:pPr>
      <w:r>
        <w:rPr>
          <w:rFonts w:ascii="Arial" w:cs="Arial" w:eastAsia="Arial" w:hAnsi="Arial"/>
          <w:sz w:val="19"/>
          <w:szCs w:val="19"/>
          <w:color w:val="auto"/>
        </w:rPr>
        <w:t>This letter agreement (the “</w:t>
      </w:r>
      <w:r>
        <w:rPr>
          <w:rFonts w:ascii="Arial" w:cs="Arial" w:eastAsia="Arial" w:hAnsi="Arial"/>
          <w:sz w:val="19"/>
          <w:szCs w:val="19"/>
          <w:b w:val="1"/>
          <w:bCs w:val="1"/>
          <w:color w:val="auto"/>
        </w:rPr>
        <w:t>Letter Agreement</w:t>
      </w:r>
      <w:r>
        <w:rPr>
          <w:rFonts w:ascii="Arial" w:cs="Arial" w:eastAsia="Arial" w:hAnsi="Arial"/>
          <w:sz w:val="19"/>
          <w:szCs w:val="19"/>
          <w:color w:val="auto"/>
        </w:rPr>
        <w:t>”) shall clarify and amend certain provisions of Agreement and specifically makes reference to the Letter Amendment #4 to the Agreement, dated May 13, 2015 (the “</w:t>
      </w:r>
      <w:r>
        <w:rPr>
          <w:rFonts w:ascii="Arial" w:cs="Arial" w:eastAsia="Arial" w:hAnsi="Arial"/>
          <w:sz w:val="19"/>
          <w:szCs w:val="19"/>
          <w:b w:val="1"/>
          <w:bCs w:val="1"/>
          <w:color w:val="auto"/>
        </w:rPr>
        <w:t>Amendment #4</w:t>
      </w:r>
      <w:r>
        <w:rPr>
          <w:rFonts w:ascii="Arial" w:cs="Arial" w:eastAsia="Arial" w:hAnsi="Arial"/>
          <w:sz w:val="19"/>
          <w:szCs w:val="19"/>
          <w:color w:val="auto"/>
        </w:rPr>
        <w:t>”).</w:t>
      </w:r>
    </w:p>
    <w:p>
      <w:pPr>
        <w:spacing w:after="0" w:line="168" w:lineRule="exact"/>
        <w:rPr>
          <w:rFonts w:ascii="Arial" w:cs="Arial" w:eastAsia="Arial" w:hAnsi="Arial"/>
          <w:sz w:val="19"/>
          <w:szCs w:val="19"/>
          <w:color w:val="auto"/>
        </w:rPr>
      </w:pPr>
    </w:p>
    <w:p>
      <w:pPr>
        <w:ind w:left="920" w:right="180" w:hanging="912"/>
        <w:spacing w:after="0" w:line="267" w:lineRule="auto"/>
        <w:tabs>
          <w:tab w:leader="none" w:pos="920" w:val="left"/>
        </w:tabs>
        <w:numPr>
          <w:ilvl w:val="0"/>
          <w:numId w:val="51"/>
        </w:numPr>
        <w:rPr>
          <w:rFonts w:ascii="Arial" w:cs="Arial" w:eastAsia="Arial" w:hAnsi="Arial"/>
          <w:sz w:val="20"/>
          <w:szCs w:val="20"/>
          <w:color w:val="auto"/>
        </w:rPr>
      </w:pPr>
      <w:r>
        <w:rPr>
          <w:rFonts w:ascii="Arial" w:cs="Arial" w:eastAsia="Arial" w:hAnsi="Arial"/>
          <w:sz w:val="20"/>
          <w:szCs w:val="20"/>
          <w:b w:val="1"/>
          <w:bCs w:val="1"/>
          <w:color w:val="auto"/>
        </w:rPr>
        <w:t>Definitions</w:t>
      </w:r>
      <w:r>
        <w:rPr>
          <w:rFonts w:ascii="Arial" w:cs="Arial" w:eastAsia="Arial" w:hAnsi="Arial"/>
          <w:sz w:val="20"/>
          <w:szCs w:val="20"/>
          <w:color w:val="auto"/>
        </w:rPr>
        <w:t>. Except as specifically defined herein, capitalized terms used in this Letter Agreement shall have the same meaning as</w:t>
      </w:r>
      <w:r>
        <w:rPr>
          <w:rFonts w:ascii="Arial" w:cs="Arial" w:eastAsia="Arial" w:hAnsi="Arial"/>
          <w:sz w:val="20"/>
          <w:szCs w:val="20"/>
          <w:b w:val="1"/>
          <w:bCs w:val="1"/>
          <w:color w:val="auto"/>
        </w:rPr>
        <w:t xml:space="preserve"> </w:t>
      </w:r>
      <w:r>
        <w:rPr>
          <w:rFonts w:ascii="Arial" w:cs="Arial" w:eastAsia="Arial" w:hAnsi="Arial"/>
          <w:sz w:val="20"/>
          <w:szCs w:val="20"/>
          <w:color w:val="auto"/>
        </w:rPr>
        <w:t>ascribed to such terms in the Agreement.</w:t>
      </w:r>
    </w:p>
    <w:p>
      <w:pPr>
        <w:spacing w:after="0" w:line="190" w:lineRule="exact"/>
        <w:rPr>
          <w:rFonts w:ascii="Arial" w:cs="Arial" w:eastAsia="Arial" w:hAnsi="Arial"/>
          <w:sz w:val="20"/>
          <w:szCs w:val="20"/>
          <w:color w:val="auto"/>
        </w:rPr>
      </w:pPr>
    </w:p>
    <w:p>
      <w:pPr>
        <w:ind w:left="920" w:right="360" w:hanging="912"/>
        <w:spacing w:after="0" w:line="267" w:lineRule="auto"/>
        <w:tabs>
          <w:tab w:leader="none" w:pos="920" w:val="left"/>
        </w:tabs>
        <w:numPr>
          <w:ilvl w:val="0"/>
          <w:numId w:val="51"/>
        </w:numPr>
        <w:rPr>
          <w:rFonts w:ascii="Arial" w:cs="Arial" w:eastAsia="Arial" w:hAnsi="Arial"/>
          <w:sz w:val="20"/>
          <w:szCs w:val="20"/>
          <w:color w:val="auto"/>
        </w:rPr>
      </w:pPr>
      <w:r>
        <w:rPr>
          <w:rFonts w:ascii="Arial" w:cs="Arial" w:eastAsia="Arial" w:hAnsi="Arial"/>
          <w:sz w:val="20"/>
          <w:szCs w:val="20"/>
          <w:b w:val="1"/>
          <w:bCs w:val="1"/>
          <w:color w:val="auto"/>
        </w:rPr>
        <w:t>Patent Filing and Prosecution regarding NaV1.6 Research Program</w:t>
      </w:r>
      <w:r>
        <w:rPr>
          <w:rFonts w:ascii="Arial" w:cs="Arial" w:eastAsia="Arial" w:hAnsi="Arial"/>
          <w:sz w:val="20"/>
          <w:szCs w:val="20"/>
          <w:color w:val="auto"/>
        </w:rPr>
        <w:t>. Section 9 of the Amendment #4 shall be replaced in its</w:t>
      </w:r>
      <w:r>
        <w:rPr>
          <w:rFonts w:ascii="Arial" w:cs="Arial" w:eastAsia="Arial" w:hAnsi="Arial"/>
          <w:sz w:val="20"/>
          <w:szCs w:val="20"/>
          <w:b w:val="1"/>
          <w:bCs w:val="1"/>
          <w:color w:val="auto"/>
        </w:rPr>
        <w:t xml:space="preserve"> </w:t>
      </w:r>
      <w:r>
        <w:rPr>
          <w:rFonts w:ascii="Arial" w:cs="Arial" w:eastAsia="Arial" w:hAnsi="Arial"/>
          <w:sz w:val="20"/>
          <w:szCs w:val="20"/>
          <w:color w:val="auto"/>
        </w:rPr>
        <w:t>entirety by the following new Section 9:</w:t>
      </w:r>
    </w:p>
    <w:p>
      <w:pPr>
        <w:spacing w:after="0" w:line="196" w:lineRule="exact"/>
        <w:rPr>
          <w:rFonts w:ascii="Arial" w:cs="Arial" w:eastAsia="Arial" w:hAnsi="Arial"/>
          <w:sz w:val="20"/>
          <w:szCs w:val="20"/>
          <w:color w:val="auto"/>
        </w:rPr>
      </w:pPr>
    </w:p>
    <w:p>
      <w:pPr>
        <w:ind w:left="920"/>
        <w:spacing w:after="0"/>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9.</w:t>
      </w:r>
      <w:r>
        <w:rPr>
          <w:rFonts w:ascii="Arial" w:cs="Arial" w:eastAsia="Arial" w:hAnsi="Arial"/>
          <w:sz w:val="18"/>
          <w:szCs w:val="18"/>
          <w:b w:val="1"/>
          <w:bCs w:val="1"/>
          <w:i w:val="1"/>
          <w:iCs w:val="1"/>
          <w:color w:val="auto"/>
        </w:rPr>
        <w:t>PATENT FILING AND PROSECUTION</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NaV1.6 Research Program</w:t>
      </w:r>
      <w:r>
        <w:rPr>
          <w:rFonts w:ascii="Arial" w:cs="Arial" w:eastAsia="Arial" w:hAnsi="Arial"/>
          <w:sz w:val="18"/>
          <w:szCs w:val="18"/>
          <w:i w:val="1"/>
          <w:iCs w:val="1"/>
          <w:color w:val="auto"/>
        </w:rPr>
        <w:t>.</w:t>
      </w:r>
    </w:p>
    <w:p>
      <w:pPr>
        <w:spacing w:after="0" w:line="242" w:lineRule="exact"/>
        <w:rPr>
          <w:rFonts w:ascii="Arial" w:cs="Arial" w:eastAsia="Arial" w:hAnsi="Arial"/>
          <w:sz w:val="20"/>
          <w:szCs w:val="20"/>
          <w:color w:val="auto"/>
        </w:rPr>
      </w:pPr>
    </w:p>
    <w:p>
      <w:pPr>
        <w:ind w:left="1360" w:right="80" w:hanging="447"/>
        <w:spacing w:after="0" w:line="243" w:lineRule="auto"/>
        <w:tabs>
          <w:tab w:leader="none" w:pos="1360" w:val="left"/>
        </w:tabs>
        <w:numPr>
          <w:ilvl w:val="1"/>
          <w:numId w:val="51"/>
        </w:numPr>
        <w:rPr>
          <w:rFonts w:ascii="Arial" w:cs="Arial" w:eastAsia="Arial" w:hAnsi="Arial"/>
          <w:sz w:val="20"/>
          <w:szCs w:val="20"/>
          <w:i w:val="1"/>
          <w:iCs w:val="1"/>
          <w:color w:val="auto"/>
        </w:rPr>
      </w:pPr>
      <w:r>
        <w:rPr>
          <w:rFonts w:ascii="Arial" w:cs="Arial" w:eastAsia="Arial" w:hAnsi="Arial"/>
          <w:sz w:val="20"/>
          <w:szCs w:val="20"/>
          <w:i w:val="1"/>
          <w:iCs w:val="1"/>
          <w:color w:val="auto"/>
        </w:rPr>
        <w:t>Should Xenon wish to file a patent application for NaV1.6 IP ("</w:t>
      </w:r>
      <w:r>
        <w:rPr>
          <w:rFonts w:ascii="Arial" w:cs="Arial" w:eastAsia="Arial" w:hAnsi="Arial"/>
          <w:sz w:val="20"/>
          <w:szCs w:val="20"/>
          <w:b w:val="1"/>
          <w:bCs w:val="1"/>
          <w:i w:val="1"/>
          <w:iCs w:val="1"/>
          <w:color w:val="auto"/>
        </w:rPr>
        <w:t>NaV1.6 Patent Filing</w:t>
      </w:r>
      <w:r>
        <w:rPr>
          <w:rFonts w:ascii="Arial" w:cs="Arial" w:eastAsia="Arial" w:hAnsi="Arial"/>
          <w:sz w:val="20"/>
          <w:szCs w:val="20"/>
          <w:i w:val="1"/>
          <w:iCs w:val="1"/>
          <w:color w:val="auto"/>
        </w:rPr>
        <w:t>") Xenon shall inform in writing to an individual designated in writing by Genentech (e.g., Genentech's outside counsel) of its intention to file such application and in confidence shall specify with particularity the subject matter of the application, including for composition of matter applications directed to new small molecule compounds [†] disclosed in the application. Xenon shall provide Genentech with a complete copy of the specification and claims of the NaV1.6 Patent Filing it intends to file in order to facilitate the review process (“</w:t>
      </w:r>
      <w:r>
        <w:rPr>
          <w:rFonts w:ascii="Arial" w:cs="Arial" w:eastAsia="Arial" w:hAnsi="Arial"/>
          <w:sz w:val="20"/>
          <w:szCs w:val="20"/>
          <w:b w:val="1"/>
          <w:bCs w:val="1"/>
          <w:i w:val="1"/>
          <w:iCs w:val="1"/>
          <w:color w:val="auto"/>
        </w:rPr>
        <w:t>Final Draft NaV1.6 Patent Filing</w:t>
      </w:r>
      <w:r>
        <w:rPr>
          <w:rFonts w:ascii="Arial" w:cs="Arial" w:eastAsia="Arial" w:hAnsi="Arial"/>
          <w:sz w:val="20"/>
          <w:szCs w:val="20"/>
          <w:i w:val="1"/>
          <w:iCs w:val="1"/>
          <w:color w:val="auto"/>
        </w:rPr>
        <w:t>”).</w:t>
      </w:r>
    </w:p>
    <w:p>
      <w:pPr>
        <w:spacing w:after="0" w:line="223" w:lineRule="exact"/>
        <w:rPr>
          <w:rFonts w:ascii="Arial" w:cs="Arial" w:eastAsia="Arial" w:hAnsi="Arial"/>
          <w:sz w:val="20"/>
          <w:szCs w:val="20"/>
          <w:i w:val="1"/>
          <w:iCs w:val="1"/>
          <w:color w:val="auto"/>
        </w:rPr>
      </w:pPr>
    </w:p>
    <w:p>
      <w:pPr>
        <w:ind w:left="1360" w:right="40" w:hanging="447"/>
        <w:spacing w:after="0" w:line="269" w:lineRule="auto"/>
        <w:tabs>
          <w:tab w:leader="none" w:pos="1360" w:val="left"/>
        </w:tabs>
        <w:numPr>
          <w:ilvl w:val="1"/>
          <w:numId w:val="51"/>
        </w:numPr>
        <w:rPr>
          <w:rFonts w:ascii="Arial" w:cs="Arial" w:eastAsia="Arial" w:hAnsi="Arial"/>
          <w:sz w:val="19"/>
          <w:szCs w:val="19"/>
          <w:i w:val="1"/>
          <w:iCs w:val="1"/>
          <w:color w:val="auto"/>
        </w:rPr>
      </w:pPr>
      <w:r>
        <w:rPr>
          <w:rFonts w:ascii="Arial" w:cs="Arial" w:eastAsia="Arial" w:hAnsi="Arial"/>
          <w:sz w:val="19"/>
          <w:szCs w:val="19"/>
          <w:i w:val="1"/>
          <w:iCs w:val="1"/>
          <w:color w:val="auto"/>
        </w:rPr>
        <w:t>Genentech shall have [†] ([†]) [†] from the receipt of the Final Draft NaV1.6 Patent Filing by such an individual designated by Genentech to inform Xenon's Alliance Manager in writing as to whether Genentech wishes to coordinate with Xenon on the filing of the NaV1.6 Patent Filing with a filing of a patent application related to Compounds.</w:t>
      </w:r>
    </w:p>
    <w:p>
      <w:pPr>
        <w:spacing w:after="0" w:line="200" w:lineRule="exact"/>
        <w:rPr>
          <w:sz w:val="20"/>
          <w:szCs w:val="20"/>
          <w:color w:val="auto"/>
        </w:rPr>
      </w:pPr>
    </w:p>
    <w:p>
      <w:pPr>
        <w:spacing w:after="0" w:line="211" w:lineRule="exact"/>
        <w:rPr>
          <w:sz w:val="20"/>
          <w:szCs w:val="20"/>
          <w:color w:val="auto"/>
        </w:rPr>
      </w:pPr>
    </w:p>
    <w:p>
      <w:pPr>
        <w:ind w:right="40" w:firstLine="8"/>
        <w:spacing w:after="0" w:line="253" w:lineRule="auto"/>
        <w:tabs>
          <w:tab w:leader="none" w:pos="204" w:val="left"/>
        </w:tabs>
        <w:numPr>
          <w:ilvl w:val="0"/>
          <w:numId w:val="52"/>
        </w:numPr>
        <w:rPr>
          <w:rFonts w:ascii="Arial" w:cs="Arial" w:eastAsia="Arial" w:hAnsi="Arial"/>
          <w:sz w:val="14"/>
          <w:szCs w:val="14"/>
          <w:color w:val="auto"/>
        </w:rPr>
      </w:pPr>
      <w:r>
        <w:rPr>
          <w:rFonts w:ascii="Arial" w:cs="Arial" w:eastAsia="Arial" w:hAnsi="Arial"/>
          <w:sz w:val="14"/>
          <w:szCs w:val="14"/>
          <w:color w:val="auto"/>
        </w:rPr>
        <w:t>DESIGNATES PORTIONS OF THIS DOCUMENT THAT HAVE BEEN OMITTED PURSUANT TO A REQUEST FOR CONFIDENTIAL TREATMENT FILED SEPARATELY WITH THE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40640</wp:posOffset>
            </wp:positionV>
            <wp:extent cx="7289165"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61" w:name="page62"/>
    <w:bookmarkEnd w:id="61"/>
    <w:p>
      <w:pPr>
        <w:ind w:left="1352" w:right="180" w:hanging="447"/>
        <w:spacing w:after="0" w:line="274" w:lineRule="auto"/>
        <w:tabs>
          <w:tab w:leader="none" w:pos="1352" w:val="left"/>
        </w:tabs>
        <w:numPr>
          <w:ilvl w:val="1"/>
          <w:numId w:val="53"/>
        </w:numPr>
        <w:rPr>
          <w:rFonts w:ascii="Arial" w:cs="Arial" w:eastAsia="Arial" w:hAnsi="Arial"/>
          <w:sz w:val="18"/>
          <w:szCs w:val="18"/>
          <w:i w:val="1"/>
          <w:iCs w:val="1"/>
          <w:color w:val="auto"/>
        </w:rPr>
      </w:pPr>
      <w:r>
        <w:rPr>
          <w:rFonts w:ascii="Arial" w:cs="Arial" w:eastAsia="Arial" w:hAnsi="Arial"/>
          <w:sz w:val="18"/>
          <w:szCs w:val="18"/>
          <w:i w:val="1"/>
          <w:iCs w:val="1"/>
          <w:color w:val="auto"/>
        </w:rPr>
        <w:t>Upon such notification by Genentech, the Parties shall coordinate and cooperate in good faith to ensure the disclosure and timing of any such NaV1.6 Patent Filing would not adversely affect the validity of claims in (i) any Patent Rights covering Compounds that are being Prosecuted by Genentech and/or (ii) any Patent Rights covering Compounds that Genentech reasonably anticipates Prosecuting following such notification by Genentech (each (i) and (ii) hereinafter referred to as "</w:t>
      </w:r>
      <w:r>
        <w:rPr>
          <w:rFonts w:ascii="Arial" w:cs="Arial" w:eastAsia="Arial" w:hAnsi="Arial"/>
          <w:sz w:val="18"/>
          <w:szCs w:val="18"/>
          <w:b w:val="1"/>
          <w:bCs w:val="1"/>
          <w:i w:val="1"/>
          <w:iCs w:val="1"/>
          <w:color w:val="auto"/>
        </w:rPr>
        <w:t>Genentech Compound Patents</w:t>
      </w:r>
      <w:r>
        <w:rPr>
          <w:rFonts w:ascii="Arial" w:cs="Arial" w:eastAsia="Arial" w:hAnsi="Arial"/>
          <w:sz w:val="18"/>
          <w:szCs w:val="18"/>
          <w:i w:val="1"/>
          <w:iCs w:val="1"/>
          <w:color w:val="auto"/>
        </w:rPr>
        <w:t>"), provided that, such process of coordination and cooperation shall, subject to Section 9.d below, not delay the filing of Xenon's NaV1.6 Patent Filing for a timeframe greater than [†] ([†]) [†] following receipt of Genentech's notification that it wishes to coordinate with Xenon on such filing.</w:t>
      </w:r>
    </w:p>
    <w:p>
      <w:pPr>
        <w:spacing w:after="0" w:line="196" w:lineRule="exact"/>
        <w:rPr>
          <w:rFonts w:ascii="Arial" w:cs="Arial" w:eastAsia="Arial" w:hAnsi="Arial"/>
          <w:sz w:val="18"/>
          <w:szCs w:val="18"/>
          <w:i w:val="1"/>
          <w:iCs w:val="1"/>
          <w:color w:val="auto"/>
        </w:rPr>
      </w:pPr>
    </w:p>
    <w:p>
      <w:pPr>
        <w:ind w:left="1352" w:right="280" w:hanging="447"/>
        <w:spacing w:after="0" w:line="272" w:lineRule="auto"/>
        <w:tabs>
          <w:tab w:leader="none" w:pos="1352" w:val="left"/>
        </w:tabs>
        <w:numPr>
          <w:ilvl w:val="1"/>
          <w:numId w:val="53"/>
        </w:numPr>
        <w:rPr>
          <w:rFonts w:ascii="Arial" w:cs="Arial" w:eastAsia="Arial" w:hAnsi="Arial"/>
          <w:sz w:val="18"/>
          <w:szCs w:val="18"/>
          <w:i w:val="1"/>
          <w:iCs w:val="1"/>
          <w:color w:val="auto"/>
        </w:rPr>
      </w:pPr>
      <w:r>
        <w:rPr>
          <w:rFonts w:ascii="Arial" w:cs="Arial" w:eastAsia="Arial" w:hAnsi="Arial"/>
          <w:sz w:val="18"/>
          <w:szCs w:val="18"/>
          <w:i w:val="1"/>
          <w:iCs w:val="1"/>
          <w:color w:val="auto"/>
        </w:rPr>
        <w:t>If Xenon amends the scope of a Final Draft NaV1.6 Patent Filing at any point subsequent to its provision of the Final Draft NaV1.6 Patent Filing to Genentech, Xenon shall promptly provide Genentech with a complete copy of the amended specification and claims of the revised Final Draft NaV1.6 Patent Filing. Xenon shall not file a NaV1.6 Patent Filing until</w:t>
      </w:r>
    </w:p>
    <w:p>
      <w:pPr>
        <w:spacing w:after="0" w:line="1" w:lineRule="exact"/>
        <w:rPr>
          <w:rFonts w:ascii="Arial" w:cs="Arial" w:eastAsia="Arial" w:hAnsi="Arial"/>
          <w:sz w:val="18"/>
          <w:szCs w:val="18"/>
          <w:i w:val="1"/>
          <w:iCs w:val="1"/>
          <w:color w:val="auto"/>
        </w:rPr>
      </w:pPr>
    </w:p>
    <w:p>
      <w:pPr>
        <w:ind w:left="1752" w:hanging="401"/>
        <w:spacing w:after="0"/>
        <w:tabs>
          <w:tab w:leader="none" w:pos="1752" w:val="left"/>
        </w:tabs>
        <w:numPr>
          <w:ilvl w:val="2"/>
          <w:numId w:val="53"/>
        </w:numPr>
        <w:rPr>
          <w:rFonts w:ascii="Arial" w:cs="Arial" w:eastAsia="Arial" w:hAnsi="Arial"/>
          <w:sz w:val="19"/>
          <w:szCs w:val="19"/>
          <w:i w:val="1"/>
          <w:iCs w:val="1"/>
          <w:color w:val="auto"/>
        </w:rPr>
      </w:pPr>
      <w:r>
        <w:rPr>
          <w:rFonts w:ascii="Arial" w:cs="Arial" w:eastAsia="Arial" w:hAnsi="Arial"/>
          <w:sz w:val="19"/>
          <w:szCs w:val="19"/>
          <w:i w:val="1"/>
          <w:iCs w:val="1"/>
          <w:color w:val="auto"/>
        </w:rPr>
        <w:t>Genentech will make [†] efforts in good faith to timely review and provide consent to Xenon’s NaV1.6 Patent Filing.</w:t>
      </w:r>
    </w:p>
    <w:p>
      <w:pPr>
        <w:spacing w:after="0" w:line="238" w:lineRule="exact"/>
        <w:rPr>
          <w:rFonts w:ascii="Arial" w:cs="Arial" w:eastAsia="Arial" w:hAnsi="Arial"/>
          <w:sz w:val="19"/>
          <w:szCs w:val="19"/>
          <w:i w:val="1"/>
          <w:iCs w:val="1"/>
          <w:color w:val="auto"/>
        </w:rPr>
      </w:pPr>
    </w:p>
    <w:p>
      <w:pPr>
        <w:ind w:left="1352" w:right="160" w:hanging="447"/>
        <w:spacing w:after="0" w:line="272" w:lineRule="auto"/>
        <w:tabs>
          <w:tab w:leader="none" w:pos="1352" w:val="left"/>
        </w:tabs>
        <w:numPr>
          <w:ilvl w:val="1"/>
          <w:numId w:val="53"/>
        </w:numPr>
        <w:rPr>
          <w:rFonts w:ascii="Arial" w:cs="Arial" w:eastAsia="Arial" w:hAnsi="Arial"/>
          <w:sz w:val="18"/>
          <w:szCs w:val="18"/>
          <w:i w:val="1"/>
          <w:iCs w:val="1"/>
          <w:color w:val="auto"/>
        </w:rPr>
      </w:pPr>
      <w:r>
        <w:rPr>
          <w:rFonts w:ascii="Arial" w:cs="Arial" w:eastAsia="Arial" w:hAnsi="Arial"/>
          <w:sz w:val="18"/>
          <w:szCs w:val="18"/>
          <w:i w:val="1"/>
          <w:iCs w:val="1"/>
          <w:color w:val="auto"/>
        </w:rPr>
        <w:t>Thereafter, during the further Prosecution of NaV1.6 Patent Filings, Xenon shall keep Genentech informed as to the Prosecution of all NaV1.6 Patent Filings such that Genentech has [†] to review and comment upon any documents intended for submission to any patent office. Xenon shall not and shall not permit any Third Party on its behalf to cite or characterize</w:t>
      </w:r>
    </w:p>
    <w:p>
      <w:pPr>
        <w:spacing w:after="0" w:line="1" w:lineRule="exact"/>
        <w:rPr>
          <w:rFonts w:ascii="Arial" w:cs="Arial" w:eastAsia="Arial" w:hAnsi="Arial"/>
          <w:sz w:val="18"/>
          <w:szCs w:val="18"/>
          <w:i w:val="1"/>
          <w:iCs w:val="1"/>
          <w:color w:val="auto"/>
        </w:rPr>
      </w:pPr>
    </w:p>
    <w:p>
      <w:pPr>
        <w:ind w:left="1352"/>
        <w:spacing w:after="0" w:line="254" w:lineRule="auto"/>
        <w:rPr>
          <w:rFonts w:ascii="Arial" w:cs="Arial" w:eastAsia="Arial" w:hAnsi="Arial"/>
          <w:sz w:val="18"/>
          <w:szCs w:val="18"/>
          <w:i w:val="1"/>
          <w:iCs w:val="1"/>
          <w:color w:val="auto"/>
        </w:rPr>
      </w:pPr>
      <w:r>
        <w:rPr>
          <w:rFonts w:ascii="Arial" w:cs="Arial" w:eastAsia="Arial" w:hAnsi="Arial"/>
          <w:sz w:val="19"/>
          <w:szCs w:val="19"/>
          <w:i w:val="1"/>
          <w:iCs w:val="1"/>
          <w:color w:val="auto"/>
        </w:rPr>
        <w:t>(i) Xenon Background Patent Rights, (ii) Genentech Background Patent Rights, (iii) Patent Rights comprised in Collaboration IP, or (iv) Patent Rights covering Compounds developed independently by Genentech, in such Prosecution of NaV1.6 IP Patent Filings without Genentech's prior review, comment, and written permission, provided that such comments by Genentech shall be promptly delivered to Xenon's Alliance Manager, and further provided that such written permission by Genentech will not be withheld or delayed except in circumstances where such citation or characterization would adversely affect the validity of claims of Genentech Compound Patents, in which case the Parties will enter into good faith discussions respecting the NaV1.6 IP Patent Filing(s) at issue, and will devote [†] efforts to finding a [†] compromise that would allow Xenon to continue its Prosecution of such NaV1.6 Patent Filing(s).</w:t>
      </w:r>
      <w:r>
        <w:rPr>
          <w:rFonts w:ascii="Arial" w:cs="Arial" w:eastAsia="Arial" w:hAnsi="Arial"/>
          <w:sz w:val="19"/>
          <w:szCs w:val="19"/>
          <w:color w:val="auto"/>
        </w:rPr>
        <w:t>”</w:t>
      </w:r>
    </w:p>
    <w:p>
      <w:pPr>
        <w:spacing w:after="0" w:line="207" w:lineRule="exact"/>
        <w:rPr>
          <w:rFonts w:ascii="Arial" w:cs="Arial" w:eastAsia="Arial" w:hAnsi="Arial"/>
          <w:sz w:val="18"/>
          <w:szCs w:val="18"/>
          <w:i w:val="1"/>
          <w:iCs w:val="1"/>
          <w:color w:val="auto"/>
        </w:rPr>
      </w:pPr>
    </w:p>
    <w:p>
      <w:pPr>
        <w:ind w:left="912" w:hanging="912"/>
        <w:spacing w:after="0"/>
        <w:tabs>
          <w:tab w:leader="none" w:pos="912" w:val="left"/>
        </w:tabs>
        <w:numPr>
          <w:ilvl w:val="0"/>
          <w:numId w:val="54"/>
        </w:numPr>
        <w:rPr>
          <w:rFonts w:ascii="Arial" w:cs="Arial" w:eastAsia="Arial" w:hAnsi="Arial"/>
          <w:sz w:val="20"/>
          <w:szCs w:val="20"/>
          <w:color w:val="auto"/>
        </w:rPr>
      </w:pPr>
      <w:r>
        <w:rPr>
          <w:rFonts w:ascii="Arial" w:cs="Arial" w:eastAsia="Arial" w:hAnsi="Arial"/>
          <w:sz w:val="20"/>
          <w:szCs w:val="20"/>
          <w:b w:val="1"/>
          <w:bCs w:val="1"/>
          <w:color w:val="auto"/>
        </w:rPr>
        <w:t>General</w:t>
      </w:r>
      <w:r>
        <w:rPr>
          <w:rFonts w:ascii="Arial" w:cs="Arial" w:eastAsia="Arial" w:hAnsi="Arial"/>
          <w:sz w:val="20"/>
          <w:szCs w:val="20"/>
          <w:color w:val="auto"/>
        </w:rPr>
        <w:t>.</w:t>
      </w:r>
    </w:p>
    <w:p>
      <w:pPr>
        <w:spacing w:after="0" w:line="248" w:lineRule="exact"/>
        <w:rPr>
          <w:rFonts w:ascii="Arial" w:cs="Arial" w:eastAsia="Arial" w:hAnsi="Arial"/>
          <w:sz w:val="20"/>
          <w:szCs w:val="20"/>
          <w:color w:val="auto"/>
        </w:rPr>
      </w:pPr>
    </w:p>
    <w:p>
      <w:pPr>
        <w:ind w:left="1812" w:hanging="907"/>
        <w:spacing w:after="0"/>
        <w:tabs>
          <w:tab w:leader="none" w:pos="1812" w:val="left"/>
        </w:tabs>
        <w:numPr>
          <w:ilvl w:val="1"/>
          <w:numId w:val="54"/>
        </w:numPr>
        <w:rPr>
          <w:rFonts w:ascii="Arial" w:cs="Arial" w:eastAsia="Arial" w:hAnsi="Arial"/>
          <w:sz w:val="19"/>
          <w:szCs w:val="19"/>
          <w:color w:val="auto"/>
        </w:rPr>
      </w:pPr>
      <w:r>
        <w:rPr>
          <w:rFonts w:ascii="Arial" w:cs="Arial" w:eastAsia="Arial" w:hAnsi="Arial"/>
          <w:sz w:val="19"/>
          <w:szCs w:val="19"/>
          <w:color w:val="auto"/>
        </w:rPr>
        <w:t>Except as specifically provided above in this Letter Agreement, the Agreement remains in full force and effect.</w:t>
      </w:r>
    </w:p>
    <w:p>
      <w:pPr>
        <w:spacing w:after="0" w:line="254" w:lineRule="exact"/>
        <w:rPr>
          <w:rFonts w:ascii="Arial" w:cs="Arial" w:eastAsia="Arial" w:hAnsi="Arial"/>
          <w:sz w:val="19"/>
          <w:szCs w:val="19"/>
          <w:color w:val="auto"/>
        </w:rPr>
      </w:pPr>
    </w:p>
    <w:p>
      <w:pPr>
        <w:ind w:left="1812" w:right="80" w:hanging="907"/>
        <w:spacing w:after="0" w:line="316" w:lineRule="auto"/>
        <w:tabs>
          <w:tab w:leader="none" w:pos="1812" w:val="left"/>
        </w:tabs>
        <w:numPr>
          <w:ilvl w:val="1"/>
          <w:numId w:val="54"/>
        </w:numPr>
        <w:rPr>
          <w:rFonts w:ascii="Arial" w:cs="Arial" w:eastAsia="Arial" w:hAnsi="Arial"/>
          <w:sz w:val="18"/>
          <w:szCs w:val="18"/>
          <w:color w:val="auto"/>
        </w:rPr>
      </w:pPr>
      <w:r>
        <w:rPr>
          <w:rFonts w:ascii="Arial" w:cs="Arial" w:eastAsia="Arial" w:hAnsi="Arial"/>
          <w:sz w:val="18"/>
          <w:szCs w:val="18"/>
          <w:color w:val="auto"/>
        </w:rPr>
        <w:t>Any rights and obligations of the Parties set out in this Letter Agreement which, from the context hereof, are intended to survive any termination or expiration of the Agreement shall survive any such termination or expiration.</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8" w:right="40" w:firstLine="8"/>
        <w:spacing w:after="0" w:line="253" w:lineRule="auto"/>
        <w:tabs>
          <w:tab w:leader="none" w:pos="196" w:val="left"/>
        </w:tabs>
        <w:numPr>
          <w:ilvl w:val="0"/>
          <w:numId w:val="55"/>
        </w:numPr>
        <w:rPr>
          <w:rFonts w:ascii="Arial" w:cs="Arial" w:eastAsia="Arial" w:hAnsi="Arial"/>
          <w:sz w:val="14"/>
          <w:szCs w:val="14"/>
          <w:color w:val="auto"/>
        </w:rPr>
      </w:pPr>
      <w:r>
        <w:rPr>
          <w:rFonts w:ascii="Arial" w:cs="Arial" w:eastAsia="Arial" w:hAnsi="Arial"/>
          <w:sz w:val="14"/>
          <w:szCs w:val="14"/>
          <w:color w:val="auto"/>
        </w:rPr>
        <w:t>DESIGNATES PORTIONS OF THIS DOCUMENT THAT HAVE BEEN OMITTED PURSUANT TO A REQUEST FOR CONFIDENTIAL TREATMENT FILED SEPARATELY WITH THE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40640</wp:posOffset>
            </wp:positionV>
            <wp:extent cx="7289165"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12"/>
          </w:cols>
          <w:pgMar w:left="248" w:top="352" w:right="239" w:bottom="1440" w:gutter="0" w:footer="0" w:header="0"/>
        </w:sectPr>
      </w:pPr>
    </w:p>
    <w:bookmarkStart w:id="62" w:name="page63"/>
    <w:bookmarkEnd w:id="62"/>
    <w:p>
      <w:pPr>
        <w:ind w:right="680"/>
        <w:spacing w:after="0" w:line="260" w:lineRule="auto"/>
        <w:rPr>
          <w:sz w:val="20"/>
          <w:szCs w:val="20"/>
          <w:color w:val="auto"/>
        </w:rPr>
      </w:pPr>
      <w:r>
        <w:rPr>
          <w:rFonts w:ascii="Arial" w:cs="Arial" w:eastAsia="Arial" w:hAnsi="Arial"/>
          <w:sz w:val="20"/>
          <w:szCs w:val="20"/>
          <w:color w:val="auto"/>
        </w:rPr>
        <w:t>By the signatures below, the Parties have caused this Letter Agreement to be executed by their respective duly authorized officers to be effective as of May 8, 2017.</w:t>
      </w:r>
    </w:p>
    <w:p>
      <w:pPr>
        <w:spacing w:after="0" w:line="19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XENON PHARMACEUTICALS INC.</w:t>
      </w:r>
    </w:p>
    <w:p>
      <w:pPr>
        <w:spacing w:after="0" w:line="200" w:lineRule="exact"/>
        <w:rPr>
          <w:sz w:val="20"/>
          <w:szCs w:val="20"/>
          <w:color w:val="auto"/>
        </w:rPr>
      </w:pP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1280" w:type="dxa"/>
            <w:vAlign w:val="bottom"/>
          </w:tcPr>
          <w:p>
            <w:pPr>
              <w:spacing w:after="0"/>
              <w:rPr>
                <w:sz w:val="20"/>
                <w:szCs w:val="20"/>
                <w:color w:val="auto"/>
              </w:rPr>
            </w:pPr>
            <w:r>
              <w:rPr>
                <w:rFonts w:ascii="Arial" w:cs="Arial" w:eastAsia="Arial" w:hAnsi="Arial"/>
                <w:sz w:val="20"/>
                <w:szCs w:val="20"/>
                <w:color w:val="auto"/>
              </w:rPr>
              <w:t>By:</w:t>
            </w:r>
          </w:p>
        </w:tc>
        <w:tc>
          <w:tcPr>
            <w:tcW w:w="6020" w:type="dxa"/>
            <w:vAlign w:val="bottom"/>
            <w:tcBorders>
              <w:bottom w:val="single" w:sz="8" w:color="auto"/>
            </w:tcBorders>
          </w:tcPr>
          <w:p>
            <w:pPr>
              <w:spacing w:after="0"/>
              <w:rPr>
                <w:sz w:val="20"/>
                <w:szCs w:val="20"/>
                <w:color w:val="auto"/>
              </w:rPr>
            </w:pPr>
            <w:r>
              <w:rPr>
                <w:rFonts w:ascii="Arial" w:cs="Arial" w:eastAsia="Arial" w:hAnsi="Arial"/>
                <w:sz w:val="20"/>
                <w:szCs w:val="20"/>
                <w:i w:val="1"/>
                <w:iCs w:val="1"/>
                <w:color w:val="auto"/>
              </w:rPr>
              <w:t>/s/ Dr. Robin Sherrington</w:t>
            </w:r>
          </w:p>
        </w:tc>
      </w:tr>
      <w:tr>
        <w:trPr>
          <w:trHeight w:val="206"/>
        </w:trPr>
        <w:tc>
          <w:tcPr>
            <w:tcW w:w="1280" w:type="dxa"/>
            <w:vAlign w:val="bottom"/>
          </w:tcPr>
          <w:p>
            <w:pPr>
              <w:spacing w:after="0" w:line="207" w:lineRule="exact"/>
              <w:rPr>
                <w:sz w:val="20"/>
                <w:szCs w:val="20"/>
                <w:color w:val="auto"/>
              </w:rPr>
            </w:pPr>
            <w:r>
              <w:rPr>
                <w:rFonts w:ascii="Arial" w:cs="Arial" w:eastAsia="Arial" w:hAnsi="Arial"/>
                <w:sz w:val="20"/>
                <w:szCs w:val="20"/>
                <w:color w:val="auto"/>
              </w:rPr>
              <w:t>Name:</w:t>
            </w:r>
          </w:p>
        </w:tc>
        <w:tc>
          <w:tcPr>
            <w:tcW w:w="6020" w:type="dxa"/>
            <w:vAlign w:val="bottom"/>
          </w:tcPr>
          <w:p>
            <w:pPr>
              <w:spacing w:after="0" w:line="207" w:lineRule="exact"/>
              <w:rPr>
                <w:sz w:val="20"/>
                <w:szCs w:val="20"/>
                <w:color w:val="auto"/>
              </w:rPr>
            </w:pPr>
            <w:r>
              <w:rPr>
                <w:rFonts w:ascii="Arial" w:cs="Arial" w:eastAsia="Arial" w:hAnsi="Arial"/>
                <w:sz w:val="20"/>
                <w:szCs w:val="20"/>
                <w:color w:val="auto"/>
              </w:rPr>
              <w:t>Dr. Robin Sherrington</w:t>
            </w:r>
          </w:p>
        </w:tc>
      </w:tr>
      <w:tr>
        <w:trPr>
          <w:trHeight w:val="250"/>
        </w:trPr>
        <w:tc>
          <w:tcPr>
            <w:tcW w:w="1280" w:type="dxa"/>
            <w:vAlign w:val="bottom"/>
          </w:tcPr>
          <w:p>
            <w:pPr>
              <w:spacing w:after="0"/>
              <w:rPr>
                <w:sz w:val="20"/>
                <w:szCs w:val="20"/>
                <w:color w:val="auto"/>
              </w:rPr>
            </w:pPr>
            <w:r>
              <w:rPr>
                <w:rFonts w:ascii="Arial" w:cs="Arial" w:eastAsia="Arial" w:hAnsi="Arial"/>
                <w:sz w:val="20"/>
                <w:szCs w:val="20"/>
                <w:color w:val="auto"/>
              </w:rPr>
              <w:t>Title:</w:t>
            </w:r>
          </w:p>
        </w:tc>
        <w:tc>
          <w:tcPr>
            <w:tcW w:w="6020" w:type="dxa"/>
            <w:vAlign w:val="bottom"/>
          </w:tcPr>
          <w:p>
            <w:pPr>
              <w:spacing w:after="0"/>
              <w:rPr>
                <w:sz w:val="20"/>
                <w:szCs w:val="20"/>
                <w:color w:val="auto"/>
              </w:rPr>
            </w:pPr>
            <w:r>
              <w:rPr>
                <w:rFonts w:ascii="Arial" w:cs="Arial" w:eastAsia="Arial" w:hAnsi="Arial"/>
                <w:sz w:val="20"/>
                <w:szCs w:val="20"/>
                <w:color w:val="auto"/>
              </w:rPr>
              <w:t>SVP, Business &amp; Corporate Development</w:t>
            </w:r>
          </w:p>
        </w:tc>
      </w:tr>
    </w:tbl>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GENENTECH, INC.</w:t>
      </w:r>
    </w:p>
    <w:p>
      <w:pPr>
        <w:spacing w:after="0" w:line="200" w:lineRule="exact"/>
        <w:rPr>
          <w:sz w:val="20"/>
          <w:szCs w:val="20"/>
          <w:color w:val="auto"/>
        </w:rPr>
      </w:pP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1280" w:type="dxa"/>
            <w:vAlign w:val="bottom"/>
          </w:tcPr>
          <w:p>
            <w:pPr>
              <w:spacing w:after="0"/>
              <w:rPr>
                <w:sz w:val="20"/>
                <w:szCs w:val="20"/>
                <w:color w:val="auto"/>
              </w:rPr>
            </w:pPr>
            <w:r>
              <w:rPr>
                <w:rFonts w:ascii="Arial" w:cs="Arial" w:eastAsia="Arial" w:hAnsi="Arial"/>
                <w:sz w:val="20"/>
                <w:szCs w:val="20"/>
                <w:color w:val="auto"/>
              </w:rPr>
              <w:t>By:</w:t>
            </w:r>
          </w:p>
        </w:tc>
        <w:tc>
          <w:tcPr>
            <w:tcW w:w="6020" w:type="dxa"/>
            <w:vAlign w:val="bottom"/>
            <w:tcBorders>
              <w:bottom w:val="single" w:sz="8" w:color="auto"/>
            </w:tcBorders>
          </w:tcPr>
          <w:p>
            <w:pPr>
              <w:spacing w:after="0"/>
              <w:rPr>
                <w:sz w:val="20"/>
                <w:szCs w:val="20"/>
                <w:color w:val="auto"/>
              </w:rPr>
            </w:pPr>
            <w:r>
              <w:rPr>
                <w:rFonts w:ascii="Arial" w:cs="Arial" w:eastAsia="Arial" w:hAnsi="Arial"/>
                <w:sz w:val="20"/>
                <w:szCs w:val="20"/>
                <w:i w:val="1"/>
                <w:iCs w:val="1"/>
                <w:color w:val="auto"/>
              </w:rPr>
              <w:t>/s/ James Sabry</w:t>
            </w:r>
          </w:p>
        </w:tc>
      </w:tr>
      <w:tr>
        <w:trPr>
          <w:trHeight w:val="206"/>
        </w:trPr>
        <w:tc>
          <w:tcPr>
            <w:tcW w:w="1280" w:type="dxa"/>
            <w:vAlign w:val="bottom"/>
          </w:tcPr>
          <w:p>
            <w:pPr>
              <w:spacing w:after="0" w:line="207" w:lineRule="exact"/>
              <w:rPr>
                <w:sz w:val="20"/>
                <w:szCs w:val="20"/>
                <w:color w:val="auto"/>
              </w:rPr>
            </w:pPr>
            <w:r>
              <w:rPr>
                <w:rFonts w:ascii="Arial" w:cs="Arial" w:eastAsia="Arial" w:hAnsi="Arial"/>
                <w:sz w:val="20"/>
                <w:szCs w:val="20"/>
                <w:color w:val="auto"/>
              </w:rPr>
              <w:t>Name:</w:t>
            </w:r>
          </w:p>
        </w:tc>
        <w:tc>
          <w:tcPr>
            <w:tcW w:w="6020" w:type="dxa"/>
            <w:vAlign w:val="bottom"/>
          </w:tcPr>
          <w:p>
            <w:pPr>
              <w:spacing w:after="0" w:line="207" w:lineRule="exact"/>
              <w:rPr>
                <w:sz w:val="20"/>
                <w:szCs w:val="20"/>
                <w:color w:val="auto"/>
              </w:rPr>
            </w:pPr>
            <w:r>
              <w:rPr>
                <w:rFonts w:ascii="Arial" w:cs="Arial" w:eastAsia="Arial" w:hAnsi="Arial"/>
                <w:sz w:val="20"/>
                <w:szCs w:val="20"/>
                <w:color w:val="auto"/>
              </w:rPr>
              <w:t>James Sabry</w:t>
            </w:r>
          </w:p>
        </w:tc>
      </w:tr>
      <w:tr>
        <w:trPr>
          <w:trHeight w:val="250"/>
        </w:trPr>
        <w:tc>
          <w:tcPr>
            <w:tcW w:w="1280" w:type="dxa"/>
            <w:vAlign w:val="bottom"/>
          </w:tcPr>
          <w:p>
            <w:pPr>
              <w:spacing w:after="0"/>
              <w:rPr>
                <w:sz w:val="20"/>
                <w:szCs w:val="20"/>
                <w:color w:val="auto"/>
              </w:rPr>
            </w:pPr>
            <w:r>
              <w:rPr>
                <w:rFonts w:ascii="Arial" w:cs="Arial" w:eastAsia="Arial" w:hAnsi="Arial"/>
                <w:sz w:val="20"/>
                <w:szCs w:val="20"/>
                <w:color w:val="auto"/>
              </w:rPr>
              <w:t>Title:</w:t>
            </w:r>
          </w:p>
        </w:tc>
        <w:tc>
          <w:tcPr>
            <w:tcW w:w="6020" w:type="dxa"/>
            <w:vAlign w:val="bottom"/>
          </w:tcPr>
          <w:p>
            <w:pPr>
              <w:spacing w:after="0"/>
              <w:rPr>
                <w:sz w:val="20"/>
                <w:szCs w:val="20"/>
                <w:color w:val="auto"/>
              </w:rPr>
            </w:pPr>
            <w:r>
              <w:rPr>
                <w:rFonts w:ascii="Arial" w:cs="Arial" w:eastAsia="Arial" w:hAnsi="Arial"/>
                <w:sz w:val="20"/>
                <w:szCs w:val="20"/>
                <w:color w:val="auto"/>
              </w:rPr>
              <w:t>SVP, Genentech Partnering</w:t>
            </w:r>
          </w:p>
        </w:tc>
      </w:tr>
    </w:tbl>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 HOFFMANN-LA ROCHE LTD</w:t>
      </w:r>
    </w:p>
    <w:p>
      <w:pPr>
        <w:spacing w:after="0" w:line="200" w:lineRule="exact"/>
        <w:rPr>
          <w:sz w:val="20"/>
          <w:szCs w:val="20"/>
          <w:color w:val="auto"/>
        </w:rPr>
      </w:pP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1280" w:type="dxa"/>
            <w:vAlign w:val="bottom"/>
          </w:tcPr>
          <w:p>
            <w:pPr>
              <w:spacing w:after="0"/>
              <w:rPr>
                <w:sz w:val="20"/>
                <w:szCs w:val="20"/>
                <w:color w:val="auto"/>
              </w:rPr>
            </w:pPr>
            <w:r>
              <w:rPr>
                <w:rFonts w:ascii="Arial" w:cs="Arial" w:eastAsia="Arial" w:hAnsi="Arial"/>
                <w:sz w:val="20"/>
                <w:szCs w:val="20"/>
                <w:color w:val="auto"/>
              </w:rPr>
              <w:t>By:</w:t>
            </w:r>
          </w:p>
        </w:tc>
        <w:tc>
          <w:tcPr>
            <w:tcW w:w="6020" w:type="dxa"/>
            <w:vAlign w:val="bottom"/>
            <w:tcBorders>
              <w:bottom w:val="single" w:sz="8" w:color="auto"/>
            </w:tcBorders>
          </w:tcPr>
          <w:p>
            <w:pPr>
              <w:spacing w:after="0"/>
              <w:rPr>
                <w:sz w:val="20"/>
                <w:szCs w:val="20"/>
                <w:color w:val="auto"/>
              </w:rPr>
            </w:pPr>
            <w:r>
              <w:rPr>
                <w:rFonts w:ascii="Arial" w:cs="Arial" w:eastAsia="Arial" w:hAnsi="Arial"/>
                <w:sz w:val="20"/>
                <w:szCs w:val="20"/>
                <w:i w:val="1"/>
                <w:iCs w:val="1"/>
                <w:color w:val="auto"/>
              </w:rPr>
              <w:t>/s/ Stefan Arnold</w:t>
            </w:r>
          </w:p>
        </w:tc>
      </w:tr>
      <w:tr>
        <w:trPr>
          <w:trHeight w:val="206"/>
        </w:trPr>
        <w:tc>
          <w:tcPr>
            <w:tcW w:w="1280" w:type="dxa"/>
            <w:vAlign w:val="bottom"/>
          </w:tcPr>
          <w:p>
            <w:pPr>
              <w:spacing w:after="0" w:line="207" w:lineRule="exact"/>
              <w:rPr>
                <w:sz w:val="20"/>
                <w:szCs w:val="20"/>
                <w:color w:val="auto"/>
              </w:rPr>
            </w:pPr>
            <w:r>
              <w:rPr>
                <w:rFonts w:ascii="Arial" w:cs="Arial" w:eastAsia="Arial" w:hAnsi="Arial"/>
                <w:sz w:val="20"/>
                <w:szCs w:val="20"/>
                <w:color w:val="auto"/>
              </w:rPr>
              <w:t>Name:</w:t>
            </w:r>
          </w:p>
        </w:tc>
        <w:tc>
          <w:tcPr>
            <w:tcW w:w="6020" w:type="dxa"/>
            <w:vAlign w:val="bottom"/>
          </w:tcPr>
          <w:p>
            <w:pPr>
              <w:spacing w:after="0" w:line="207" w:lineRule="exact"/>
              <w:rPr>
                <w:sz w:val="20"/>
                <w:szCs w:val="20"/>
                <w:color w:val="auto"/>
              </w:rPr>
            </w:pPr>
            <w:r>
              <w:rPr>
                <w:rFonts w:ascii="Arial" w:cs="Arial" w:eastAsia="Arial" w:hAnsi="Arial"/>
                <w:sz w:val="20"/>
                <w:szCs w:val="20"/>
                <w:color w:val="auto"/>
              </w:rPr>
              <w:t>Stefan Arnold</w:t>
            </w:r>
          </w:p>
        </w:tc>
      </w:tr>
      <w:tr>
        <w:trPr>
          <w:trHeight w:val="250"/>
        </w:trPr>
        <w:tc>
          <w:tcPr>
            <w:tcW w:w="1280" w:type="dxa"/>
            <w:vAlign w:val="bottom"/>
          </w:tcPr>
          <w:p>
            <w:pPr>
              <w:spacing w:after="0"/>
              <w:rPr>
                <w:sz w:val="20"/>
                <w:szCs w:val="20"/>
                <w:color w:val="auto"/>
              </w:rPr>
            </w:pPr>
            <w:r>
              <w:rPr>
                <w:rFonts w:ascii="Arial" w:cs="Arial" w:eastAsia="Arial" w:hAnsi="Arial"/>
                <w:sz w:val="20"/>
                <w:szCs w:val="20"/>
                <w:color w:val="auto"/>
              </w:rPr>
              <w:t>Title:</w:t>
            </w:r>
          </w:p>
        </w:tc>
        <w:tc>
          <w:tcPr>
            <w:tcW w:w="6020" w:type="dxa"/>
            <w:vAlign w:val="bottom"/>
          </w:tcPr>
          <w:p>
            <w:pPr>
              <w:spacing w:after="0"/>
              <w:rPr>
                <w:sz w:val="20"/>
                <w:szCs w:val="20"/>
                <w:color w:val="auto"/>
              </w:rPr>
            </w:pPr>
            <w:r>
              <w:rPr>
                <w:rFonts w:ascii="Arial" w:cs="Arial" w:eastAsia="Arial" w:hAnsi="Arial"/>
                <w:sz w:val="20"/>
                <w:szCs w:val="20"/>
                <w:color w:val="auto"/>
              </w:rPr>
              <w:t>Head Legal Pharma</w:t>
            </w:r>
          </w:p>
        </w:tc>
      </w:tr>
      <w:tr>
        <w:trPr>
          <w:trHeight w:val="712"/>
        </w:trPr>
        <w:tc>
          <w:tcPr>
            <w:tcW w:w="1280" w:type="dxa"/>
            <w:vAlign w:val="bottom"/>
          </w:tcPr>
          <w:p>
            <w:pPr>
              <w:spacing w:after="0"/>
              <w:rPr>
                <w:sz w:val="20"/>
                <w:szCs w:val="20"/>
                <w:color w:val="auto"/>
              </w:rPr>
            </w:pPr>
            <w:r>
              <w:rPr>
                <w:rFonts w:ascii="Arial" w:cs="Arial" w:eastAsia="Arial" w:hAnsi="Arial"/>
                <w:sz w:val="20"/>
                <w:szCs w:val="20"/>
                <w:color w:val="auto"/>
              </w:rPr>
              <w:t>By:</w:t>
            </w:r>
          </w:p>
        </w:tc>
        <w:tc>
          <w:tcPr>
            <w:tcW w:w="6020" w:type="dxa"/>
            <w:vAlign w:val="bottom"/>
            <w:tcBorders>
              <w:bottom w:val="single" w:sz="8" w:color="auto"/>
            </w:tcBorders>
          </w:tcPr>
          <w:p>
            <w:pPr>
              <w:spacing w:after="0"/>
              <w:rPr>
                <w:sz w:val="20"/>
                <w:szCs w:val="20"/>
                <w:color w:val="auto"/>
              </w:rPr>
            </w:pPr>
            <w:r>
              <w:rPr>
                <w:rFonts w:ascii="Arial" w:cs="Arial" w:eastAsia="Arial" w:hAnsi="Arial"/>
                <w:sz w:val="20"/>
                <w:szCs w:val="20"/>
                <w:i w:val="1"/>
                <w:iCs w:val="1"/>
                <w:color w:val="auto"/>
              </w:rPr>
              <w:t>/s/ Dr. Urs Schleuniger</w:t>
            </w:r>
          </w:p>
        </w:tc>
      </w:tr>
      <w:tr>
        <w:trPr>
          <w:trHeight w:val="206"/>
        </w:trPr>
        <w:tc>
          <w:tcPr>
            <w:tcW w:w="1280" w:type="dxa"/>
            <w:vAlign w:val="bottom"/>
          </w:tcPr>
          <w:p>
            <w:pPr>
              <w:spacing w:after="0" w:line="207" w:lineRule="exact"/>
              <w:rPr>
                <w:sz w:val="20"/>
                <w:szCs w:val="20"/>
                <w:color w:val="auto"/>
              </w:rPr>
            </w:pPr>
            <w:r>
              <w:rPr>
                <w:rFonts w:ascii="Arial" w:cs="Arial" w:eastAsia="Arial" w:hAnsi="Arial"/>
                <w:sz w:val="20"/>
                <w:szCs w:val="20"/>
                <w:color w:val="auto"/>
              </w:rPr>
              <w:t>Name:</w:t>
            </w:r>
          </w:p>
        </w:tc>
        <w:tc>
          <w:tcPr>
            <w:tcW w:w="6020" w:type="dxa"/>
            <w:vAlign w:val="bottom"/>
          </w:tcPr>
          <w:p>
            <w:pPr>
              <w:spacing w:after="0" w:line="207" w:lineRule="exact"/>
              <w:rPr>
                <w:sz w:val="20"/>
                <w:szCs w:val="20"/>
                <w:color w:val="auto"/>
              </w:rPr>
            </w:pPr>
            <w:r>
              <w:rPr>
                <w:rFonts w:ascii="Arial" w:cs="Arial" w:eastAsia="Arial" w:hAnsi="Arial"/>
                <w:sz w:val="20"/>
                <w:szCs w:val="20"/>
                <w:color w:val="auto"/>
              </w:rPr>
              <w:t>Dr. Urs Schleuniger</w:t>
            </w:r>
          </w:p>
        </w:tc>
      </w:tr>
      <w:tr>
        <w:trPr>
          <w:trHeight w:val="246"/>
        </w:trPr>
        <w:tc>
          <w:tcPr>
            <w:tcW w:w="1280" w:type="dxa"/>
            <w:vAlign w:val="bottom"/>
          </w:tcPr>
          <w:p>
            <w:pPr>
              <w:spacing w:after="0"/>
              <w:rPr>
                <w:sz w:val="20"/>
                <w:szCs w:val="20"/>
                <w:color w:val="auto"/>
              </w:rPr>
            </w:pPr>
            <w:r>
              <w:rPr>
                <w:rFonts w:ascii="Arial" w:cs="Arial" w:eastAsia="Arial" w:hAnsi="Arial"/>
                <w:sz w:val="20"/>
                <w:szCs w:val="20"/>
                <w:color w:val="auto"/>
              </w:rPr>
              <w:t>Title:</w:t>
            </w:r>
          </w:p>
        </w:tc>
        <w:tc>
          <w:tcPr>
            <w:tcW w:w="6020" w:type="dxa"/>
            <w:vAlign w:val="bottom"/>
          </w:tcPr>
          <w:p>
            <w:pPr>
              <w:spacing w:after="0"/>
              <w:rPr>
                <w:sz w:val="20"/>
                <w:szCs w:val="20"/>
                <w:color w:val="auto"/>
              </w:rPr>
            </w:pPr>
            <w:r>
              <w:rPr>
                <w:rFonts w:ascii="Arial" w:cs="Arial" w:eastAsia="Arial" w:hAnsi="Arial"/>
                <w:sz w:val="20"/>
                <w:szCs w:val="20"/>
                <w:color w:val="auto"/>
              </w:rPr>
              <w:t>Head Chugai and Basel Alliance</w:t>
            </w:r>
          </w:p>
        </w:tc>
      </w:tr>
    </w:tbl>
    <w:p>
      <w:pPr>
        <w:ind w:left="1480" w:hanging="202"/>
        <w:spacing w:after="0"/>
        <w:tabs>
          <w:tab w:leader="none" w:pos="1480" w:val="left"/>
        </w:tabs>
        <w:numPr>
          <w:ilvl w:val="1"/>
          <w:numId w:val="56"/>
        </w:numPr>
        <w:rPr>
          <w:rFonts w:ascii="Arial" w:cs="Arial" w:eastAsia="Arial" w:hAnsi="Arial"/>
          <w:sz w:val="20"/>
          <w:szCs w:val="20"/>
          <w:color w:val="auto"/>
        </w:rPr>
      </w:pPr>
      <w:r>
        <w:rPr>
          <w:rFonts w:ascii="Arial" w:cs="Arial" w:eastAsia="Arial" w:hAnsi="Arial"/>
          <w:sz w:val="20"/>
          <w:szCs w:val="20"/>
          <w:color w:val="auto"/>
        </w:rPr>
        <w:t>Asset Management</w:t>
      </w:r>
    </w:p>
    <w:p>
      <w:pPr>
        <w:spacing w:after="0" w:line="200" w:lineRule="exact"/>
        <w:rPr>
          <w:rFonts w:ascii="Arial" w:cs="Arial" w:eastAsia="Arial" w:hAnsi="Arial"/>
          <w:sz w:val="20"/>
          <w:szCs w:val="20"/>
          <w:color w:val="auto"/>
        </w:rPr>
      </w:pPr>
    </w:p>
    <w:p>
      <w:pPr>
        <w:spacing w:after="0" w:line="240" w:lineRule="exact"/>
        <w:rPr>
          <w:rFonts w:ascii="Arial" w:cs="Arial" w:eastAsia="Arial" w:hAnsi="Arial"/>
          <w:sz w:val="20"/>
          <w:szCs w:val="20"/>
          <w:color w:val="auto"/>
        </w:rPr>
      </w:pPr>
    </w:p>
    <w:p>
      <w:pPr>
        <w:ind w:firstLine="8"/>
        <w:spacing w:after="0" w:line="253" w:lineRule="auto"/>
        <w:tabs>
          <w:tab w:leader="none" w:pos="204" w:val="left"/>
        </w:tabs>
        <w:numPr>
          <w:ilvl w:val="0"/>
          <w:numId w:val="56"/>
        </w:numPr>
        <w:rPr>
          <w:rFonts w:ascii="Arial" w:cs="Arial" w:eastAsia="Arial" w:hAnsi="Arial"/>
          <w:sz w:val="14"/>
          <w:szCs w:val="14"/>
          <w:color w:val="auto"/>
        </w:rPr>
      </w:pPr>
      <w:r>
        <w:rPr>
          <w:rFonts w:ascii="Arial" w:cs="Arial" w:eastAsia="Arial" w:hAnsi="Arial"/>
          <w:sz w:val="14"/>
          <w:szCs w:val="14"/>
          <w:color w:val="auto"/>
        </w:rPr>
        <w:t>DESIGNATES PORTIONS OF THIS DOCUMENT THAT HAVE BEEN OMITTED PURSUANT TO A REQUEST FOR CONFIDENTIAL TREATMENT FILED SEPARATELY WITH THE COMMISSION</w:t>
      </w:r>
    </w:p>
    <w:p>
      <w:pPr>
        <w:sectPr>
          <w:pgSz w:w="11900" w:h="16838" w:orient="portrait"/>
          <w:cols w:equalWidth="0" w:num="1">
            <w:col w:w="11380"/>
          </w:cols>
          <w:pgMar w:left="240" w:top="352" w:right="279" w:bottom="1440" w:gutter="0" w:footer="0" w:header="0"/>
        </w:sectPr>
      </w:pPr>
    </w:p>
    <w:bookmarkStart w:id="63" w:name="page64"/>
    <w:bookmarkEnd w:id="63"/>
    <w:p>
      <w:pPr>
        <w:jc w:val="right"/>
        <w:spacing w:after="0"/>
        <w:rPr>
          <w:sz w:val="20"/>
          <w:szCs w:val="20"/>
          <w:color w:val="auto"/>
        </w:rPr>
      </w:pPr>
      <w:r>
        <w:rPr>
          <w:rFonts w:ascii="Arial" w:cs="Arial" w:eastAsia="Arial" w:hAnsi="Arial"/>
          <w:sz w:val="18"/>
          <w:szCs w:val="18"/>
          <w:b w:val="1"/>
          <w:bCs w:val="1"/>
          <w:color w:val="auto"/>
        </w:rPr>
        <w:t>EXHIBIT 10.2</w:t>
      </w:r>
    </w:p>
    <w:p>
      <w:pPr>
        <w:spacing w:after="0" w:line="240" w:lineRule="exact"/>
        <w:rPr>
          <w:sz w:val="20"/>
          <w:szCs w:val="20"/>
          <w:color w:val="auto"/>
        </w:rPr>
      </w:pPr>
    </w:p>
    <w:p>
      <w:pPr>
        <w:jc w:val="right"/>
        <w:spacing w:after="0"/>
        <w:rPr>
          <w:sz w:val="20"/>
          <w:szCs w:val="20"/>
          <w:color w:val="auto"/>
        </w:rPr>
      </w:pPr>
      <w:r>
        <w:rPr>
          <w:rFonts w:ascii="Arial" w:cs="Arial" w:eastAsia="Arial" w:hAnsi="Arial"/>
          <w:sz w:val="20"/>
          <w:szCs w:val="20"/>
          <w:color w:val="auto"/>
        </w:rPr>
        <w:t>EXECUTION VERSION</w:t>
      </w:r>
    </w:p>
    <w:p>
      <w:pPr>
        <w:spacing w:after="0" w:line="54" w:lineRule="exact"/>
        <w:rPr>
          <w:sz w:val="20"/>
          <w:szCs w:val="20"/>
          <w:color w:val="auto"/>
        </w:rPr>
      </w:pPr>
    </w:p>
    <w:p>
      <w:pPr>
        <w:jc w:val="center"/>
        <w:ind w:right="40"/>
        <w:spacing w:after="0"/>
        <w:rPr>
          <w:sz w:val="20"/>
          <w:szCs w:val="20"/>
          <w:color w:val="auto"/>
        </w:rPr>
      </w:pPr>
      <w:r>
        <w:rPr>
          <w:rFonts w:ascii="Arial" w:cs="Arial" w:eastAsia="Arial" w:hAnsi="Arial"/>
          <w:sz w:val="20"/>
          <w:szCs w:val="20"/>
          <w:color w:val="auto"/>
        </w:rPr>
        <w:t>ASSET PURCHASE AGREEMENT</w:t>
      </w:r>
    </w:p>
    <w:p>
      <w:pPr>
        <w:spacing w:after="0" w:line="9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by and among</w:t>
      </w:r>
    </w:p>
    <w:p>
      <w:pPr>
        <w:spacing w:after="0" w:line="243" w:lineRule="exact"/>
        <w:rPr>
          <w:sz w:val="20"/>
          <w:szCs w:val="20"/>
          <w:color w:val="auto"/>
        </w:rPr>
      </w:pPr>
    </w:p>
    <w:p>
      <w:pPr>
        <w:jc w:val="center"/>
        <w:ind w:right="40"/>
        <w:spacing w:after="0"/>
        <w:rPr>
          <w:sz w:val="20"/>
          <w:szCs w:val="20"/>
          <w:color w:val="auto"/>
        </w:rPr>
      </w:pPr>
      <w:r>
        <w:rPr>
          <w:rFonts w:ascii="Arial" w:cs="Arial" w:eastAsia="Arial" w:hAnsi="Arial"/>
          <w:sz w:val="20"/>
          <w:szCs w:val="20"/>
          <w:color w:val="auto"/>
        </w:rPr>
        <w:t>1</w:t>
      </w:r>
      <w:r>
        <w:rPr>
          <w:rFonts w:ascii="Arial" w:cs="Arial" w:eastAsia="Arial" w:hAnsi="Arial"/>
          <w:sz w:val="12"/>
          <w:szCs w:val="12"/>
          <w:color w:val="auto"/>
        </w:rPr>
        <w:t>ST</w:t>
      </w:r>
      <w:r>
        <w:rPr>
          <w:rFonts w:ascii="Arial" w:cs="Arial" w:eastAsia="Arial" w:hAnsi="Arial"/>
          <w:sz w:val="20"/>
          <w:szCs w:val="20"/>
          <w:color w:val="auto"/>
        </w:rPr>
        <w:t xml:space="preserve"> ORDER PHARMACEUTICALS,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 Delaware corporation),</w:t>
      </w:r>
    </w:p>
    <w:p>
      <w:pPr>
        <w:spacing w:after="0" w:line="216" w:lineRule="exact"/>
        <w:rPr>
          <w:sz w:val="20"/>
          <w:szCs w:val="20"/>
          <w:color w:val="auto"/>
        </w:rPr>
      </w:pPr>
    </w:p>
    <w:p>
      <w:pPr>
        <w:ind w:left="5520"/>
        <w:spacing w:after="0"/>
        <w:rPr>
          <w:sz w:val="20"/>
          <w:szCs w:val="20"/>
          <w:color w:val="auto"/>
        </w:rPr>
      </w:pPr>
      <w:r>
        <w:rPr>
          <w:rFonts w:ascii="Arial" w:cs="Arial" w:eastAsia="Arial" w:hAnsi="Arial"/>
          <w:sz w:val="20"/>
          <w:szCs w:val="20"/>
          <w:color w:val="auto"/>
        </w:rPr>
        <w:t>a n d</w:t>
      </w:r>
    </w:p>
    <w:p>
      <w:pPr>
        <w:spacing w:after="0" w:line="202" w:lineRule="exact"/>
        <w:rPr>
          <w:sz w:val="20"/>
          <w:szCs w:val="20"/>
          <w:color w:val="auto"/>
        </w:rPr>
      </w:pPr>
    </w:p>
    <w:p>
      <w:pPr>
        <w:ind w:left="4160"/>
        <w:spacing w:after="0"/>
        <w:rPr>
          <w:sz w:val="20"/>
          <w:szCs w:val="20"/>
          <w:color w:val="auto"/>
        </w:rPr>
      </w:pPr>
      <w:r>
        <w:rPr>
          <w:rFonts w:ascii="Arial" w:cs="Arial" w:eastAsia="Arial" w:hAnsi="Arial"/>
          <w:sz w:val="20"/>
          <w:szCs w:val="20"/>
          <w:color w:val="auto"/>
        </w:rPr>
        <w:t>XENON PHARMACEUTICALS INC.</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 corporation continued under the federal laws of Canada)</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dated as of April 25, 2017</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right="40" w:firstLine="8"/>
        <w:spacing w:after="0" w:line="253" w:lineRule="auto"/>
        <w:tabs>
          <w:tab w:leader="none" w:pos="204" w:val="left"/>
        </w:tabs>
        <w:numPr>
          <w:ilvl w:val="0"/>
          <w:numId w:val="57"/>
        </w:numPr>
        <w:rPr>
          <w:rFonts w:ascii="Arial" w:cs="Arial" w:eastAsia="Arial" w:hAnsi="Arial"/>
          <w:sz w:val="14"/>
          <w:szCs w:val="14"/>
          <w:color w:val="auto"/>
        </w:rPr>
      </w:pPr>
      <w:r>
        <w:rPr>
          <w:rFonts w:ascii="Arial" w:cs="Arial" w:eastAsia="Arial" w:hAnsi="Arial"/>
          <w:sz w:val="14"/>
          <w:szCs w:val="14"/>
          <w:color w:val="auto"/>
        </w:rPr>
        <w:t>DESIGNATES PORTIONS OF THIS DOCUMENT THAT HAVE BEEN OMITTED PURSUANT TO A REQUEST FOR CONFIDENTIAL TREATMENT FILED SEPARATELY WITH THE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40640</wp:posOffset>
            </wp:positionV>
            <wp:extent cx="7289165"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64" w:name="page65"/>
    <w:bookmarkEnd w:id="64"/>
    <w:p>
      <w:pPr>
        <w:jc w:val="right"/>
        <w:spacing w:after="0"/>
        <w:rPr>
          <w:sz w:val="20"/>
          <w:szCs w:val="20"/>
          <w:color w:val="auto"/>
        </w:rPr>
      </w:pPr>
      <w:r>
        <w:rPr>
          <w:rFonts w:ascii="Arial" w:cs="Arial" w:eastAsia="Arial" w:hAnsi="Arial"/>
          <w:sz w:val="20"/>
          <w:szCs w:val="20"/>
          <w:color w:val="auto"/>
        </w:rPr>
        <w:t>EXECUTION VERSION</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20"/>
          <w:szCs w:val="20"/>
          <w:u w:val="single" w:color="auto"/>
          <w:color w:val="auto"/>
        </w:rPr>
        <w:t>ASSET PURCHASE AGREEMENT</w:t>
      </w:r>
    </w:p>
    <w:p>
      <w:pPr>
        <w:spacing w:after="0" w:line="196" w:lineRule="exact"/>
        <w:rPr>
          <w:sz w:val="20"/>
          <w:szCs w:val="20"/>
          <w:color w:val="auto"/>
        </w:rPr>
      </w:pPr>
    </w:p>
    <w:p>
      <w:pPr>
        <w:ind w:right="20" w:firstLine="846"/>
        <w:spacing w:after="0" w:line="253" w:lineRule="auto"/>
        <w:rPr>
          <w:sz w:val="20"/>
          <w:szCs w:val="20"/>
          <w:color w:val="auto"/>
        </w:rPr>
      </w:pPr>
      <w:r>
        <w:rPr>
          <w:rFonts w:ascii="Arial" w:cs="Arial" w:eastAsia="Arial" w:hAnsi="Arial"/>
          <w:sz w:val="20"/>
          <w:szCs w:val="20"/>
          <w:color w:val="auto"/>
        </w:rPr>
        <w:t>THIS ASSET PURCHASE AGREEMENT (“</w:t>
      </w:r>
      <w:r>
        <w:rPr>
          <w:rFonts w:ascii="Arial" w:cs="Arial" w:eastAsia="Arial" w:hAnsi="Arial"/>
          <w:sz w:val="20"/>
          <w:szCs w:val="20"/>
          <w:b w:val="1"/>
          <w:bCs w:val="1"/>
          <w:color w:val="auto"/>
        </w:rPr>
        <w:t>Agreement</w:t>
      </w:r>
      <w:r>
        <w:rPr>
          <w:rFonts w:ascii="Arial" w:cs="Arial" w:eastAsia="Arial" w:hAnsi="Arial"/>
          <w:sz w:val="20"/>
          <w:szCs w:val="20"/>
          <w:color w:val="auto"/>
        </w:rPr>
        <w:t>”) is made as of April 25, 2017 (the “</w:t>
      </w:r>
      <w:r>
        <w:rPr>
          <w:rFonts w:ascii="Arial" w:cs="Arial" w:eastAsia="Arial" w:hAnsi="Arial"/>
          <w:sz w:val="20"/>
          <w:szCs w:val="20"/>
          <w:b w:val="1"/>
          <w:bCs w:val="1"/>
          <w:color w:val="auto"/>
        </w:rPr>
        <w:t>Effective Date</w:t>
      </w:r>
      <w:r>
        <w:rPr>
          <w:rFonts w:ascii="Arial" w:cs="Arial" w:eastAsia="Arial" w:hAnsi="Arial"/>
          <w:sz w:val="20"/>
          <w:szCs w:val="20"/>
          <w:color w:val="auto"/>
        </w:rPr>
        <w:t>”), by and among, 1</w:t>
      </w:r>
      <w:r>
        <w:rPr>
          <w:rFonts w:ascii="Arial" w:cs="Arial" w:eastAsia="Arial" w:hAnsi="Arial"/>
          <w:sz w:val="16"/>
          <w:szCs w:val="16"/>
          <w:color w:val="auto"/>
        </w:rPr>
        <w:t>ST</w:t>
      </w:r>
      <w:r>
        <w:rPr>
          <w:rFonts w:ascii="Arial" w:cs="Arial" w:eastAsia="Arial" w:hAnsi="Arial"/>
          <w:sz w:val="20"/>
          <w:szCs w:val="20"/>
          <w:color w:val="auto"/>
        </w:rPr>
        <w:t xml:space="preserve"> Order Pharmaceuticals, Inc., a Delaware Corporation (“</w:t>
      </w:r>
      <w:r>
        <w:rPr>
          <w:rFonts w:ascii="Arial" w:cs="Arial" w:eastAsia="Arial" w:hAnsi="Arial"/>
          <w:sz w:val="20"/>
          <w:szCs w:val="20"/>
          <w:b w:val="1"/>
          <w:bCs w:val="1"/>
          <w:color w:val="auto"/>
        </w:rPr>
        <w:t>Seller</w:t>
      </w:r>
      <w:r>
        <w:rPr>
          <w:rFonts w:ascii="Arial" w:cs="Arial" w:eastAsia="Arial" w:hAnsi="Arial"/>
          <w:sz w:val="20"/>
          <w:szCs w:val="20"/>
          <w:color w:val="auto"/>
        </w:rPr>
        <w:t>”) and Xenon Pharmaceuticals Inc., a corporation continued under the federal laws of Canada (“</w:t>
      </w:r>
      <w:r>
        <w:rPr>
          <w:rFonts w:ascii="Arial" w:cs="Arial" w:eastAsia="Arial" w:hAnsi="Arial"/>
          <w:sz w:val="20"/>
          <w:szCs w:val="20"/>
          <w:b w:val="1"/>
          <w:bCs w:val="1"/>
          <w:color w:val="auto"/>
        </w:rPr>
        <w:t>Acquiror</w:t>
      </w:r>
      <w:r>
        <w:rPr>
          <w:rFonts w:ascii="Arial" w:cs="Arial" w:eastAsia="Arial" w:hAnsi="Arial"/>
          <w:sz w:val="20"/>
          <w:szCs w:val="20"/>
          <w:color w:val="auto"/>
        </w:rPr>
        <w:t>”).</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20"/>
          <w:szCs w:val="20"/>
          <w:u w:val="single" w:color="auto"/>
          <w:color w:val="auto"/>
        </w:rPr>
        <w:t>RECITALS</w:t>
      </w:r>
      <w:r>
        <w:rPr>
          <w:rFonts w:ascii="Arial" w:cs="Arial" w:eastAsia="Arial" w:hAnsi="Arial"/>
          <w:sz w:val="20"/>
          <w:szCs w:val="20"/>
          <w:color w:val="auto"/>
        </w:rPr>
        <w:t>:</w:t>
      </w:r>
    </w:p>
    <w:p>
      <w:pPr>
        <w:spacing w:after="0" w:line="216" w:lineRule="exact"/>
        <w:rPr>
          <w:sz w:val="20"/>
          <w:szCs w:val="20"/>
          <w:color w:val="auto"/>
        </w:rPr>
      </w:pPr>
    </w:p>
    <w:p>
      <w:pPr>
        <w:ind w:right="60" w:firstLine="854"/>
        <w:spacing w:after="0" w:line="250" w:lineRule="auto"/>
        <w:tabs>
          <w:tab w:leader="none" w:pos="1831" w:val="left"/>
        </w:tabs>
        <w:numPr>
          <w:ilvl w:val="0"/>
          <w:numId w:val="58"/>
        </w:numPr>
        <w:rPr>
          <w:rFonts w:ascii="Arial" w:cs="Arial" w:eastAsia="Arial" w:hAnsi="Arial"/>
          <w:sz w:val="20"/>
          <w:szCs w:val="20"/>
          <w:color w:val="auto"/>
        </w:rPr>
      </w:pPr>
      <w:r>
        <w:rPr>
          <w:rFonts w:ascii="Arial" w:cs="Arial" w:eastAsia="Arial" w:hAnsi="Arial"/>
          <w:sz w:val="20"/>
          <w:szCs w:val="20"/>
          <w:color w:val="auto"/>
        </w:rPr>
        <w:t>WHEREAS, the Seller previously entered into an Asset Purchase Agreement between Seller and Valeant Pharmaceuticals Luxembourg S.a.r.l. (“</w:t>
      </w:r>
      <w:r>
        <w:rPr>
          <w:rFonts w:ascii="Arial" w:cs="Arial" w:eastAsia="Arial" w:hAnsi="Arial"/>
          <w:sz w:val="20"/>
          <w:szCs w:val="20"/>
          <w:b w:val="1"/>
          <w:bCs w:val="1"/>
          <w:color w:val="auto"/>
        </w:rPr>
        <w:t>Valeant</w:t>
      </w:r>
      <w:r>
        <w:rPr>
          <w:rFonts w:ascii="Arial" w:cs="Arial" w:eastAsia="Arial" w:hAnsi="Arial"/>
          <w:sz w:val="20"/>
          <w:szCs w:val="20"/>
          <w:color w:val="auto"/>
        </w:rPr>
        <w:t>”) dated October 30, 2015 (the “</w:t>
      </w:r>
      <w:r>
        <w:rPr>
          <w:rFonts w:ascii="Arial" w:cs="Arial" w:eastAsia="Arial" w:hAnsi="Arial"/>
          <w:sz w:val="20"/>
          <w:szCs w:val="20"/>
          <w:b w:val="1"/>
          <w:bCs w:val="1"/>
          <w:color w:val="auto"/>
        </w:rPr>
        <w:t>Valeant APA</w:t>
      </w:r>
      <w:r>
        <w:rPr>
          <w:rFonts w:ascii="Arial" w:cs="Arial" w:eastAsia="Arial" w:hAnsi="Arial"/>
          <w:sz w:val="20"/>
          <w:szCs w:val="20"/>
          <w:color w:val="auto"/>
        </w:rPr>
        <w:t xml:space="preserve">”, which is attached hereto as </w:t>
      </w:r>
      <w:r>
        <w:rPr>
          <w:rFonts w:ascii="Arial" w:cs="Arial" w:eastAsia="Arial" w:hAnsi="Arial"/>
          <w:sz w:val="20"/>
          <w:szCs w:val="20"/>
          <w:u w:val="single" w:color="auto"/>
          <w:color w:val="auto"/>
        </w:rPr>
        <w:t>Exhibit A</w:t>
      </w:r>
      <w:r>
        <w:rPr>
          <w:rFonts w:ascii="Arial" w:cs="Arial" w:eastAsia="Arial" w:hAnsi="Arial"/>
          <w:sz w:val="20"/>
          <w:szCs w:val="20"/>
          <w:color w:val="auto"/>
        </w:rPr>
        <w:t>) pursuant to which Seller purchased from Valeant the VRX621698 compound and certain related assets;</w:t>
      </w:r>
    </w:p>
    <w:p>
      <w:pPr>
        <w:spacing w:after="0" w:line="186" w:lineRule="exact"/>
        <w:rPr>
          <w:rFonts w:ascii="Arial" w:cs="Arial" w:eastAsia="Arial" w:hAnsi="Arial"/>
          <w:sz w:val="20"/>
          <w:szCs w:val="20"/>
          <w:color w:val="auto"/>
        </w:rPr>
      </w:pPr>
    </w:p>
    <w:p>
      <w:pPr>
        <w:ind w:right="520" w:firstLine="854"/>
        <w:spacing w:after="0" w:line="287" w:lineRule="auto"/>
        <w:tabs>
          <w:tab w:leader="none" w:pos="1820" w:val="left"/>
        </w:tabs>
        <w:numPr>
          <w:ilvl w:val="0"/>
          <w:numId w:val="58"/>
        </w:numPr>
        <w:rPr>
          <w:rFonts w:ascii="Arial" w:cs="Arial" w:eastAsia="Arial" w:hAnsi="Arial"/>
          <w:sz w:val="19"/>
          <w:szCs w:val="19"/>
          <w:color w:val="auto"/>
        </w:rPr>
      </w:pPr>
      <w:r>
        <w:rPr>
          <w:rFonts w:ascii="Arial" w:cs="Arial" w:eastAsia="Arial" w:hAnsi="Arial"/>
          <w:sz w:val="19"/>
          <w:szCs w:val="19"/>
          <w:color w:val="auto"/>
        </w:rPr>
        <w:t>WHEREAS, the Seller previously entered into an Intellectual Property Assignment Agreement between Seller and Valeant dated February 8, 2017, pursuant to which Valeant assigned to Seller additional intellectual property assets;</w:t>
      </w:r>
    </w:p>
    <w:p>
      <w:pPr>
        <w:spacing w:after="0" w:line="146" w:lineRule="exact"/>
        <w:rPr>
          <w:rFonts w:ascii="Arial" w:cs="Arial" w:eastAsia="Arial" w:hAnsi="Arial"/>
          <w:sz w:val="19"/>
          <w:szCs w:val="19"/>
          <w:color w:val="auto"/>
        </w:rPr>
      </w:pPr>
    </w:p>
    <w:p>
      <w:pPr>
        <w:ind w:right="160" w:firstLine="854"/>
        <w:spacing w:after="0" w:line="267" w:lineRule="auto"/>
        <w:tabs>
          <w:tab w:leader="none" w:pos="1820" w:val="left"/>
        </w:tabs>
        <w:numPr>
          <w:ilvl w:val="0"/>
          <w:numId w:val="58"/>
        </w:numPr>
        <w:rPr>
          <w:rFonts w:ascii="Arial" w:cs="Arial" w:eastAsia="Arial" w:hAnsi="Arial"/>
          <w:sz w:val="20"/>
          <w:szCs w:val="20"/>
          <w:color w:val="auto"/>
        </w:rPr>
      </w:pPr>
      <w:r>
        <w:rPr>
          <w:rFonts w:ascii="Arial" w:cs="Arial" w:eastAsia="Arial" w:hAnsi="Arial"/>
          <w:sz w:val="20"/>
          <w:szCs w:val="20"/>
          <w:color w:val="auto"/>
        </w:rPr>
        <w:t>WHEREAS, Seller and Acquiror entered into a certain Option Agreement effective as of March 13, 2017 (the “</w:t>
      </w:r>
      <w:r>
        <w:rPr>
          <w:rFonts w:ascii="Arial" w:cs="Arial" w:eastAsia="Arial" w:hAnsi="Arial"/>
          <w:sz w:val="20"/>
          <w:szCs w:val="20"/>
          <w:b w:val="1"/>
          <w:bCs w:val="1"/>
          <w:color w:val="auto"/>
        </w:rPr>
        <w:t>Option</w:t>
      </w:r>
      <w:r>
        <w:rPr>
          <w:rFonts w:ascii="Arial" w:cs="Arial" w:eastAsia="Arial" w:hAnsi="Arial"/>
          <w:sz w:val="20"/>
          <w:szCs w:val="20"/>
          <w:color w:val="auto"/>
        </w:rPr>
        <w:t xml:space="preserve"> </w:t>
      </w:r>
      <w:r>
        <w:rPr>
          <w:rFonts w:ascii="Arial" w:cs="Arial" w:eastAsia="Arial" w:hAnsi="Arial"/>
          <w:sz w:val="20"/>
          <w:szCs w:val="20"/>
          <w:b w:val="1"/>
          <w:bCs w:val="1"/>
          <w:color w:val="auto"/>
        </w:rPr>
        <w:t>Agreement</w:t>
      </w:r>
      <w:r>
        <w:rPr>
          <w:rFonts w:ascii="Arial" w:cs="Arial" w:eastAsia="Arial" w:hAnsi="Arial"/>
          <w:sz w:val="20"/>
          <w:szCs w:val="20"/>
          <w:color w:val="auto"/>
        </w:rPr>
        <w:t>”), with regard to the 1</w:t>
      </w:r>
      <w:r>
        <w:rPr>
          <w:rFonts w:ascii="Arial" w:cs="Arial" w:eastAsia="Arial" w:hAnsi="Arial"/>
          <w:sz w:val="16"/>
          <w:szCs w:val="16"/>
          <w:color w:val="auto"/>
        </w:rPr>
        <w:t>st</w:t>
      </w:r>
      <w:r>
        <w:rPr>
          <w:rFonts w:ascii="Arial" w:cs="Arial" w:eastAsia="Arial" w:hAnsi="Arial"/>
          <w:sz w:val="20"/>
          <w:szCs w:val="20"/>
          <w:b w:val="1"/>
          <w:bCs w:val="1"/>
          <w:color w:val="auto"/>
        </w:rPr>
        <w:t xml:space="preserve"> </w:t>
      </w:r>
      <w:r>
        <w:rPr>
          <w:rFonts w:ascii="Arial" w:cs="Arial" w:eastAsia="Arial" w:hAnsi="Arial"/>
          <w:sz w:val="20"/>
          <w:szCs w:val="20"/>
          <w:color w:val="auto"/>
        </w:rPr>
        <w:t>Order Technology (as defined in that agreement); and</w:t>
      </w:r>
    </w:p>
    <w:p>
      <w:pPr>
        <w:spacing w:after="0" w:line="169" w:lineRule="exact"/>
        <w:rPr>
          <w:rFonts w:ascii="Arial" w:cs="Arial" w:eastAsia="Arial" w:hAnsi="Arial"/>
          <w:sz w:val="20"/>
          <w:szCs w:val="20"/>
          <w:color w:val="auto"/>
        </w:rPr>
      </w:pPr>
    </w:p>
    <w:p>
      <w:pPr>
        <w:ind w:right="180" w:firstLine="854"/>
        <w:spacing w:after="0" w:line="243" w:lineRule="auto"/>
        <w:tabs>
          <w:tab w:leader="none" w:pos="1834" w:val="left"/>
        </w:tabs>
        <w:numPr>
          <w:ilvl w:val="0"/>
          <w:numId w:val="58"/>
        </w:numPr>
        <w:rPr>
          <w:rFonts w:ascii="Arial" w:cs="Arial" w:eastAsia="Arial" w:hAnsi="Arial"/>
          <w:sz w:val="20"/>
          <w:szCs w:val="20"/>
          <w:color w:val="auto"/>
        </w:rPr>
      </w:pPr>
      <w:r>
        <w:rPr>
          <w:rFonts w:ascii="Arial" w:cs="Arial" w:eastAsia="Arial" w:hAnsi="Arial"/>
          <w:sz w:val="20"/>
          <w:szCs w:val="20"/>
          <w:color w:val="auto"/>
        </w:rPr>
        <w:t>WHEREAS, the Seller desires to sell to Acquiror, and Acquiror desires to purchase from Seller, all of Seller’s right, title and interest in and to all assets purchased by Seller pursuant to the Valeant APA and all Intellectual Property Rights related thereto, including without limitation, all rights with respect to the investigational compound known as 1OP-2198 (previously VRX621698) (the “</w:t>
      </w:r>
      <w:r>
        <w:rPr>
          <w:rFonts w:ascii="Arial" w:cs="Arial" w:eastAsia="Arial" w:hAnsi="Arial"/>
          <w:sz w:val="20"/>
          <w:szCs w:val="20"/>
          <w:b w:val="1"/>
          <w:bCs w:val="1"/>
          <w:color w:val="auto"/>
        </w:rPr>
        <w:t>Compound</w:t>
      </w:r>
      <w:r>
        <w:rPr>
          <w:rFonts w:ascii="Arial" w:cs="Arial" w:eastAsia="Arial" w:hAnsi="Arial"/>
          <w:sz w:val="20"/>
          <w:szCs w:val="20"/>
          <w:color w:val="auto"/>
        </w:rPr>
        <w:t>”), and any variant forms thereof, including as salt, freebase or pro-drug, and all other assets of Seller related thereto, including Compound Regulatory Documentation, reports (including all reports of pre-clinical studies), data and API, upon the terms and subject to the conditions set forth in this Agreement.</w:t>
      </w:r>
    </w:p>
    <w:p>
      <w:pPr>
        <w:spacing w:after="0" w:line="197" w:lineRule="exact"/>
        <w:rPr>
          <w:sz w:val="20"/>
          <w:szCs w:val="20"/>
          <w:color w:val="auto"/>
        </w:rPr>
      </w:pPr>
    </w:p>
    <w:p>
      <w:pPr>
        <w:ind w:right="120" w:firstLine="846"/>
        <w:spacing w:after="0" w:line="250" w:lineRule="auto"/>
        <w:rPr>
          <w:sz w:val="20"/>
          <w:szCs w:val="20"/>
          <w:color w:val="auto"/>
        </w:rPr>
      </w:pPr>
      <w:r>
        <w:rPr>
          <w:rFonts w:ascii="Arial" w:cs="Arial" w:eastAsia="Arial" w:hAnsi="Arial"/>
          <w:sz w:val="20"/>
          <w:szCs w:val="20"/>
          <w:color w:val="auto"/>
        </w:rPr>
        <w:t>NOW, THEREFORE, in consideration of the foregoing premises and the respective representations, warranties, covenants and agreements contained herein, and of other good and valuable consideration, the receipt and sufficiency of which are hereby acknowledged, the parties hereto, intending to be legally bound hereby, agree as follows: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1480" w:type="dxa"/>
            <w:vAlign w:val="bottom"/>
          </w:tcPr>
          <w:p>
            <w:pPr>
              <w:spacing w:after="0"/>
              <w:rPr>
                <w:sz w:val="22"/>
                <w:szCs w:val="22"/>
                <w:color w:val="auto"/>
              </w:rPr>
            </w:pPr>
          </w:p>
        </w:tc>
        <w:tc>
          <w:tcPr>
            <w:tcW w:w="9440" w:type="dxa"/>
            <w:vAlign w:val="bottom"/>
          </w:tcPr>
          <w:p>
            <w:pPr>
              <w:ind w:left="3040"/>
              <w:spacing w:after="0"/>
              <w:rPr>
                <w:sz w:val="20"/>
                <w:szCs w:val="20"/>
                <w:color w:val="auto"/>
              </w:rPr>
            </w:pPr>
            <w:r>
              <w:rPr>
                <w:rFonts w:ascii="Arial" w:cs="Arial" w:eastAsia="Arial" w:hAnsi="Arial"/>
                <w:sz w:val="20"/>
                <w:szCs w:val="20"/>
                <w:b w:val="1"/>
                <w:bCs w:val="1"/>
                <w:color w:val="auto"/>
              </w:rPr>
              <w:t>ARTICLE 1 DEFINITIONS</w:t>
            </w:r>
          </w:p>
        </w:tc>
      </w:tr>
      <w:tr>
        <w:trPr>
          <w:trHeight w:val="446"/>
        </w:trPr>
        <w:tc>
          <w:tcPr>
            <w:tcW w:w="10920" w:type="dxa"/>
            <w:vAlign w:val="bottom"/>
            <w:gridSpan w:val="2"/>
          </w:tcPr>
          <w:p>
            <w:pPr>
              <w:spacing w:after="0"/>
              <w:rPr>
                <w:sz w:val="20"/>
                <w:szCs w:val="20"/>
                <w:color w:val="auto"/>
              </w:rPr>
            </w:pPr>
            <w:r>
              <w:rPr>
                <w:rFonts w:ascii="Arial" w:cs="Arial" w:eastAsia="Arial" w:hAnsi="Arial"/>
                <w:sz w:val="20"/>
                <w:szCs w:val="20"/>
                <w:color w:val="auto"/>
              </w:rPr>
              <w:t>For all purposes of and under this Agreement the capitalized terms shall have the meanings set forth below.</w:t>
            </w:r>
          </w:p>
        </w:tc>
      </w:tr>
      <w:tr>
        <w:trPr>
          <w:trHeight w:val="446"/>
        </w:trPr>
        <w:tc>
          <w:tcPr>
            <w:tcW w:w="1480" w:type="dxa"/>
            <w:vAlign w:val="bottom"/>
          </w:tcPr>
          <w:p>
            <w:pPr>
              <w:jc w:val="right"/>
              <w:ind w:right="281"/>
              <w:spacing w:after="0"/>
              <w:rPr>
                <w:sz w:val="20"/>
                <w:szCs w:val="20"/>
                <w:color w:val="auto"/>
              </w:rPr>
            </w:pPr>
            <w:r>
              <w:rPr>
                <w:rFonts w:ascii="Arial" w:cs="Arial" w:eastAsia="Arial" w:hAnsi="Arial"/>
                <w:sz w:val="20"/>
                <w:szCs w:val="20"/>
                <w:color w:val="auto"/>
              </w:rPr>
              <w:t>1.1</w:t>
            </w:r>
          </w:p>
        </w:tc>
        <w:tc>
          <w:tcPr>
            <w:tcW w:w="9440" w:type="dxa"/>
            <w:vAlign w:val="bottom"/>
          </w:tcPr>
          <w:p>
            <w:pPr>
              <w:ind w:left="3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Action</w:t>
            </w:r>
            <w:r>
              <w:rPr>
                <w:rFonts w:ascii="Arial" w:cs="Arial" w:eastAsia="Arial" w:hAnsi="Arial"/>
                <w:sz w:val="20"/>
                <w:szCs w:val="20"/>
                <w:color w:val="auto"/>
              </w:rPr>
              <w:t>” means any action, suit or proceeding, claim, arbitration, litigation or investigation.</w:t>
            </w:r>
          </w:p>
        </w:tc>
      </w:tr>
      <w:tr>
        <w:trPr>
          <w:trHeight w:val="446"/>
        </w:trPr>
        <w:tc>
          <w:tcPr>
            <w:tcW w:w="1480" w:type="dxa"/>
            <w:vAlign w:val="bottom"/>
          </w:tcPr>
          <w:p>
            <w:pPr>
              <w:jc w:val="right"/>
              <w:ind w:right="281"/>
              <w:spacing w:after="0"/>
              <w:rPr>
                <w:sz w:val="20"/>
                <w:szCs w:val="20"/>
                <w:color w:val="auto"/>
              </w:rPr>
            </w:pPr>
            <w:r>
              <w:rPr>
                <w:rFonts w:ascii="Arial" w:cs="Arial" w:eastAsia="Arial" w:hAnsi="Arial"/>
                <w:sz w:val="20"/>
                <w:szCs w:val="20"/>
                <w:color w:val="auto"/>
              </w:rPr>
              <w:t>1.2</w:t>
            </w:r>
          </w:p>
        </w:tc>
        <w:tc>
          <w:tcPr>
            <w:tcW w:w="9440" w:type="dxa"/>
            <w:vAlign w:val="bottom"/>
          </w:tcPr>
          <w:p>
            <w:pPr>
              <w:ind w:left="360"/>
              <w:spacing w:after="0"/>
              <w:rPr>
                <w:sz w:val="20"/>
                <w:szCs w:val="20"/>
                <w:color w:val="auto"/>
              </w:rPr>
            </w:pPr>
            <w:r>
              <w:rPr>
                <w:rFonts w:ascii="Arial" w:cs="Arial" w:eastAsia="Arial" w:hAnsi="Arial"/>
                <w:sz w:val="20"/>
                <w:szCs w:val="20"/>
                <w:color w:val="auto"/>
              </w:rPr>
              <w:t xml:space="preserve">“[†] </w:t>
            </w:r>
            <w:r>
              <w:rPr>
                <w:rFonts w:ascii="Arial" w:cs="Arial" w:eastAsia="Arial" w:hAnsi="Arial"/>
                <w:sz w:val="20"/>
                <w:szCs w:val="20"/>
                <w:b w:val="1"/>
                <w:bCs w:val="1"/>
                <w:color w:val="auto"/>
              </w:rPr>
              <w:t>Knowledge</w:t>
            </w:r>
            <w:r>
              <w:rPr>
                <w:rFonts w:ascii="Arial" w:cs="Arial" w:eastAsia="Arial" w:hAnsi="Arial"/>
                <w:sz w:val="20"/>
                <w:szCs w:val="20"/>
                <w:color w:val="auto"/>
              </w:rPr>
              <w:t>” means [†].</w:t>
            </w:r>
          </w:p>
        </w:tc>
      </w:tr>
      <w:tr>
        <w:trPr>
          <w:trHeight w:val="441"/>
        </w:trPr>
        <w:tc>
          <w:tcPr>
            <w:tcW w:w="1480" w:type="dxa"/>
            <w:vAlign w:val="bottom"/>
          </w:tcPr>
          <w:p>
            <w:pPr>
              <w:jc w:val="right"/>
              <w:ind w:right="281"/>
              <w:spacing w:after="0"/>
              <w:rPr>
                <w:sz w:val="20"/>
                <w:szCs w:val="20"/>
                <w:color w:val="auto"/>
              </w:rPr>
            </w:pPr>
            <w:r>
              <w:rPr>
                <w:rFonts w:ascii="Arial" w:cs="Arial" w:eastAsia="Arial" w:hAnsi="Arial"/>
                <w:sz w:val="20"/>
                <w:szCs w:val="20"/>
                <w:color w:val="auto"/>
              </w:rPr>
              <w:t>1.3</w:t>
            </w:r>
          </w:p>
        </w:tc>
        <w:tc>
          <w:tcPr>
            <w:tcW w:w="9440" w:type="dxa"/>
            <w:vAlign w:val="bottom"/>
          </w:tcPr>
          <w:p>
            <w:pPr>
              <w:ind w:left="360"/>
              <w:spacing w:after="0"/>
              <w:rPr>
                <w:sz w:val="20"/>
                <w:szCs w:val="20"/>
                <w:color w:val="auto"/>
              </w:rPr>
            </w:pPr>
            <w:r>
              <w:rPr>
                <w:rFonts w:ascii="Arial" w:cs="Arial" w:eastAsia="Arial" w:hAnsi="Arial"/>
                <w:sz w:val="20"/>
                <w:szCs w:val="20"/>
                <w:color w:val="auto"/>
                <w:w w:val="90"/>
              </w:rPr>
              <w:t>“</w:t>
            </w:r>
            <w:r>
              <w:rPr>
                <w:rFonts w:ascii="Arial" w:cs="Arial" w:eastAsia="Arial" w:hAnsi="Arial"/>
                <w:sz w:val="20"/>
                <w:szCs w:val="20"/>
                <w:b w:val="1"/>
                <w:bCs w:val="1"/>
                <w:color w:val="auto"/>
                <w:w w:val="90"/>
              </w:rPr>
              <w:t>Affiliate(s)</w:t>
            </w:r>
            <w:r>
              <w:rPr>
                <w:rFonts w:ascii="Arial" w:cs="Arial" w:eastAsia="Arial" w:hAnsi="Arial"/>
                <w:sz w:val="20"/>
                <w:szCs w:val="20"/>
                <w:color w:val="auto"/>
                <w:w w:val="90"/>
              </w:rPr>
              <w:t>” means, with respect to a particular party, a Person that controls, is controlled by or is under common</w:t>
            </w:r>
          </w:p>
        </w:tc>
      </w:tr>
    </w:tbl>
    <w:p>
      <w:pPr>
        <w:ind w:right="20"/>
        <w:spacing w:after="0" w:line="241" w:lineRule="auto"/>
        <w:rPr>
          <w:sz w:val="20"/>
          <w:szCs w:val="20"/>
          <w:color w:val="auto"/>
        </w:rPr>
      </w:pPr>
      <w:r>
        <w:rPr>
          <w:rFonts w:ascii="Arial" w:cs="Arial" w:eastAsia="Arial" w:hAnsi="Arial"/>
          <w:sz w:val="20"/>
          <w:szCs w:val="20"/>
          <w:color w:val="auto"/>
        </w:rPr>
        <w:t>control with such party. For the purposes of this definition, the word “control” (including, with correlative meaning, the terms “controlled by” or “under the common control with”) means the actual power, either directly or indirectly through one or more intermediaries, to direct or cause the direction of the management and policies of such entity, whether by the ownership of fifty percent (50%) or more of the voting stock of such entity, or by contract or otherwise.</w:t>
      </w:r>
    </w:p>
    <w:p>
      <w:pPr>
        <w:spacing w:after="0" w:line="189" w:lineRule="exact"/>
        <w:rPr>
          <w:sz w:val="20"/>
          <w:szCs w:val="20"/>
          <w:color w:val="auto"/>
        </w:rPr>
      </w:pPr>
    </w:p>
    <w:p>
      <w:pPr>
        <w:ind w:right="200" w:firstLine="846"/>
        <w:spacing w:after="0" w:line="267" w:lineRule="auto"/>
        <w:rPr>
          <w:sz w:val="20"/>
          <w:szCs w:val="20"/>
          <w:color w:val="auto"/>
        </w:rPr>
      </w:pPr>
      <w:r>
        <w:rPr>
          <w:rFonts w:ascii="Arial" w:cs="Arial" w:eastAsia="Arial" w:hAnsi="Arial"/>
          <w:sz w:val="20"/>
          <w:szCs w:val="20"/>
          <w:color w:val="auto"/>
        </w:rPr>
        <w:t>1.4 “</w:t>
      </w:r>
      <w:r>
        <w:rPr>
          <w:rFonts w:ascii="Arial" w:cs="Arial" w:eastAsia="Arial" w:hAnsi="Arial"/>
          <w:sz w:val="20"/>
          <w:szCs w:val="20"/>
          <w:b w:val="1"/>
          <w:bCs w:val="1"/>
          <w:color w:val="auto"/>
        </w:rPr>
        <w:t>ANDA Filing</w:t>
      </w:r>
      <w:r>
        <w:rPr>
          <w:rFonts w:ascii="Arial" w:cs="Arial" w:eastAsia="Arial" w:hAnsi="Arial"/>
          <w:sz w:val="20"/>
          <w:szCs w:val="20"/>
          <w:color w:val="auto"/>
        </w:rPr>
        <w:t>” means that a Third Party files an ANDA with the FDA with regard to a Product in the [†] period after the expiration of the last to expire of U.S. Patents Nos. [†] and [†] (including any patent term extension thereof).</w:t>
      </w:r>
    </w:p>
    <w:p>
      <w:pPr>
        <w:spacing w:after="0" w:line="168" w:lineRule="exact"/>
        <w:rPr>
          <w:sz w:val="20"/>
          <w:szCs w:val="20"/>
          <w:color w:val="auto"/>
        </w:rPr>
      </w:pPr>
    </w:p>
    <w:p>
      <w:pPr>
        <w:ind w:right="40" w:firstLine="8"/>
        <w:spacing w:after="0" w:line="253" w:lineRule="auto"/>
        <w:tabs>
          <w:tab w:leader="none" w:pos="204" w:val="left"/>
        </w:tabs>
        <w:numPr>
          <w:ilvl w:val="0"/>
          <w:numId w:val="59"/>
        </w:numPr>
        <w:rPr>
          <w:rFonts w:ascii="Arial" w:cs="Arial" w:eastAsia="Arial" w:hAnsi="Arial"/>
          <w:sz w:val="14"/>
          <w:szCs w:val="14"/>
          <w:color w:val="auto"/>
        </w:rPr>
      </w:pPr>
      <w:r>
        <w:rPr>
          <w:rFonts w:ascii="Arial" w:cs="Arial" w:eastAsia="Arial" w:hAnsi="Arial"/>
          <w:sz w:val="14"/>
          <w:szCs w:val="14"/>
          <w:color w:val="auto"/>
        </w:rPr>
        <w:t>DESIGNATES PORTIONS OF THIS DOCUMENT THAT HAVE BEEN OMITTED PURSUANT TO A REQUEST FOR CONFIDENTIAL TREATMENT FILED SEPARATELY WITH THE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40640</wp:posOffset>
            </wp:positionV>
            <wp:extent cx="7289165"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65" w:name="page66"/>
    <w:bookmarkEnd w:id="65"/>
    <w:tbl>
      <w:tblPr>
        <w:tblLayout w:type="fixed"/>
        <w:tblInd w:w="0" w:type="dxa"/>
        <w:tblCellMar>
          <w:top w:w="0" w:type="dxa"/>
          <w:left w:w="0" w:type="dxa"/>
          <w:bottom w:w="0" w:type="dxa"/>
          <w:right w:w="0" w:type="dxa"/>
        </w:tblCellMar>
      </w:tblPr>
      <w:tr>
        <w:trPr>
          <w:trHeight w:val="256"/>
        </w:trPr>
        <w:tc>
          <w:tcPr>
            <w:tcW w:w="1520" w:type="dxa"/>
            <w:vAlign w:val="bottom"/>
          </w:tcPr>
          <w:p>
            <w:pPr>
              <w:ind w:left="860"/>
              <w:spacing w:after="0"/>
              <w:rPr>
                <w:sz w:val="20"/>
                <w:szCs w:val="20"/>
                <w:color w:val="auto"/>
              </w:rPr>
            </w:pPr>
            <w:r>
              <w:rPr>
                <w:rFonts w:ascii="Arial" w:cs="Arial" w:eastAsia="Arial" w:hAnsi="Arial"/>
                <w:sz w:val="20"/>
                <w:szCs w:val="20"/>
                <w:color w:val="auto"/>
              </w:rPr>
              <w:t>1.5</w:t>
            </w:r>
          </w:p>
        </w:tc>
        <w:tc>
          <w:tcPr>
            <w:tcW w:w="9700" w:type="dxa"/>
            <w:vAlign w:val="bottom"/>
            <w:gridSpan w:val="8"/>
          </w:tcPr>
          <w:p>
            <w:pPr>
              <w:ind w:left="32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API</w:t>
            </w:r>
            <w:r>
              <w:rPr>
                <w:rFonts w:ascii="Arial" w:cs="Arial" w:eastAsia="Arial" w:hAnsi="Arial"/>
                <w:sz w:val="20"/>
                <w:szCs w:val="20"/>
                <w:color w:val="auto"/>
              </w:rPr>
              <w:t>” means all quantities of the Compound owned or controlled by Seller.</w:t>
            </w:r>
          </w:p>
        </w:tc>
      </w:tr>
      <w:tr>
        <w:trPr>
          <w:trHeight w:val="401"/>
        </w:trPr>
        <w:tc>
          <w:tcPr>
            <w:tcW w:w="1520" w:type="dxa"/>
            <w:vAlign w:val="bottom"/>
          </w:tcPr>
          <w:p>
            <w:pPr>
              <w:ind w:left="860"/>
              <w:spacing w:after="0"/>
              <w:rPr>
                <w:sz w:val="20"/>
                <w:szCs w:val="20"/>
                <w:color w:val="auto"/>
              </w:rPr>
            </w:pPr>
            <w:r>
              <w:rPr>
                <w:rFonts w:ascii="Arial" w:cs="Arial" w:eastAsia="Arial" w:hAnsi="Arial"/>
                <w:sz w:val="20"/>
                <w:szCs w:val="20"/>
                <w:color w:val="auto"/>
              </w:rPr>
              <w:t>1.6</w:t>
            </w:r>
          </w:p>
        </w:tc>
        <w:tc>
          <w:tcPr>
            <w:tcW w:w="9700" w:type="dxa"/>
            <w:vAlign w:val="bottom"/>
            <w:gridSpan w:val="8"/>
          </w:tcPr>
          <w:p>
            <w:pPr>
              <w:ind w:left="32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Assumed Liabilities</w:t>
            </w:r>
            <w:r>
              <w:rPr>
                <w:rFonts w:ascii="Arial" w:cs="Arial" w:eastAsia="Arial" w:hAnsi="Arial"/>
                <w:sz w:val="20"/>
                <w:szCs w:val="20"/>
                <w:color w:val="auto"/>
              </w:rPr>
              <w:t>” is defined in Section 2.1(b).</w:t>
            </w:r>
          </w:p>
        </w:tc>
      </w:tr>
      <w:tr>
        <w:trPr>
          <w:trHeight w:val="20"/>
        </w:trPr>
        <w:tc>
          <w:tcPr>
            <w:tcW w:w="15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340" w:type="dxa"/>
            <w:vAlign w:val="bottom"/>
          </w:tcPr>
          <w:p>
            <w:pPr>
              <w:spacing w:after="0" w:line="20" w:lineRule="exact"/>
              <w:rPr>
                <w:sz w:val="1"/>
                <w:szCs w:val="1"/>
                <w:color w:val="auto"/>
              </w:rPr>
            </w:pPr>
          </w:p>
        </w:tc>
      </w:tr>
      <w:tr>
        <w:trPr>
          <w:trHeight w:val="449"/>
        </w:trPr>
        <w:tc>
          <w:tcPr>
            <w:tcW w:w="1520" w:type="dxa"/>
            <w:vAlign w:val="bottom"/>
          </w:tcPr>
          <w:p>
            <w:pPr>
              <w:ind w:left="860"/>
              <w:spacing w:after="0"/>
              <w:rPr>
                <w:sz w:val="20"/>
                <w:szCs w:val="20"/>
                <w:color w:val="auto"/>
              </w:rPr>
            </w:pPr>
            <w:r>
              <w:rPr>
                <w:rFonts w:ascii="Arial" w:cs="Arial" w:eastAsia="Arial" w:hAnsi="Arial"/>
                <w:sz w:val="20"/>
                <w:szCs w:val="20"/>
                <w:color w:val="auto"/>
              </w:rPr>
              <w:t>1.7</w:t>
            </w:r>
          </w:p>
        </w:tc>
        <w:tc>
          <w:tcPr>
            <w:tcW w:w="9700" w:type="dxa"/>
            <w:vAlign w:val="bottom"/>
            <w:gridSpan w:val="8"/>
          </w:tcPr>
          <w:p>
            <w:pPr>
              <w:ind w:left="320"/>
              <w:spacing w:after="0"/>
              <w:rPr>
                <w:sz w:val="20"/>
                <w:szCs w:val="20"/>
                <w:color w:val="auto"/>
              </w:rPr>
            </w:pPr>
            <w:r>
              <w:rPr>
                <w:rFonts w:ascii="Arial" w:cs="Arial" w:eastAsia="Arial" w:hAnsi="Arial"/>
                <w:sz w:val="20"/>
                <w:szCs w:val="20"/>
                <w:color w:val="auto"/>
                <w:w w:val="94"/>
              </w:rPr>
              <w:t>“</w:t>
            </w:r>
            <w:r>
              <w:rPr>
                <w:rFonts w:ascii="Arial" w:cs="Arial" w:eastAsia="Arial" w:hAnsi="Arial"/>
                <w:sz w:val="20"/>
                <w:szCs w:val="20"/>
                <w:b w:val="1"/>
                <w:bCs w:val="1"/>
                <w:color w:val="auto"/>
                <w:w w:val="94"/>
              </w:rPr>
              <w:t>Authorization</w:t>
            </w:r>
            <w:r>
              <w:rPr>
                <w:rFonts w:ascii="Arial" w:cs="Arial" w:eastAsia="Arial" w:hAnsi="Arial"/>
                <w:sz w:val="20"/>
                <w:szCs w:val="20"/>
                <w:color w:val="auto"/>
                <w:w w:val="94"/>
              </w:rPr>
              <w:t>” means any authorization, approval, consent, certificate, license, notification, registration, permit,</w:t>
            </w:r>
          </w:p>
        </w:tc>
      </w:tr>
      <w:tr>
        <w:trPr>
          <w:trHeight w:val="250"/>
        </w:trPr>
        <w:tc>
          <w:tcPr>
            <w:tcW w:w="11220" w:type="dxa"/>
            <w:vAlign w:val="bottom"/>
            <w:gridSpan w:val="9"/>
          </w:tcPr>
          <w:p>
            <w:pPr>
              <w:spacing w:after="0"/>
              <w:rPr>
                <w:sz w:val="20"/>
                <w:szCs w:val="20"/>
                <w:color w:val="auto"/>
              </w:rPr>
            </w:pPr>
            <w:r>
              <w:rPr>
                <w:rFonts w:ascii="Arial" w:cs="Arial" w:eastAsia="Arial" w:hAnsi="Arial"/>
                <w:sz w:val="20"/>
                <w:szCs w:val="20"/>
                <w:color w:val="auto"/>
              </w:rPr>
              <w:t>franchise, waiver, order, right, or notification of any Governmental Entity.</w:t>
            </w:r>
          </w:p>
        </w:tc>
      </w:tr>
      <w:tr>
        <w:trPr>
          <w:trHeight w:val="401"/>
        </w:trPr>
        <w:tc>
          <w:tcPr>
            <w:tcW w:w="1520" w:type="dxa"/>
            <w:vAlign w:val="bottom"/>
          </w:tcPr>
          <w:p>
            <w:pPr>
              <w:ind w:left="860"/>
              <w:spacing w:after="0"/>
              <w:rPr>
                <w:sz w:val="20"/>
                <w:szCs w:val="20"/>
                <w:color w:val="auto"/>
              </w:rPr>
            </w:pPr>
            <w:r>
              <w:rPr>
                <w:rFonts w:ascii="Arial" w:cs="Arial" w:eastAsia="Arial" w:hAnsi="Arial"/>
                <w:sz w:val="20"/>
                <w:szCs w:val="20"/>
                <w:color w:val="auto"/>
              </w:rPr>
              <w:t>1.8</w:t>
            </w:r>
          </w:p>
        </w:tc>
        <w:tc>
          <w:tcPr>
            <w:tcW w:w="9700" w:type="dxa"/>
            <w:vAlign w:val="bottom"/>
            <w:gridSpan w:val="8"/>
          </w:tcPr>
          <w:p>
            <w:pPr>
              <w:ind w:left="32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Base Purchase Price</w:t>
            </w:r>
            <w:r>
              <w:rPr>
                <w:rFonts w:ascii="Arial" w:cs="Arial" w:eastAsia="Arial" w:hAnsi="Arial"/>
                <w:sz w:val="20"/>
                <w:szCs w:val="20"/>
                <w:color w:val="auto"/>
              </w:rPr>
              <w:t>” is defined in Section 2.3.</w:t>
            </w:r>
          </w:p>
        </w:tc>
      </w:tr>
      <w:tr>
        <w:trPr>
          <w:trHeight w:val="20"/>
        </w:trPr>
        <w:tc>
          <w:tcPr>
            <w:tcW w:w="15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5520" w:type="dxa"/>
            <w:vAlign w:val="bottom"/>
            <w:gridSpan w:val="2"/>
          </w:tcPr>
          <w:p>
            <w:pPr>
              <w:spacing w:after="0" w:line="20" w:lineRule="exact"/>
              <w:rPr>
                <w:sz w:val="1"/>
                <w:szCs w:val="1"/>
                <w:color w:val="auto"/>
              </w:rPr>
            </w:pPr>
          </w:p>
        </w:tc>
      </w:tr>
      <w:tr>
        <w:trPr>
          <w:trHeight w:val="449"/>
        </w:trPr>
        <w:tc>
          <w:tcPr>
            <w:tcW w:w="1520" w:type="dxa"/>
            <w:vAlign w:val="bottom"/>
          </w:tcPr>
          <w:p>
            <w:pPr>
              <w:ind w:left="860"/>
              <w:spacing w:after="0"/>
              <w:rPr>
                <w:sz w:val="20"/>
                <w:szCs w:val="20"/>
                <w:color w:val="auto"/>
              </w:rPr>
            </w:pPr>
            <w:r>
              <w:rPr>
                <w:rFonts w:ascii="Arial" w:cs="Arial" w:eastAsia="Arial" w:hAnsi="Arial"/>
                <w:sz w:val="20"/>
                <w:szCs w:val="20"/>
                <w:color w:val="auto"/>
              </w:rPr>
              <w:t>1.9</w:t>
            </w:r>
          </w:p>
        </w:tc>
        <w:tc>
          <w:tcPr>
            <w:tcW w:w="9700" w:type="dxa"/>
            <w:vAlign w:val="bottom"/>
            <w:gridSpan w:val="8"/>
          </w:tcPr>
          <w:p>
            <w:pPr>
              <w:ind w:left="320"/>
              <w:spacing w:after="0"/>
              <w:rPr>
                <w:sz w:val="20"/>
                <w:szCs w:val="20"/>
                <w:color w:val="auto"/>
              </w:rPr>
            </w:pPr>
            <w:r>
              <w:rPr>
                <w:rFonts w:ascii="Arial" w:cs="Arial" w:eastAsia="Arial" w:hAnsi="Arial"/>
                <w:sz w:val="20"/>
                <w:szCs w:val="20"/>
                <w:color w:val="auto"/>
                <w:w w:val="89"/>
              </w:rPr>
              <w:t>“</w:t>
            </w:r>
            <w:r>
              <w:rPr>
                <w:rFonts w:ascii="Arial" w:cs="Arial" w:eastAsia="Arial" w:hAnsi="Arial"/>
                <w:sz w:val="20"/>
                <w:szCs w:val="20"/>
                <w:b w:val="1"/>
                <w:bCs w:val="1"/>
                <w:color w:val="auto"/>
                <w:w w:val="89"/>
              </w:rPr>
              <w:t>Business Day</w:t>
            </w:r>
            <w:r>
              <w:rPr>
                <w:rFonts w:ascii="Arial" w:cs="Arial" w:eastAsia="Arial" w:hAnsi="Arial"/>
                <w:sz w:val="20"/>
                <w:szCs w:val="20"/>
                <w:color w:val="auto"/>
                <w:w w:val="89"/>
              </w:rPr>
              <w:t>” means a day other than a Saturday, Sunday, or other day on which banks located in British Columbia,</w:t>
            </w:r>
          </w:p>
        </w:tc>
      </w:tr>
      <w:tr>
        <w:trPr>
          <w:trHeight w:val="250"/>
        </w:trPr>
        <w:tc>
          <w:tcPr>
            <w:tcW w:w="11220" w:type="dxa"/>
            <w:vAlign w:val="bottom"/>
            <w:gridSpan w:val="9"/>
          </w:tcPr>
          <w:p>
            <w:pPr>
              <w:spacing w:after="0"/>
              <w:rPr>
                <w:sz w:val="20"/>
                <w:szCs w:val="20"/>
                <w:color w:val="auto"/>
              </w:rPr>
            </w:pPr>
            <w:r>
              <w:rPr>
                <w:rFonts w:ascii="Arial" w:cs="Arial" w:eastAsia="Arial" w:hAnsi="Arial"/>
                <w:sz w:val="20"/>
                <w:szCs w:val="20"/>
                <w:color w:val="auto"/>
              </w:rPr>
              <w:t>Canada or North Carolina, USA are authorized or required by Law to close.</w:t>
            </w:r>
          </w:p>
        </w:tc>
      </w:tr>
      <w:tr>
        <w:trPr>
          <w:trHeight w:val="401"/>
        </w:trPr>
        <w:tc>
          <w:tcPr>
            <w:tcW w:w="1520" w:type="dxa"/>
            <w:vAlign w:val="bottom"/>
          </w:tcPr>
          <w:p>
            <w:pPr>
              <w:ind w:left="860"/>
              <w:spacing w:after="0"/>
              <w:rPr>
                <w:sz w:val="20"/>
                <w:szCs w:val="20"/>
                <w:color w:val="auto"/>
              </w:rPr>
            </w:pPr>
            <w:r>
              <w:rPr>
                <w:rFonts w:ascii="Arial" w:cs="Arial" w:eastAsia="Arial" w:hAnsi="Arial"/>
                <w:sz w:val="20"/>
                <w:szCs w:val="20"/>
                <w:color w:val="auto"/>
              </w:rPr>
              <w:t>1.10</w:t>
            </w:r>
          </w:p>
        </w:tc>
        <w:tc>
          <w:tcPr>
            <w:tcW w:w="9700" w:type="dxa"/>
            <w:vAlign w:val="bottom"/>
            <w:gridSpan w:val="8"/>
          </w:tcPr>
          <w:p>
            <w:pPr>
              <w:ind w:left="32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Closing</w:t>
            </w:r>
            <w:r>
              <w:rPr>
                <w:rFonts w:ascii="Arial" w:cs="Arial" w:eastAsia="Arial" w:hAnsi="Arial"/>
                <w:sz w:val="20"/>
                <w:szCs w:val="20"/>
                <w:color w:val="auto"/>
              </w:rPr>
              <w:t>” is defined in Section 3.1.</w:t>
            </w:r>
          </w:p>
        </w:tc>
      </w:tr>
      <w:tr>
        <w:trPr>
          <w:trHeight w:val="20"/>
        </w:trPr>
        <w:tc>
          <w:tcPr>
            <w:tcW w:w="15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6160" w:type="dxa"/>
            <w:vAlign w:val="bottom"/>
            <w:gridSpan w:val="3"/>
          </w:tcPr>
          <w:p>
            <w:pPr>
              <w:spacing w:after="0" w:line="20" w:lineRule="exact"/>
              <w:rPr>
                <w:sz w:val="1"/>
                <w:szCs w:val="1"/>
                <w:color w:val="auto"/>
              </w:rPr>
            </w:pPr>
          </w:p>
        </w:tc>
      </w:tr>
      <w:tr>
        <w:trPr>
          <w:trHeight w:val="426"/>
        </w:trPr>
        <w:tc>
          <w:tcPr>
            <w:tcW w:w="1520" w:type="dxa"/>
            <w:vAlign w:val="bottom"/>
          </w:tcPr>
          <w:p>
            <w:pPr>
              <w:ind w:left="860"/>
              <w:spacing w:after="0"/>
              <w:rPr>
                <w:sz w:val="20"/>
                <w:szCs w:val="20"/>
                <w:color w:val="auto"/>
              </w:rPr>
            </w:pPr>
            <w:r>
              <w:rPr>
                <w:rFonts w:ascii="Arial" w:cs="Arial" w:eastAsia="Arial" w:hAnsi="Arial"/>
                <w:sz w:val="20"/>
                <w:szCs w:val="20"/>
                <w:color w:val="auto"/>
              </w:rPr>
              <w:t>1.11</w:t>
            </w:r>
          </w:p>
        </w:tc>
        <w:tc>
          <w:tcPr>
            <w:tcW w:w="9700" w:type="dxa"/>
            <w:vAlign w:val="bottom"/>
            <w:gridSpan w:val="8"/>
          </w:tcPr>
          <w:p>
            <w:pPr>
              <w:ind w:left="32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Closing Date</w:t>
            </w:r>
            <w:r>
              <w:rPr>
                <w:rFonts w:ascii="Arial" w:cs="Arial" w:eastAsia="Arial" w:hAnsi="Arial"/>
                <w:sz w:val="20"/>
                <w:szCs w:val="20"/>
                <w:color w:val="auto"/>
              </w:rPr>
              <w:t>” is defined in Section 3.1.</w:t>
            </w:r>
          </w:p>
        </w:tc>
      </w:tr>
      <w:tr>
        <w:trPr>
          <w:trHeight w:val="20"/>
        </w:trPr>
        <w:tc>
          <w:tcPr>
            <w:tcW w:w="1520" w:type="dxa"/>
            <w:vAlign w:val="bottom"/>
          </w:tcPr>
          <w:p>
            <w:pPr>
              <w:spacing w:after="0" w:line="20" w:lineRule="exact"/>
              <w:rPr>
                <w:sz w:val="1"/>
                <w:szCs w:val="1"/>
                <w:color w:val="auto"/>
              </w:rPr>
            </w:pPr>
          </w:p>
        </w:tc>
        <w:tc>
          <w:tcPr>
            <w:tcW w:w="2660" w:type="dxa"/>
            <w:vAlign w:val="bottom"/>
            <w:gridSpan w:val="2"/>
          </w:tcPr>
          <w:p>
            <w:pPr>
              <w:spacing w:after="0" w:line="20" w:lineRule="exact"/>
              <w:rPr>
                <w:sz w:val="1"/>
                <w:szCs w:val="1"/>
                <w:color w:val="auto"/>
              </w:rPr>
            </w:pPr>
          </w:p>
        </w:tc>
        <w:tc>
          <w:tcPr>
            <w:tcW w:w="880" w:type="dxa"/>
            <w:vAlign w:val="bottom"/>
            <w:gridSpan w:val="3"/>
            <w:shd w:val="clear" w:color="auto" w:fill="000000"/>
          </w:tcPr>
          <w:p>
            <w:pPr>
              <w:spacing w:after="0" w:line="20" w:lineRule="exact"/>
              <w:rPr>
                <w:sz w:val="1"/>
                <w:szCs w:val="1"/>
                <w:color w:val="auto"/>
              </w:rPr>
            </w:pPr>
          </w:p>
        </w:tc>
        <w:tc>
          <w:tcPr>
            <w:tcW w:w="6160" w:type="dxa"/>
            <w:vAlign w:val="bottom"/>
            <w:gridSpan w:val="3"/>
          </w:tcPr>
          <w:p>
            <w:pPr>
              <w:spacing w:after="0" w:line="20" w:lineRule="exact"/>
              <w:rPr>
                <w:sz w:val="1"/>
                <w:szCs w:val="1"/>
                <w:color w:val="auto"/>
              </w:rPr>
            </w:pPr>
          </w:p>
        </w:tc>
      </w:tr>
      <w:tr>
        <w:trPr>
          <w:trHeight w:val="470"/>
        </w:trPr>
        <w:tc>
          <w:tcPr>
            <w:tcW w:w="1520" w:type="dxa"/>
            <w:vAlign w:val="bottom"/>
          </w:tcPr>
          <w:p>
            <w:pPr>
              <w:ind w:left="860"/>
              <w:spacing w:after="0"/>
              <w:rPr>
                <w:sz w:val="20"/>
                <w:szCs w:val="20"/>
                <w:color w:val="auto"/>
              </w:rPr>
            </w:pPr>
            <w:r>
              <w:rPr>
                <w:rFonts w:ascii="Arial" w:cs="Arial" w:eastAsia="Arial" w:hAnsi="Arial"/>
                <w:sz w:val="20"/>
                <w:szCs w:val="20"/>
                <w:color w:val="auto"/>
              </w:rPr>
              <w:t>1.12</w:t>
            </w:r>
          </w:p>
        </w:tc>
        <w:tc>
          <w:tcPr>
            <w:tcW w:w="9700" w:type="dxa"/>
            <w:vAlign w:val="bottom"/>
            <w:gridSpan w:val="8"/>
          </w:tcPr>
          <w:p>
            <w:pPr>
              <w:ind w:left="32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Compound Material Adverse Effect</w:t>
            </w:r>
            <w:r>
              <w:rPr>
                <w:rFonts w:ascii="Arial" w:cs="Arial" w:eastAsia="Arial" w:hAnsi="Arial"/>
                <w:sz w:val="20"/>
                <w:szCs w:val="20"/>
                <w:color w:val="auto"/>
              </w:rPr>
              <w:t>” means [†].</w:t>
            </w:r>
          </w:p>
        </w:tc>
      </w:tr>
    </w:tbl>
    <w:p>
      <w:pPr>
        <w:spacing w:after="0" w:line="189" w:lineRule="exact"/>
        <w:rPr>
          <w:sz w:val="20"/>
          <w:szCs w:val="20"/>
          <w:color w:val="auto"/>
        </w:rPr>
      </w:pPr>
    </w:p>
    <w:p>
      <w:pPr>
        <w:ind w:right="200" w:firstLine="846"/>
        <w:spacing w:after="0" w:line="246" w:lineRule="auto"/>
        <w:rPr>
          <w:sz w:val="20"/>
          <w:szCs w:val="20"/>
          <w:color w:val="auto"/>
        </w:rPr>
      </w:pPr>
      <w:r>
        <w:rPr>
          <w:rFonts w:ascii="Arial" w:cs="Arial" w:eastAsia="Arial" w:hAnsi="Arial"/>
          <w:sz w:val="20"/>
          <w:szCs w:val="20"/>
          <w:color w:val="auto"/>
        </w:rPr>
        <w:t>1.13 “</w:t>
      </w:r>
      <w:r>
        <w:rPr>
          <w:rFonts w:ascii="Arial" w:cs="Arial" w:eastAsia="Arial" w:hAnsi="Arial"/>
          <w:sz w:val="20"/>
          <w:szCs w:val="20"/>
          <w:b w:val="1"/>
          <w:bCs w:val="1"/>
          <w:color w:val="auto"/>
        </w:rPr>
        <w:t>Compound Regulatory Documentation</w:t>
      </w:r>
      <w:r>
        <w:rPr>
          <w:rFonts w:ascii="Arial" w:cs="Arial" w:eastAsia="Arial" w:hAnsi="Arial"/>
          <w:sz w:val="20"/>
          <w:szCs w:val="20"/>
          <w:color w:val="auto"/>
        </w:rPr>
        <w:t>” means any and all Authorizations relating to the Compound, including, without limitation, applications, registrations, licenses, authorizations, approvals, non-clinical and clinical study authorization applications or notifications (including all supporting files, writings, data, studies and reports), correspondence to or with any Medical Product Regulatory Authority with respect to the Compound, and all data contained in any of the foregoing, including all adverse event files and manufacturing records.</w:t>
      </w:r>
    </w:p>
    <w:p>
      <w:pPr>
        <w:spacing w:after="0" w:line="185" w:lineRule="exact"/>
        <w:rPr>
          <w:sz w:val="20"/>
          <w:szCs w:val="20"/>
          <w:color w:val="auto"/>
        </w:rPr>
      </w:pPr>
    </w:p>
    <w:p>
      <w:pPr>
        <w:ind w:left="860"/>
        <w:spacing w:after="0"/>
        <w:tabs>
          <w:tab w:leader="none" w:pos="1820" w:val="left"/>
        </w:tabs>
        <w:rPr>
          <w:sz w:val="20"/>
          <w:szCs w:val="20"/>
          <w:color w:val="auto"/>
        </w:rPr>
      </w:pPr>
      <w:r>
        <w:rPr>
          <w:rFonts w:ascii="Arial" w:cs="Arial" w:eastAsia="Arial" w:hAnsi="Arial"/>
          <w:sz w:val="20"/>
          <w:szCs w:val="20"/>
          <w:color w:val="auto"/>
        </w:rPr>
        <w:t>1.14</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Confidential Information</w:t>
      </w:r>
      <w:r>
        <w:rPr>
          <w:rFonts w:ascii="Arial" w:cs="Arial" w:eastAsia="Arial" w:hAnsi="Arial"/>
          <w:sz w:val="18"/>
          <w:szCs w:val="18"/>
          <w:color w:val="auto"/>
        </w:rPr>
        <w:t xml:space="preserve">” is defined in </w:t>
      </w:r>
      <w:r>
        <w:rPr>
          <w:rFonts w:ascii="Arial" w:cs="Arial" w:eastAsia="Arial" w:hAnsi="Arial"/>
          <w:sz w:val="18"/>
          <w:szCs w:val="18"/>
          <w:u w:val="single" w:color="auto"/>
          <w:color w:val="auto"/>
        </w:rPr>
        <w:t>Section 6.5</w:t>
      </w:r>
      <w:r>
        <w:rPr>
          <w:rFonts w:ascii="Arial" w:cs="Arial" w:eastAsia="Arial" w:hAnsi="Arial"/>
          <w:sz w:val="18"/>
          <w:szCs w:val="18"/>
          <w:color w:val="auto"/>
        </w:rPr>
        <w:t>.</w:t>
      </w:r>
    </w:p>
    <w:p>
      <w:pPr>
        <w:spacing w:after="0" w:line="216" w:lineRule="exact"/>
        <w:rPr>
          <w:sz w:val="20"/>
          <w:szCs w:val="20"/>
          <w:color w:val="auto"/>
        </w:rPr>
      </w:pPr>
    </w:p>
    <w:p>
      <w:pPr>
        <w:ind w:right="660" w:firstLine="846"/>
        <w:spacing w:after="0" w:line="267" w:lineRule="auto"/>
        <w:rPr>
          <w:sz w:val="20"/>
          <w:szCs w:val="20"/>
          <w:color w:val="auto"/>
        </w:rPr>
      </w:pPr>
      <w:r>
        <w:rPr>
          <w:rFonts w:ascii="Arial" w:cs="Arial" w:eastAsia="Arial" w:hAnsi="Arial"/>
          <w:sz w:val="20"/>
          <w:szCs w:val="20"/>
          <w:color w:val="auto"/>
        </w:rPr>
        <w:t>1.15 “</w:t>
      </w:r>
      <w:r>
        <w:rPr>
          <w:rFonts w:ascii="Arial" w:cs="Arial" w:eastAsia="Arial" w:hAnsi="Arial"/>
          <w:sz w:val="20"/>
          <w:szCs w:val="20"/>
          <w:b w:val="1"/>
          <w:bCs w:val="1"/>
          <w:color w:val="auto"/>
        </w:rPr>
        <w:t>Confidentiality Agreement</w:t>
      </w:r>
      <w:r>
        <w:rPr>
          <w:rFonts w:ascii="Arial" w:cs="Arial" w:eastAsia="Arial" w:hAnsi="Arial"/>
          <w:sz w:val="20"/>
          <w:szCs w:val="20"/>
          <w:color w:val="auto"/>
        </w:rPr>
        <w:t>” means that certain Confidentiality Agreement entered by and between Seller and Acquiror effective as of April 5, 2016.</w:t>
      </w:r>
    </w:p>
    <w:p>
      <w:pPr>
        <w:spacing w:after="0" w:line="164" w:lineRule="exact"/>
        <w:rPr>
          <w:sz w:val="20"/>
          <w:szCs w:val="20"/>
          <w:color w:val="auto"/>
        </w:rPr>
      </w:pPr>
    </w:p>
    <w:p>
      <w:pPr>
        <w:ind w:left="860"/>
        <w:spacing w:after="0"/>
        <w:tabs>
          <w:tab w:leader="none" w:pos="1820" w:val="left"/>
        </w:tabs>
        <w:rPr>
          <w:sz w:val="20"/>
          <w:szCs w:val="20"/>
          <w:color w:val="auto"/>
        </w:rPr>
      </w:pPr>
      <w:r>
        <w:rPr>
          <w:rFonts w:ascii="Arial" w:cs="Arial" w:eastAsia="Arial" w:hAnsi="Arial"/>
          <w:sz w:val="20"/>
          <w:szCs w:val="20"/>
          <w:color w:val="auto"/>
        </w:rPr>
        <w:t>1.16</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Damages</w:t>
      </w:r>
      <w:r>
        <w:rPr>
          <w:rFonts w:ascii="Arial" w:cs="Arial" w:eastAsia="Arial" w:hAnsi="Arial"/>
          <w:sz w:val="18"/>
          <w:szCs w:val="18"/>
          <w:color w:val="auto"/>
        </w:rPr>
        <w:t xml:space="preserve">” is defined in </w:t>
      </w:r>
      <w:r>
        <w:rPr>
          <w:rFonts w:ascii="Arial" w:cs="Arial" w:eastAsia="Arial" w:hAnsi="Arial"/>
          <w:sz w:val="18"/>
          <w:szCs w:val="18"/>
          <w:u w:val="single" w:color="auto"/>
          <w:color w:val="auto"/>
        </w:rPr>
        <w:t>Section 9.1(a)</w:t>
      </w:r>
      <w:r>
        <w:rPr>
          <w:rFonts w:ascii="Arial" w:cs="Arial" w:eastAsia="Arial" w:hAnsi="Arial"/>
          <w:sz w:val="18"/>
          <w:szCs w:val="18"/>
          <w:color w:val="auto"/>
        </w:rPr>
        <w:t>.</w:t>
      </w:r>
    </w:p>
    <w:p>
      <w:pPr>
        <w:spacing w:after="0" w:line="216" w:lineRule="exact"/>
        <w:rPr>
          <w:sz w:val="20"/>
          <w:szCs w:val="20"/>
          <w:color w:val="auto"/>
        </w:rPr>
      </w:pPr>
    </w:p>
    <w:p>
      <w:pPr>
        <w:ind w:left="860"/>
        <w:spacing w:after="0"/>
        <w:tabs>
          <w:tab w:leader="none" w:pos="1820" w:val="left"/>
        </w:tabs>
        <w:rPr>
          <w:sz w:val="20"/>
          <w:szCs w:val="20"/>
          <w:color w:val="auto"/>
        </w:rPr>
      </w:pPr>
      <w:r>
        <w:rPr>
          <w:rFonts w:ascii="Arial" w:cs="Arial" w:eastAsia="Arial" w:hAnsi="Arial"/>
          <w:sz w:val="20"/>
          <w:szCs w:val="20"/>
          <w:color w:val="auto"/>
        </w:rPr>
        <w:t>1.17</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EMA</w:t>
      </w:r>
      <w:r>
        <w:rPr>
          <w:rFonts w:ascii="Arial" w:cs="Arial" w:eastAsia="Arial" w:hAnsi="Arial"/>
          <w:sz w:val="18"/>
          <w:szCs w:val="18"/>
          <w:color w:val="auto"/>
        </w:rPr>
        <w:t>” means the European Medicines Agency.</w:t>
      </w:r>
    </w:p>
    <w:p>
      <w:pPr>
        <w:spacing w:after="0" w:line="216" w:lineRule="exact"/>
        <w:rPr>
          <w:sz w:val="20"/>
          <w:szCs w:val="20"/>
          <w:color w:val="auto"/>
        </w:rPr>
      </w:pPr>
    </w:p>
    <w:p>
      <w:pPr>
        <w:ind w:right="180" w:firstLine="846"/>
        <w:spacing w:after="0" w:line="273" w:lineRule="auto"/>
        <w:rPr>
          <w:sz w:val="20"/>
          <w:szCs w:val="20"/>
          <w:color w:val="auto"/>
        </w:rPr>
      </w:pPr>
      <w:r>
        <w:rPr>
          <w:rFonts w:ascii="Arial" w:cs="Arial" w:eastAsia="Arial" w:hAnsi="Arial"/>
          <w:sz w:val="19"/>
          <w:szCs w:val="19"/>
          <w:color w:val="auto"/>
        </w:rPr>
        <w:t>1.18 “</w:t>
      </w:r>
      <w:r>
        <w:rPr>
          <w:rFonts w:ascii="Arial" w:cs="Arial" w:eastAsia="Arial" w:hAnsi="Arial"/>
          <w:sz w:val="19"/>
          <w:szCs w:val="19"/>
          <w:b w:val="1"/>
          <w:bCs w:val="1"/>
          <w:color w:val="auto"/>
        </w:rPr>
        <w:t>Encumbrance</w:t>
      </w:r>
      <w:r>
        <w:rPr>
          <w:rFonts w:ascii="Arial" w:cs="Arial" w:eastAsia="Arial" w:hAnsi="Arial"/>
          <w:sz w:val="19"/>
          <w:szCs w:val="19"/>
          <w:color w:val="auto"/>
        </w:rPr>
        <w:t>” means any lien, mortgage, pledge, hypothecation, charge, preference, security interest, attachment, claim, restriction, including transfer restrictions, put, call, right of first refusal, easement, servitude, right-of-way, option, warrant, conditional sale or installment contract or encumbrance of any kind and any financing lease involving substantially the same effect.</w:t>
      </w:r>
    </w:p>
    <w:p>
      <w:pPr>
        <w:spacing w:after="0" w:line="159" w:lineRule="exact"/>
        <w:rPr>
          <w:sz w:val="20"/>
          <w:szCs w:val="20"/>
          <w:color w:val="auto"/>
        </w:rPr>
      </w:pPr>
    </w:p>
    <w:p>
      <w:pPr>
        <w:ind w:left="860"/>
        <w:spacing w:after="0"/>
        <w:tabs>
          <w:tab w:leader="none" w:pos="1820" w:val="left"/>
        </w:tabs>
        <w:rPr>
          <w:sz w:val="20"/>
          <w:szCs w:val="20"/>
          <w:color w:val="auto"/>
        </w:rPr>
      </w:pPr>
      <w:r>
        <w:rPr>
          <w:rFonts w:ascii="Arial" w:cs="Arial" w:eastAsia="Arial" w:hAnsi="Arial"/>
          <w:sz w:val="20"/>
          <w:szCs w:val="20"/>
          <w:color w:val="auto"/>
        </w:rPr>
        <w:t>1.19</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FDA</w:t>
      </w:r>
      <w:r>
        <w:rPr>
          <w:rFonts w:ascii="Arial" w:cs="Arial" w:eastAsia="Arial" w:hAnsi="Arial"/>
          <w:sz w:val="18"/>
          <w:szCs w:val="18"/>
          <w:color w:val="auto"/>
        </w:rPr>
        <w:t>” means the United States Food and Drug Administration.</w:t>
      </w:r>
    </w:p>
    <w:p>
      <w:pPr>
        <w:spacing w:after="0" w:line="216" w:lineRule="exact"/>
        <w:rPr>
          <w:sz w:val="20"/>
          <w:szCs w:val="20"/>
          <w:color w:val="auto"/>
        </w:rPr>
      </w:pPr>
    </w:p>
    <w:p>
      <w:pPr>
        <w:ind w:left="860"/>
        <w:spacing w:after="0"/>
        <w:tabs>
          <w:tab w:leader="none" w:pos="1820" w:val="left"/>
        </w:tabs>
        <w:rPr>
          <w:sz w:val="20"/>
          <w:szCs w:val="20"/>
          <w:color w:val="auto"/>
        </w:rPr>
      </w:pPr>
      <w:r>
        <w:rPr>
          <w:rFonts w:ascii="Arial" w:cs="Arial" w:eastAsia="Arial" w:hAnsi="Arial"/>
          <w:sz w:val="20"/>
          <w:szCs w:val="20"/>
          <w:color w:val="auto"/>
        </w:rPr>
        <w:t>1.20</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FFDCA</w:t>
      </w:r>
      <w:r>
        <w:rPr>
          <w:rFonts w:ascii="Arial" w:cs="Arial" w:eastAsia="Arial" w:hAnsi="Arial"/>
          <w:sz w:val="18"/>
          <w:szCs w:val="18"/>
          <w:color w:val="auto"/>
        </w:rPr>
        <w:t>” means the U.S. Federal Food, Drug, and Cosmetic Act.</w:t>
      </w:r>
    </w:p>
    <w:p>
      <w:pPr>
        <w:spacing w:after="0" w:line="216" w:lineRule="exact"/>
        <w:rPr>
          <w:sz w:val="20"/>
          <w:szCs w:val="20"/>
          <w:color w:val="auto"/>
        </w:rPr>
      </w:pPr>
    </w:p>
    <w:p>
      <w:pPr>
        <w:ind w:right="80" w:firstLine="846"/>
        <w:spacing w:after="0" w:line="248" w:lineRule="auto"/>
        <w:rPr>
          <w:sz w:val="20"/>
          <w:szCs w:val="20"/>
          <w:color w:val="auto"/>
        </w:rPr>
      </w:pPr>
      <w:r>
        <w:rPr>
          <w:rFonts w:ascii="Arial" w:cs="Arial" w:eastAsia="Arial" w:hAnsi="Arial"/>
          <w:sz w:val="20"/>
          <w:szCs w:val="20"/>
          <w:color w:val="auto"/>
        </w:rPr>
        <w:t>1.21 “</w:t>
      </w:r>
      <w:r>
        <w:rPr>
          <w:rFonts w:ascii="Arial" w:cs="Arial" w:eastAsia="Arial" w:hAnsi="Arial"/>
          <w:sz w:val="20"/>
          <w:szCs w:val="20"/>
          <w:b w:val="1"/>
          <w:bCs w:val="1"/>
          <w:color w:val="auto"/>
        </w:rPr>
        <w:t>Governmental Entity</w:t>
      </w:r>
      <w:r>
        <w:rPr>
          <w:rFonts w:ascii="Arial" w:cs="Arial" w:eastAsia="Arial" w:hAnsi="Arial"/>
          <w:sz w:val="20"/>
          <w:szCs w:val="20"/>
          <w:color w:val="auto"/>
        </w:rPr>
        <w:t>” means any entity or body exercising executive, legislative, judicial, regulatory or administrative functions of or pertaining to United States federal, state, local, or municipal government, or foreign, international, multinational or other government, including any department, commission, board, agency, bureau, subdivision, instrumentality, or other regulatory, administrative or judicial authority thereof.</w:t>
      </w:r>
    </w:p>
    <w:p>
      <w:pPr>
        <w:spacing w:after="0" w:line="184" w:lineRule="exact"/>
        <w:rPr>
          <w:sz w:val="20"/>
          <w:szCs w:val="20"/>
          <w:color w:val="auto"/>
        </w:rPr>
      </w:pPr>
    </w:p>
    <w:p>
      <w:pPr>
        <w:ind w:left="860"/>
        <w:spacing w:after="0"/>
        <w:tabs>
          <w:tab w:leader="none" w:pos="1820" w:val="left"/>
        </w:tabs>
        <w:rPr>
          <w:sz w:val="20"/>
          <w:szCs w:val="20"/>
          <w:color w:val="auto"/>
        </w:rPr>
      </w:pPr>
      <w:r>
        <w:rPr>
          <w:rFonts w:ascii="Arial" w:cs="Arial" w:eastAsia="Arial" w:hAnsi="Arial"/>
          <w:sz w:val="20"/>
          <w:szCs w:val="20"/>
          <w:color w:val="auto"/>
        </w:rPr>
        <w:t>1.22</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Inbound Licenses</w:t>
      </w:r>
      <w:r>
        <w:rPr>
          <w:rFonts w:ascii="Arial" w:cs="Arial" w:eastAsia="Arial" w:hAnsi="Arial"/>
          <w:sz w:val="18"/>
          <w:szCs w:val="18"/>
          <w:color w:val="auto"/>
        </w:rPr>
        <w:t xml:space="preserve">” is defined in </w:t>
      </w:r>
      <w:r>
        <w:rPr>
          <w:rFonts w:ascii="Arial" w:cs="Arial" w:eastAsia="Arial" w:hAnsi="Arial"/>
          <w:sz w:val="18"/>
          <w:szCs w:val="18"/>
          <w:u w:val="single" w:color="auto"/>
          <w:color w:val="auto"/>
        </w:rPr>
        <w:t>Section 4.7(j)</w:t>
      </w:r>
      <w:r>
        <w:rPr>
          <w:rFonts w:ascii="Arial" w:cs="Arial" w:eastAsia="Arial" w:hAnsi="Arial"/>
          <w:sz w:val="18"/>
          <w:szCs w:val="18"/>
          <w:color w:val="auto"/>
        </w:rPr>
        <w:t>.</w:t>
      </w:r>
    </w:p>
    <w:p>
      <w:pPr>
        <w:spacing w:after="0" w:line="222"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2</w:t>
      </w:r>
    </w:p>
    <w:p>
      <w:pPr>
        <w:spacing w:after="0" w:line="10" w:lineRule="exact"/>
        <w:rPr>
          <w:sz w:val="20"/>
          <w:szCs w:val="20"/>
          <w:color w:val="auto"/>
        </w:rPr>
      </w:pPr>
    </w:p>
    <w:p>
      <w:pPr>
        <w:ind w:firstLine="8"/>
        <w:spacing w:after="0" w:line="237" w:lineRule="auto"/>
        <w:tabs>
          <w:tab w:leader="none" w:pos="204" w:val="left"/>
        </w:tabs>
        <w:numPr>
          <w:ilvl w:val="0"/>
          <w:numId w:val="60"/>
        </w:numPr>
        <w:rPr>
          <w:rFonts w:ascii="Arial" w:cs="Arial" w:eastAsia="Arial" w:hAnsi="Arial"/>
          <w:sz w:val="14"/>
          <w:szCs w:val="14"/>
          <w:color w:val="auto"/>
        </w:rPr>
      </w:pPr>
      <w:r>
        <w:rPr>
          <w:rFonts w:ascii="Arial" w:cs="Arial" w:eastAsia="Arial" w:hAnsi="Arial"/>
          <w:sz w:val="14"/>
          <w:szCs w:val="14"/>
          <w:color w:val="auto"/>
        </w:rPr>
        <w:t>DESIGNATES PORTIONS OF THIS DOCUMENT THAT HAVE BEEN OMITTED PURSUANT TO A REQUEST FOR CONFIDENTIAL TREATMENT FILED SEPARATELY WITH THE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46990</wp:posOffset>
            </wp:positionV>
            <wp:extent cx="7289165"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562" w:right="279" w:bottom="1440" w:gutter="0" w:footer="0" w:header="0"/>
        </w:sectPr>
      </w:pPr>
    </w:p>
    <w:bookmarkStart w:id="66" w:name="page67"/>
    <w:bookmarkEnd w:id="66"/>
    <w:p>
      <w:pPr>
        <w:ind w:right="380" w:firstLine="846"/>
        <w:spacing w:after="0" w:line="253" w:lineRule="auto"/>
        <w:rPr>
          <w:sz w:val="20"/>
          <w:szCs w:val="20"/>
          <w:color w:val="auto"/>
        </w:rPr>
      </w:pPr>
      <w:r>
        <w:rPr>
          <w:rFonts w:ascii="Arial" w:cs="Arial" w:eastAsia="Arial" w:hAnsi="Arial"/>
          <w:sz w:val="20"/>
          <w:szCs w:val="20"/>
          <w:color w:val="auto"/>
        </w:rPr>
        <w:t>1.23 “</w:t>
      </w:r>
      <w:r>
        <w:rPr>
          <w:rFonts w:ascii="Arial" w:cs="Arial" w:eastAsia="Arial" w:hAnsi="Arial"/>
          <w:sz w:val="20"/>
          <w:szCs w:val="20"/>
          <w:b w:val="1"/>
          <w:bCs w:val="1"/>
          <w:color w:val="auto"/>
        </w:rPr>
        <w:t>IND</w:t>
      </w:r>
      <w:r>
        <w:rPr>
          <w:rFonts w:ascii="Arial" w:cs="Arial" w:eastAsia="Arial" w:hAnsi="Arial"/>
          <w:sz w:val="20"/>
          <w:szCs w:val="20"/>
          <w:color w:val="auto"/>
        </w:rPr>
        <w:t>” means (i) an investigational new drug application filed with the FDA for authorization to commence clinical studies and its equivalent in the United States or Canada and (ii) all supplements and amendments that may be filed with respect to the foregoing.</w:t>
      </w:r>
    </w:p>
    <w:p>
      <w:pPr>
        <w:spacing w:after="0" w:line="178" w:lineRule="exact"/>
        <w:rPr>
          <w:sz w:val="20"/>
          <w:szCs w:val="20"/>
          <w:color w:val="auto"/>
        </w:rPr>
      </w:pPr>
    </w:p>
    <w:p>
      <w:pPr>
        <w:ind w:left="860"/>
        <w:spacing w:after="0"/>
        <w:tabs>
          <w:tab w:leader="none" w:pos="1820" w:val="left"/>
        </w:tabs>
        <w:rPr>
          <w:sz w:val="20"/>
          <w:szCs w:val="20"/>
          <w:color w:val="auto"/>
        </w:rPr>
      </w:pPr>
      <w:r>
        <w:rPr>
          <w:rFonts w:ascii="Arial" w:cs="Arial" w:eastAsia="Arial" w:hAnsi="Arial"/>
          <w:sz w:val="20"/>
          <w:szCs w:val="20"/>
          <w:color w:val="auto"/>
        </w:rPr>
        <w:t>1.24</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Indemnified Acquiror Party</w:t>
      </w:r>
      <w:r>
        <w:rPr>
          <w:rFonts w:ascii="Arial" w:cs="Arial" w:eastAsia="Arial" w:hAnsi="Arial"/>
          <w:sz w:val="18"/>
          <w:szCs w:val="18"/>
          <w:color w:val="auto"/>
        </w:rPr>
        <w:t xml:space="preserve">” is defined in </w:t>
      </w:r>
      <w:r>
        <w:rPr>
          <w:rFonts w:ascii="Arial" w:cs="Arial" w:eastAsia="Arial" w:hAnsi="Arial"/>
          <w:sz w:val="18"/>
          <w:szCs w:val="18"/>
          <w:u w:val="single" w:color="auto"/>
          <w:color w:val="auto"/>
        </w:rPr>
        <w:t>Section 9.1</w:t>
      </w:r>
      <w:r>
        <w:rPr>
          <w:rFonts w:ascii="Arial" w:cs="Arial" w:eastAsia="Arial" w:hAnsi="Arial"/>
          <w:sz w:val="18"/>
          <w:szCs w:val="18"/>
          <w:color w:val="auto"/>
        </w:rPr>
        <w:t>.</w:t>
      </w:r>
    </w:p>
    <w:p>
      <w:pPr>
        <w:spacing w:after="0" w:line="216" w:lineRule="exact"/>
        <w:rPr>
          <w:sz w:val="20"/>
          <w:szCs w:val="20"/>
          <w:color w:val="auto"/>
        </w:rPr>
      </w:pPr>
    </w:p>
    <w:p>
      <w:pPr>
        <w:ind w:right="160" w:firstLine="846"/>
        <w:spacing w:after="0" w:line="246" w:lineRule="auto"/>
        <w:rPr>
          <w:sz w:val="20"/>
          <w:szCs w:val="20"/>
          <w:color w:val="auto"/>
        </w:rPr>
      </w:pPr>
      <w:r>
        <w:rPr>
          <w:rFonts w:ascii="Arial" w:cs="Arial" w:eastAsia="Arial" w:hAnsi="Arial"/>
          <w:sz w:val="20"/>
          <w:szCs w:val="20"/>
          <w:color w:val="auto"/>
        </w:rPr>
        <w:t>1.25 “</w:t>
      </w:r>
      <w:r>
        <w:rPr>
          <w:rFonts w:ascii="Arial" w:cs="Arial" w:eastAsia="Arial" w:hAnsi="Arial"/>
          <w:sz w:val="20"/>
          <w:szCs w:val="20"/>
          <w:b w:val="1"/>
          <w:bCs w:val="1"/>
          <w:color w:val="auto"/>
        </w:rPr>
        <w:t>Indication”</w:t>
      </w:r>
      <w:r>
        <w:rPr>
          <w:rFonts w:ascii="Arial" w:cs="Arial" w:eastAsia="Arial" w:hAnsi="Arial"/>
          <w:sz w:val="20"/>
          <w:szCs w:val="20"/>
          <w:color w:val="auto"/>
        </w:rPr>
        <w:t xml:space="preserve"> means a separate and distinct disease, disorder or medical condition in humans that a Product is intended to treat, prevent, diagnose, monitor or ameliorate, as set forth in the IND or label for such Product, as approved by the applicable Medical Product Regulatory Authority. For clarity, the use of a Product to treat an expanded set or subset of patients for a disease, disorder or medical condition, when such Product has already received regulatory approval with respect to such disease, disorder or medical condition, shall not constitute a separate Indication with respect to such Product.</w:t>
      </w:r>
    </w:p>
    <w:p>
      <w:pPr>
        <w:spacing w:after="0" w:line="185" w:lineRule="exact"/>
        <w:rPr>
          <w:sz w:val="20"/>
          <w:szCs w:val="20"/>
          <w:color w:val="auto"/>
        </w:rPr>
      </w:pPr>
    </w:p>
    <w:p>
      <w:pPr>
        <w:ind w:right="20" w:firstLine="846"/>
        <w:spacing w:after="0" w:line="243" w:lineRule="auto"/>
        <w:rPr>
          <w:sz w:val="20"/>
          <w:szCs w:val="20"/>
          <w:color w:val="auto"/>
        </w:rPr>
      </w:pPr>
      <w:r>
        <w:rPr>
          <w:rFonts w:ascii="Arial" w:cs="Arial" w:eastAsia="Arial" w:hAnsi="Arial"/>
          <w:sz w:val="20"/>
          <w:szCs w:val="20"/>
          <w:color w:val="auto"/>
        </w:rPr>
        <w:t>1.26 “</w:t>
      </w:r>
      <w:r>
        <w:rPr>
          <w:rFonts w:ascii="Arial" w:cs="Arial" w:eastAsia="Arial" w:hAnsi="Arial"/>
          <w:sz w:val="20"/>
          <w:szCs w:val="20"/>
          <w:b w:val="1"/>
          <w:bCs w:val="1"/>
          <w:color w:val="auto"/>
        </w:rPr>
        <w:t>Intellectual Property Rights</w:t>
      </w:r>
      <w:r>
        <w:rPr>
          <w:rFonts w:ascii="Arial" w:cs="Arial" w:eastAsia="Arial" w:hAnsi="Arial"/>
          <w:sz w:val="20"/>
          <w:szCs w:val="20"/>
          <w:color w:val="auto"/>
        </w:rPr>
        <w:t>” means any and all of the rights in or associated with the following throughout, or anywhere in, the world: (i) all letters patent, patent applications, provisional patents, design patents, PCT filings, invention disclosures and other rights to inventions or designs (“</w:t>
      </w:r>
      <w:r>
        <w:rPr>
          <w:rFonts w:ascii="Arial" w:cs="Arial" w:eastAsia="Arial" w:hAnsi="Arial"/>
          <w:sz w:val="20"/>
          <w:szCs w:val="20"/>
          <w:b w:val="1"/>
          <w:bCs w:val="1"/>
          <w:color w:val="auto"/>
        </w:rPr>
        <w:t>Patents</w:t>
      </w:r>
      <w:r>
        <w:rPr>
          <w:rFonts w:ascii="Arial" w:cs="Arial" w:eastAsia="Arial" w:hAnsi="Arial"/>
          <w:sz w:val="20"/>
          <w:szCs w:val="20"/>
          <w:color w:val="auto"/>
        </w:rPr>
        <w:t>”), (ii) all registered and unregistered copyrights in both published and unpublished works, mask works, moral rights, and other literary property or authors rights (“</w:t>
      </w:r>
      <w:r>
        <w:rPr>
          <w:rFonts w:ascii="Arial" w:cs="Arial" w:eastAsia="Arial" w:hAnsi="Arial"/>
          <w:sz w:val="20"/>
          <w:szCs w:val="20"/>
          <w:b w:val="1"/>
          <w:bCs w:val="1"/>
          <w:color w:val="auto"/>
        </w:rPr>
        <w:t>Copyrights</w:t>
      </w:r>
      <w:r>
        <w:rPr>
          <w:rFonts w:ascii="Arial" w:cs="Arial" w:eastAsia="Arial" w:hAnsi="Arial"/>
          <w:sz w:val="20"/>
          <w:szCs w:val="20"/>
          <w:color w:val="auto"/>
        </w:rPr>
        <w:t>”), (iii) all trademarks and service marks (whether or not registered), trade names, logos, trade dress, Domain Names, and other proprietary indicia and all goodwill associated therewith (“</w:t>
      </w:r>
      <w:r>
        <w:rPr>
          <w:rFonts w:ascii="Arial" w:cs="Arial" w:eastAsia="Arial" w:hAnsi="Arial"/>
          <w:sz w:val="20"/>
          <w:szCs w:val="20"/>
          <w:b w:val="1"/>
          <w:bCs w:val="1"/>
          <w:color w:val="auto"/>
        </w:rPr>
        <w:t>Marks</w:t>
      </w:r>
      <w:r>
        <w:rPr>
          <w:rFonts w:ascii="Arial" w:cs="Arial" w:eastAsia="Arial" w:hAnsi="Arial"/>
          <w:sz w:val="20"/>
          <w:szCs w:val="20"/>
          <w:color w:val="auto"/>
        </w:rPr>
        <w:t>”), (iv) Know-How, trade secret rights, and other rights in confidential or proprietary information (“</w:t>
      </w:r>
      <w:r>
        <w:rPr>
          <w:rFonts w:ascii="Arial" w:cs="Arial" w:eastAsia="Arial" w:hAnsi="Arial"/>
          <w:sz w:val="20"/>
          <w:szCs w:val="20"/>
          <w:b w:val="1"/>
          <w:bCs w:val="1"/>
          <w:color w:val="auto"/>
        </w:rPr>
        <w:t>Trade Secrets</w:t>
      </w:r>
      <w:r>
        <w:rPr>
          <w:rFonts w:ascii="Arial" w:cs="Arial" w:eastAsia="Arial" w:hAnsi="Arial"/>
          <w:sz w:val="20"/>
          <w:szCs w:val="20"/>
          <w:color w:val="auto"/>
        </w:rPr>
        <w:t>”), (v) all applications, registrations, issuances, divisions, continuations, renewals, reissuances and extensions of the foregoing; and (vi) any equivalent intellectual property or proprietary rights to the foregoing.</w:t>
      </w:r>
    </w:p>
    <w:p>
      <w:pPr>
        <w:spacing w:after="0" w:line="190" w:lineRule="exact"/>
        <w:rPr>
          <w:sz w:val="20"/>
          <w:szCs w:val="20"/>
          <w:color w:val="auto"/>
        </w:rPr>
      </w:pPr>
    </w:p>
    <w:p>
      <w:pPr>
        <w:ind w:firstLine="846"/>
        <w:spacing w:after="0" w:line="275" w:lineRule="auto"/>
        <w:rPr>
          <w:sz w:val="20"/>
          <w:szCs w:val="20"/>
          <w:color w:val="auto"/>
        </w:rPr>
      </w:pPr>
      <w:r>
        <w:rPr>
          <w:rFonts w:ascii="Arial" w:cs="Arial" w:eastAsia="Arial" w:hAnsi="Arial"/>
          <w:sz w:val="18"/>
          <w:szCs w:val="18"/>
          <w:color w:val="auto"/>
        </w:rPr>
        <w:t>1.27 “</w:t>
      </w:r>
      <w:r>
        <w:rPr>
          <w:rFonts w:ascii="Arial" w:cs="Arial" w:eastAsia="Arial" w:hAnsi="Arial"/>
          <w:sz w:val="18"/>
          <w:szCs w:val="18"/>
          <w:b w:val="1"/>
          <w:bCs w:val="1"/>
          <w:color w:val="auto"/>
        </w:rPr>
        <w:t>Know-How</w:t>
      </w:r>
      <w:r>
        <w:rPr>
          <w:rFonts w:ascii="Arial" w:cs="Arial" w:eastAsia="Arial" w:hAnsi="Arial"/>
          <w:sz w:val="18"/>
          <w:szCs w:val="18"/>
          <w:color w:val="auto"/>
        </w:rPr>
        <w:t>” means all technical, scientific and other know-how and information, trade secrets, knowledge, technology, means, methods, processes, practices, formulas, instructions, skills, techniques, procedures, experiences, ideas, technical assistance, designs, drawings, assembly procedures, computer programs, apparatuses, specifications, data (including biological, chemical, pharmacological, toxicological, pharmaceutical, physical and analytical, clinical, safety, manufacturing and quality control data), results and other material, including high-throughput screening, gene expression, genomics, proteomics and other drug discovery and development technology, assays and any other biological methodology, pre-clinical and clinical trial results, manufacturing procedures, test procedures and purification and isolation techniques, (whether or not confidential, proprietary, patented or patentable) in written, electronic or any other form.</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1520" w:type="dxa"/>
            <w:vAlign w:val="bottom"/>
          </w:tcPr>
          <w:p>
            <w:pPr>
              <w:jc w:val="right"/>
              <w:ind w:right="221"/>
              <w:spacing w:after="0"/>
              <w:rPr>
                <w:sz w:val="20"/>
                <w:szCs w:val="20"/>
                <w:color w:val="auto"/>
              </w:rPr>
            </w:pPr>
            <w:r>
              <w:rPr>
                <w:rFonts w:ascii="Arial" w:cs="Arial" w:eastAsia="Arial" w:hAnsi="Arial"/>
                <w:sz w:val="20"/>
                <w:szCs w:val="20"/>
                <w:color w:val="auto"/>
              </w:rPr>
              <w:t>1.28</w:t>
            </w:r>
          </w:p>
        </w:tc>
        <w:tc>
          <w:tcPr>
            <w:tcW w:w="9820" w:type="dxa"/>
            <w:vAlign w:val="bottom"/>
          </w:tcPr>
          <w:p>
            <w:pPr>
              <w:ind w:left="320"/>
              <w:spacing w:after="0"/>
              <w:rPr>
                <w:sz w:val="20"/>
                <w:szCs w:val="20"/>
                <w:color w:val="auto"/>
              </w:rPr>
            </w:pPr>
            <w:r>
              <w:rPr>
                <w:rFonts w:ascii="Arial" w:cs="Arial" w:eastAsia="Arial" w:hAnsi="Arial"/>
                <w:sz w:val="20"/>
                <w:szCs w:val="20"/>
                <w:color w:val="auto"/>
                <w:w w:val="91"/>
              </w:rPr>
              <w:t>“</w:t>
            </w:r>
            <w:r>
              <w:rPr>
                <w:rFonts w:ascii="Arial" w:cs="Arial" w:eastAsia="Arial" w:hAnsi="Arial"/>
                <w:sz w:val="20"/>
                <w:szCs w:val="20"/>
                <w:b w:val="1"/>
                <w:bCs w:val="1"/>
                <w:color w:val="auto"/>
                <w:w w:val="91"/>
              </w:rPr>
              <w:t>Law</w:t>
            </w:r>
            <w:r>
              <w:rPr>
                <w:rFonts w:ascii="Arial" w:cs="Arial" w:eastAsia="Arial" w:hAnsi="Arial"/>
                <w:sz w:val="20"/>
                <w:szCs w:val="20"/>
                <w:color w:val="auto"/>
                <w:w w:val="91"/>
              </w:rPr>
              <w:t>” means any statute, law (including common law), constitution, treaty, ordinance, code, order, decree, judgment,</w:t>
            </w:r>
          </w:p>
        </w:tc>
      </w:tr>
      <w:tr>
        <w:trPr>
          <w:trHeight w:val="250"/>
        </w:trPr>
        <w:tc>
          <w:tcPr>
            <w:tcW w:w="11340" w:type="dxa"/>
            <w:vAlign w:val="bottom"/>
            <w:gridSpan w:val="2"/>
          </w:tcPr>
          <w:p>
            <w:pPr>
              <w:spacing w:after="0"/>
              <w:rPr>
                <w:sz w:val="20"/>
                <w:szCs w:val="20"/>
                <w:color w:val="auto"/>
              </w:rPr>
            </w:pPr>
            <w:r>
              <w:rPr>
                <w:rFonts w:ascii="Arial" w:cs="Arial" w:eastAsia="Arial" w:hAnsi="Arial"/>
                <w:sz w:val="20"/>
                <w:szCs w:val="20"/>
                <w:color w:val="auto"/>
              </w:rPr>
              <w:t>rule, regulation and any other binding requirement or determination of any Governmental Entity.</w:t>
            </w:r>
          </w:p>
        </w:tc>
      </w:tr>
      <w:tr>
        <w:trPr>
          <w:trHeight w:val="441"/>
        </w:trPr>
        <w:tc>
          <w:tcPr>
            <w:tcW w:w="1520" w:type="dxa"/>
            <w:vAlign w:val="bottom"/>
          </w:tcPr>
          <w:p>
            <w:pPr>
              <w:jc w:val="right"/>
              <w:ind w:right="221"/>
              <w:spacing w:after="0"/>
              <w:rPr>
                <w:sz w:val="20"/>
                <w:szCs w:val="20"/>
                <w:color w:val="auto"/>
              </w:rPr>
            </w:pPr>
            <w:r>
              <w:rPr>
                <w:rFonts w:ascii="Arial" w:cs="Arial" w:eastAsia="Arial" w:hAnsi="Arial"/>
                <w:sz w:val="20"/>
                <w:szCs w:val="20"/>
                <w:color w:val="auto"/>
              </w:rPr>
              <w:t>1.29</w:t>
            </w:r>
          </w:p>
        </w:tc>
        <w:tc>
          <w:tcPr>
            <w:tcW w:w="9820" w:type="dxa"/>
            <w:vAlign w:val="bottom"/>
          </w:tcPr>
          <w:p>
            <w:pPr>
              <w:ind w:left="320"/>
              <w:spacing w:after="0"/>
              <w:rPr>
                <w:sz w:val="20"/>
                <w:szCs w:val="20"/>
                <w:color w:val="auto"/>
              </w:rPr>
            </w:pPr>
            <w:r>
              <w:rPr>
                <w:rFonts w:ascii="Arial" w:cs="Arial" w:eastAsia="Arial" w:hAnsi="Arial"/>
                <w:sz w:val="20"/>
                <w:szCs w:val="20"/>
                <w:color w:val="auto"/>
                <w:w w:val="90"/>
              </w:rPr>
              <w:t>“</w:t>
            </w:r>
            <w:r>
              <w:rPr>
                <w:rFonts w:ascii="Arial" w:cs="Arial" w:eastAsia="Arial" w:hAnsi="Arial"/>
                <w:sz w:val="20"/>
                <w:szCs w:val="20"/>
                <w:b w:val="1"/>
                <w:bCs w:val="1"/>
                <w:color w:val="auto"/>
                <w:w w:val="90"/>
              </w:rPr>
              <w:t>Loan Agreements</w:t>
            </w:r>
            <w:r>
              <w:rPr>
                <w:rFonts w:ascii="Arial" w:cs="Arial" w:eastAsia="Arial" w:hAnsi="Arial"/>
                <w:sz w:val="20"/>
                <w:szCs w:val="20"/>
                <w:color w:val="auto"/>
                <w:w w:val="90"/>
              </w:rPr>
              <w:t>” means (a) [†], (b) [†], (c) [†], and (d) all other agreements pursuant to which Seller was granted or</w:t>
            </w:r>
          </w:p>
        </w:tc>
      </w:tr>
    </w:tbl>
    <w:p>
      <w:pPr>
        <w:spacing w:after="0"/>
        <w:rPr>
          <w:sz w:val="20"/>
          <w:szCs w:val="20"/>
          <w:color w:val="auto"/>
        </w:rPr>
      </w:pPr>
      <w:r>
        <w:rPr>
          <w:rFonts w:ascii="Arial" w:cs="Arial" w:eastAsia="Arial" w:hAnsi="Arial"/>
          <w:sz w:val="20"/>
          <w:szCs w:val="20"/>
          <w:color w:val="auto"/>
        </w:rPr>
        <w:t>received any funding with respect to the operation of its business or exploitation of the Purchased Assets.</w:t>
      </w:r>
    </w:p>
    <w:p>
      <w:pPr>
        <w:spacing w:after="0" w:line="194" w:lineRule="exact"/>
        <w:rPr>
          <w:sz w:val="20"/>
          <w:szCs w:val="20"/>
          <w:color w:val="auto"/>
        </w:rPr>
      </w:pPr>
    </w:p>
    <w:p>
      <w:pPr>
        <w:ind w:right="320" w:firstLine="846"/>
        <w:spacing w:after="0" w:line="267" w:lineRule="auto"/>
        <w:rPr>
          <w:sz w:val="20"/>
          <w:szCs w:val="20"/>
          <w:color w:val="auto"/>
        </w:rPr>
      </w:pPr>
      <w:r>
        <w:rPr>
          <w:rFonts w:ascii="Arial" w:cs="Arial" w:eastAsia="Arial" w:hAnsi="Arial"/>
          <w:sz w:val="20"/>
          <w:szCs w:val="20"/>
          <w:color w:val="auto"/>
        </w:rPr>
        <w:t>1.30 “</w:t>
      </w:r>
      <w:r>
        <w:rPr>
          <w:rFonts w:ascii="Arial" w:cs="Arial" w:eastAsia="Arial" w:hAnsi="Arial"/>
          <w:sz w:val="20"/>
          <w:szCs w:val="20"/>
          <w:b w:val="1"/>
          <w:bCs w:val="1"/>
          <w:color w:val="auto"/>
        </w:rPr>
        <w:t>Loan Payoff Amounts</w:t>
      </w:r>
      <w:r>
        <w:rPr>
          <w:rFonts w:ascii="Arial" w:cs="Arial" w:eastAsia="Arial" w:hAnsi="Arial"/>
          <w:sz w:val="20"/>
          <w:szCs w:val="20"/>
          <w:color w:val="auto"/>
        </w:rPr>
        <w:t>” means the aggregate Pay-Off Amount (as defined in the Payoff Letters) set forth under the Payoff Letters.</w:t>
      </w:r>
    </w:p>
    <w:p>
      <w:pPr>
        <w:spacing w:after="0" w:line="164" w:lineRule="exact"/>
        <w:rPr>
          <w:sz w:val="20"/>
          <w:szCs w:val="20"/>
          <w:color w:val="auto"/>
        </w:rPr>
      </w:pPr>
    </w:p>
    <w:p>
      <w:pPr>
        <w:ind w:left="860"/>
        <w:spacing w:after="0"/>
        <w:tabs>
          <w:tab w:leader="none" w:pos="1820" w:val="left"/>
        </w:tabs>
        <w:rPr>
          <w:sz w:val="20"/>
          <w:szCs w:val="20"/>
          <w:color w:val="auto"/>
        </w:rPr>
      </w:pPr>
      <w:r>
        <w:rPr>
          <w:rFonts w:ascii="Arial" w:cs="Arial" w:eastAsia="Arial" w:hAnsi="Arial"/>
          <w:sz w:val="20"/>
          <w:szCs w:val="20"/>
          <w:color w:val="auto"/>
        </w:rPr>
        <w:t>1.31</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Major Market</w:t>
      </w:r>
      <w:r>
        <w:rPr>
          <w:rFonts w:ascii="Arial" w:cs="Arial" w:eastAsia="Arial" w:hAnsi="Arial"/>
          <w:sz w:val="18"/>
          <w:szCs w:val="18"/>
          <w:color w:val="auto"/>
        </w:rPr>
        <w:t>” means each of the United States of America, the European Union, and Japan.</w:t>
      </w: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3</w:t>
      </w:r>
    </w:p>
    <w:p>
      <w:pPr>
        <w:spacing w:after="0" w:line="10" w:lineRule="exact"/>
        <w:rPr>
          <w:sz w:val="20"/>
          <w:szCs w:val="20"/>
          <w:color w:val="auto"/>
        </w:rPr>
      </w:pPr>
    </w:p>
    <w:p>
      <w:pPr>
        <w:ind w:right="20" w:firstLine="8"/>
        <w:spacing w:after="0" w:line="237" w:lineRule="auto"/>
        <w:tabs>
          <w:tab w:leader="none" w:pos="204" w:val="left"/>
        </w:tabs>
        <w:numPr>
          <w:ilvl w:val="0"/>
          <w:numId w:val="61"/>
        </w:numPr>
        <w:rPr>
          <w:rFonts w:ascii="Arial" w:cs="Arial" w:eastAsia="Arial" w:hAnsi="Arial"/>
          <w:sz w:val="14"/>
          <w:szCs w:val="14"/>
          <w:color w:val="auto"/>
        </w:rPr>
      </w:pPr>
      <w:r>
        <w:rPr>
          <w:rFonts w:ascii="Arial" w:cs="Arial" w:eastAsia="Arial" w:hAnsi="Arial"/>
          <w:sz w:val="14"/>
          <w:szCs w:val="14"/>
          <w:color w:val="auto"/>
        </w:rPr>
        <w:t>DESIGNATES PORTIONS OF THIS DOCUMENT THAT HAVE BEEN OMITTED PURSUANT TO A REQUEST FOR CONFIDENTIAL TREATMENT FILED SEPARATELY WITH THE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46990</wp:posOffset>
            </wp:positionV>
            <wp:extent cx="7289165"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62" w:right="259" w:bottom="1440" w:gutter="0" w:footer="0" w:header="0"/>
        </w:sectPr>
      </w:pPr>
    </w:p>
    <w:bookmarkStart w:id="67" w:name="page68"/>
    <w:bookmarkEnd w:id="67"/>
    <w:p>
      <w:pPr>
        <w:ind w:right="140" w:firstLine="846"/>
        <w:spacing w:after="0" w:line="253" w:lineRule="auto"/>
        <w:rPr>
          <w:sz w:val="20"/>
          <w:szCs w:val="20"/>
          <w:color w:val="auto"/>
        </w:rPr>
      </w:pPr>
      <w:r>
        <w:rPr>
          <w:rFonts w:ascii="Arial" w:cs="Arial" w:eastAsia="Arial" w:hAnsi="Arial"/>
          <w:sz w:val="20"/>
          <w:szCs w:val="20"/>
          <w:color w:val="auto"/>
        </w:rPr>
        <w:t>1.32 “</w:t>
      </w:r>
      <w:r>
        <w:rPr>
          <w:rFonts w:ascii="Arial" w:cs="Arial" w:eastAsia="Arial" w:hAnsi="Arial"/>
          <w:sz w:val="20"/>
          <w:szCs w:val="20"/>
          <w:b w:val="1"/>
          <w:bCs w:val="1"/>
          <w:color w:val="auto"/>
        </w:rPr>
        <w:t>Medical Product Regulatory Authority</w:t>
      </w:r>
      <w:r>
        <w:rPr>
          <w:rFonts w:ascii="Arial" w:cs="Arial" w:eastAsia="Arial" w:hAnsi="Arial"/>
          <w:sz w:val="20"/>
          <w:szCs w:val="20"/>
          <w:color w:val="auto"/>
        </w:rPr>
        <w:t>” means any Governmental Entity that is concerned with the safety, efficacy, reliability, manufacture, investigation, sale or marketing of pharmaceuticals, medical products, biologics or biopharmaceuticals, including, without limitation, FDA, the EMA, and state and local government authorities.</w:t>
      </w:r>
    </w:p>
    <w:p>
      <w:pPr>
        <w:spacing w:after="0" w:line="178" w:lineRule="exact"/>
        <w:rPr>
          <w:sz w:val="20"/>
          <w:szCs w:val="20"/>
          <w:color w:val="auto"/>
        </w:rPr>
      </w:pPr>
    </w:p>
    <w:p>
      <w:pPr>
        <w:jc w:val="both"/>
        <w:ind w:right="100" w:firstLine="846"/>
        <w:spacing w:after="0" w:line="273" w:lineRule="auto"/>
        <w:rPr>
          <w:sz w:val="20"/>
          <w:szCs w:val="20"/>
          <w:color w:val="auto"/>
        </w:rPr>
      </w:pPr>
      <w:r>
        <w:rPr>
          <w:rFonts w:ascii="Arial" w:cs="Arial" w:eastAsia="Arial" w:hAnsi="Arial"/>
          <w:sz w:val="19"/>
          <w:szCs w:val="19"/>
          <w:color w:val="auto"/>
        </w:rPr>
        <w:t>1.33 “</w:t>
      </w:r>
      <w:r>
        <w:rPr>
          <w:rFonts w:ascii="Arial" w:cs="Arial" w:eastAsia="Arial" w:hAnsi="Arial"/>
          <w:sz w:val="19"/>
          <w:szCs w:val="19"/>
          <w:b w:val="1"/>
          <w:bCs w:val="1"/>
          <w:color w:val="auto"/>
        </w:rPr>
        <w:t>NDA</w:t>
      </w:r>
      <w:r>
        <w:rPr>
          <w:rFonts w:ascii="Arial" w:cs="Arial" w:eastAsia="Arial" w:hAnsi="Arial"/>
          <w:sz w:val="19"/>
          <w:szCs w:val="19"/>
          <w:color w:val="auto"/>
        </w:rPr>
        <w:t>” means (a) a New Drug Application, as defined in the FFDCA, which is required to be approved by FDA before the marketing of a product for its FDA-approved intended use, and its equivalent in other countries or regulatory jurisdictions or any successor application or procedure, and (b) all supplements and amendments that may be filed with respect to the foregoing.</w:t>
      </w:r>
    </w:p>
    <w:p>
      <w:pPr>
        <w:spacing w:after="0" w:line="159" w:lineRule="exact"/>
        <w:rPr>
          <w:sz w:val="20"/>
          <w:szCs w:val="20"/>
          <w:color w:val="auto"/>
        </w:rPr>
      </w:pPr>
    </w:p>
    <w:p>
      <w:pPr>
        <w:ind w:right="320" w:firstLine="846"/>
        <w:spacing w:after="0" w:line="267" w:lineRule="auto"/>
        <w:rPr>
          <w:sz w:val="20"/>
          <w:szCs w:val="20"/>
          <w:color w:val="auto"/>
        </w:rPr>
      </w:pPr>
      <w:r>
        <w:rPr>
          <w:rFonts w:ascii="Arial" w:cs="Arial" w:eastAsia="Arial" w:hAnsi="Arial"/>
          <w:sz w:val="20"/>
          <w:szCs w:val="20"/>
          <w:color w:val="auto"/>
        </w:rPr>
        <w:t>1.34 “</w:t>
      </w:r>
      <w:r>
        <w:rPr>
          <w:rFonts w:ascii="Arial" w:cs="Arial" w:eastAsia="Arial" w:hAnsi="Arial"/>
          <w:sz w:val="20"/>
          <w:szCs w:val="20"/>
          <w:b w:val="1"/>
          <w:bCs w:val="1"/>
          <w:color w:val="auto"/>
        </w:rPr>
        <w:t>NDA Approval</w:t>
      </w:r>
      <w:r>
        <w:rPr>
          <w:rFonts w:ascii="Arial" w:cs="Arial" w:eastAsia="Arial" w:hAnsi="Arial"/>
          <w:sz w:val="20"/>
          <w:szCs w:val="20"/>
          <w:color w:val="auto"/>
        </w:rPr>
        <w:t>” means approval of an NDA by a Medical Product Regulatory Authority in a Major Market, which approval is evidenced in a written communication from the appropriate Medical Product Regulatory Authority.</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1520" w:type="dxa"/>
            <w:vAlign w:val="bottom"/>
          </w:tcPr>
          <w:p>
            <w:pPr>
              <w:jc w:val="right"/>
              <w:ind w:right="221"/>
              <w:spacing w:after="0"/>
              <w:rPr>
                <w:sz w:val="20"/>
                <w:szCs w:val="20"/>
                <w:color w:val="auto"/>
              </w:rPr>
            </w:pPr>
            <w:r>
              <w:rPr>
                <w:rFonts w:ascii="Arial" w:cs="Arial" w:eastAsia="Arial" w:hAnsi="Arial"/>
                <w:sz w:val="20"/>
                <w:szCs w:val="20"/>
                <w:color w:val="auto"/>
              </w:rPr>
              <w:t>1.35</w:t>
            </w:r>
          </w:p>
        </w:tc>
        <w:tc>
          <w:tcPr>
            <w:tcW w:w="9620" w:type="dxa"/>
            <w:vAlign w:val="bottom"/>
            <w:gridSpan w:val="5"/>
          </w:tcPr>
          <w:p>
            <w:pPr>
              <w:ind w:left="320"/>
              <w:spacing w:after="0"/>
              <w:rPr>
                <w:sz w:val="20"/>
                <w:szCs w:val="20"/>
                <w:color w:val="auto"/>
              </w:rPr>
            </w:pPr>
            <w:r>
              <w:rPr>
                <w:rFonts w:ascii="Arial" w:cs="Arial" w:eastAsia="Arial" w:hAnsi="Arial"/>
                <w:sz w:val="20"/>
                <w:szCs w:val="20"/>
                <w:color w:val="auto"/>
                <w:w w:val="90"/>
              </w:rPr>
              <w:t>“</w:t>
            </w:r>
            <w:r>
              <w:rPr>
                <w:rFonts w:ascii="Arial" w:cs="Arial" w:eastAsia="Arial" w:hAnsi="Arial"/>
                <w:sz w:val="20"/>
                <w:szCs w:val="20"/>
                <w:b w:val="1"/>
                <w:bCs w:val="1"/>
                <w:color w:val="auto"/>
                <w:w w:val="90"/>
              </w:rPr>
              <w:t>Order</w:t>
            </w:r>
            <w:r>
              <w:rPr>
                <w:rFonts w:ascii="Arial" w:cs="Arial" w:eastAsia="Arial" w:hAnsi="Arial"/>
                <w:sz w:val="20"/>
                <w:szCs w:val="20"/>
                <w:color w:val="auto"/>
                <w:w w:val="90"/>
              </w:rPr>
              <w:t>” means any award, injunction, judgment, decree, order, ruling, subpoena or verdict or other decision entered,</w:t>
            </w:r>
          </w:p>
        </w:tc>
      </w:tr>
      <w:tr>
        <w:trPr>
          <w:trHeight w:val="250"/>
        </w:trPr>
        <w:tc>
          <w:tcPr>
            <w:tcW w:w="11140" w:type="dxa"/>
            <w:vAlign w:val="bottom"/>
            <w:gridSpan w:val="6"/>
          </w:tcPr>
          <w:p>
            <w:pPr>
              <w:spacing w:after="0"/>
              <w:rPr>
                <w:sz w:val="20"/>
                <w:szCs w:val="20"/>
                <w:color w:val="auto"/>
              </w:rPr>
            </w:pPr>
            <w:r>
              <w:rPr>
                <w:rFonts w:ascii="Arial" w:cs="Arial" w:eastAsia="Arial" w:hAnsi="Arial"/>
                <w:sz w:val="20"/>
                <w:szCs w:val="20"/>
                <w:color w:val="auto"/>
              </w:rPr>
              <w:t>issued or rendered by any Governmental Entity.</w:t>
            </w:r>
          </w:p>
        </w:tc>
      </w:tr>
      <w:tr>
        <w:trPr>
          <w:trHeight w:val="401"/>
        </w:trPr>
        <w:tc>
          <w:tcPr>
            <w:tcW w:w="1520" w:type="dxa"/>
            <w:vAlign w:val="bottom"/>
          </w:tcPr>
          <w:p>
            <w:pPr>
              <w:jc w:val="right"/>
              <w:ind w:right="221"/>
              <w:spacing w:after="0"/>
              <w:rPr>
                <w:sz w:val="20"/>
                <w:szCs w:val="20"/>
                <w:color w:val="auto"/>
              </w:rPr>
            </w:pPr>
            <w:r>
              <w:rPr>
                <w:rFonts w:ascii="Arial" w:cs="Arial" w:eastAsia="Arial" w:hAnsi="Arial"/>
                <w:sz w:val="20"/>
                <w:szCs w:val="20"/>
                <w:color w:val="auto"/>
              </w:rPr>
              <w:t>1.36</w:t>
            </w:r>
          </w:p>
        </w:tc>
        <w:tc>
          <w:tcPr>
            <w:tcW w:w="9620" w:type="dxa"/>
            <w:vAlign w:val="bottom"/>
            <w:gridSpan w:val="5"/>
          </w:tcPr>
          <w:p>
            <w:pPr>
              <w:ind w:left="32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Outbound Licenses</w:t>
            </w:r>
            <w:r>
              <w:rPr>
                <w:rFonts w:ascii="Arial" w:cs="Arial" w:eastAsia="Arial" w:hAnsi="Arial"/>
                <w:sz w:val="20"/>
                <w:szCs w:val="20"/>
                <w:color w:val="auto"/>
              </w:rPr>
              <w:t>” is defined in Section 4.7(k).</w:t>
            </w:r>
          </w:p>
        </w:tc>
      </w:tr>
      <w:tr>
        <w:trPr>
          <w:trHeight w:val="20"/>
        </w:trPr>
        <w:tc>
          <w:tcPr>
            <w:tcW w:w="152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5280" w:type="dxa"/>
            <w:vAlign w:val="bottom"/>
          </w:tcPr>
          <w:p>
            <w:pPr>
              <w:spacing w:after="0" w:line="20" w:lineRule="exact"/>
              <w:rPr>
                <w:sz w:val="1"/>
                <w:szCs w:val="1"/>
                <w:color w:val="auto"/>
              </w:rPr>
            </w:pPr>
          </w:p>
        </w:tc>
      </w:tr>
      <w:tr>
        <w:trPr>
          <w:trHeight w:val="426"/>
        </w:trPr>
        <w:tc>
          <w:tcPr>
            <w:tcW w:w="1520" w:type="dxa"/>
            <w:vAlign w:val="bottom"/>
          </w:tcPr>
          <w:p>
            <w:pPr>
              <w:jc w:val="right"/>
              <w:ind w:right="221"/>
              <w:spacing w:after="0"/>
              <w:rPr>
                <w:sz w:val="20"/>
                <w:szCs w:val="20"/>
                <w:color w:val="auto"/>
              </w:rPr>
            </w:pPr>
            <w:r>
              <w:rPr>
                <w:rFonts w:ascii="Arial" w:cs="Arial" w:eastAsia="Arial" w:hAnsi="Arial"/>
                <w:sz w:val="20"/>
                <w:szCs w:val="20"/>
                <w:color w:val="auto"/>
              </w:rPr>
              <w:t>1.37</w:t>
            </w:r>
          </w:p>
        </w:tc>
        <w:tc>
          <w:tcPr>
            <w:tcW w:w="9620" w:type="dxa"/>
            <w:vAlign w:val="bottom"/>
            <w:gridSpan w:val="5"/>
          </w:tcPr>
          <w:p>
            <w:pPr>
              <w:ind w:left="32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Payoff Letters</w:t>
            </w:r>
            <w:r>
              <w:rPr>
                <w:rFonts w:ascii="Arial" w:cs="Arial" w:eastAsia="Arial" w:hAnsi="Arial"/>
                <w:sz w:val="20"/>
                <w:szCs w:val="20"/>
                <w:color w:val="auto"/>
              </w:rPr>
              <w:t>” is defined in Section 7.5.</w:t>
            </w:r>
          </w:p>
        </w:tc>
      </w:tr>
      <w:tr>
        <w:trPr>
          <w:trHeight w:val="20"/>
        </w:trPr>
        <w:tc>
          <w:tcPr>
            <w:tcW w:w="152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900" w:type="dxa"/>
            <w:vAlign w:val="bottom"/>
            <w:gridSpan w:val="2"/>
            <w:shd w:val="clear" w:color="auto" w:fill="000000"/>
          </w:tcPr>
          <w:p>
            <w:pPr>
              <w:spacing w:after="0" w:line="20" w:lineRule="exact"/>
              <w:rPr>
                <w:sz w:val="1"/>
                <w:szCs w:val="1"/>
                <w:color w:val="auto"/>
              </w:rPr>
            </w:pPr>
          </w:p>
        </w:tc>
        <w:tc>
          <w:tcPr>
            <w:tcW w:w="5940" w:type="dxa"/>
            <w:vAlign w:val="bottom"/>
            <w:gridSpan w:val="2"/>
          </w:tcPr>
          <w:p>
            <w:pPr>
              <w:spacing w:after="0" w:line="20" w:lineRule="exact"/>
              <w:rPr>
                <w:sz w:val="1"/>
                <w:szCs w:val="1"/>
                <w:color w:val="auto"/>
              </w:rPr>
            </w:pPr>
          </w:p>
        </w:tc>
      </w:tr>
      <w:tr>
        <w:trPr>
          <w:trHeight w:val="470"/>
        </w:trPr>
        <w:tc>
          <w:tcPr>
            <w:tcW w:w="1520" w:type="dxa"/>
            <w:vAlign w:val="bottom"/>
          </w:tcPr>
          <w:p>
            <w:pPr>
              <w:jc w:val="right"/>
              <w:ind w:right="221"/>
              <w:spacing w:after="0"/>
              <w:rPr>
                <w:sz w:val="20"/>
                <w:szCs w:val="20"/>
                <w:color w:val="auto"/>
              </w:rPr>
            </w:pPr>
            <w:r>
              <w:rPr>
                <w:rFonts w:ascii="Arial" w:cs="Arial" w:eastAsia="Arial" w:hAnsi="Arial"/>
                <w:sz w:val="20"/>
                <w:szCs w:val="20"/>
                <w:color w:val="auto"/>
              </w:rPr>
              <w:t>1.38</w:t>
            </w:r>
          </w:p>
        </w:tc>
        <w:tc>
          <w:tcPr>
            <w:tcW w:w="9620" w:type="dxa"/>
            <w:vAlign w:val="bottom"/>
            <w:gridSpan w:val="5"/>
          </w:tcPr>
          <w:p>
            <w:pPr>
              <w:ind w:left="320"/>
              <w:spacing w:after="0"/>
              <w:rPr>
                <w:sz w:val="20"/>
                <w:szCs w:val="20"/>
                <w:color w:val="auto"/>
              </w:rPr>
            </w:pPr>
            <w:r>
              <w:rPr>
                <w:rFonts w:ascii="Arial" w:cs="Arial" w:eastAsia="Arial" w:hAnsi="Arial"/>
                <w:sz w:val="20"/>
                <w:szCs w:val="20"/>
                <w:color w:val="auto"/>
                <w:w w:val="93"/>
              </w:rPr>
              <w:t>“</w:t>
            </w:r>
            <w:r>
              <w:rPr>
                <w:rFonts w:ascii="Arial" w:cs="Arial" w:eastAsia="Arial" w:hAnsi="Arial"/>
                <w:sz w:val="20"/>
                <w:szCs w:val="20"/>
                <w:b w:val="1"/>
                <w:bCs w:val="1"/>
                <w:color w:val="auto"/>
                <w:w w:val="93"/>
              </w:rPr>
              <w:t>Permitted Encumbrance</w:t>
            </w:r>
            <w:r>
              <w:rPr>
                <w:rFonts w:ascii="Arial" w:cs="Arial" w:eastAsia="Arial" w:hAnsi="Arial"/>
                <w:sz w:val="20"/>
                <w:szCs w:val="20"/>
                <w:color w:val="auto"/>
                <w:w w:val="93"/>
              </w:rPr>
              <w:t>” means Encumbrances arising by operation of law for taxes not yet due and payable.</w:t>
            </w:r>
          </w:p>
        </w:tc>
      </w:tr>
    </w:tbl>
    <w:p>
      <w:pPr>
        <w:spacing w:after="0" w:line="189" w:lineRule="exact"/>
        <w:rPr>
          <w:sz w:val="20"/>
          <w:szCs w:val="20"/>
          <w:color w:val="auto"/>
        </w:rPr>
      </w:pPr>
    </w:p>
    <w:p>
      <w:pPr>
        <w:ind w:firstLine="846"/>
        <w:spacing w:after="0" w:line="323" w:lineRule="auto"/>
        <w:rPr>
          <w:sz w:val="20"/>
          <w:szCs w:val="20"/>
          <w:color w:val="auto"/>
        </w:rPr>
      </w:pPr>
      <w:r>
        <w:rPr>
          <w:rFonts w:ascii="Arial" w:cs="Arial" w:eastAsia="Arial" w:hAnsi="Arial"/>
          <w:sz w:val="18"/>
          <w:szCs w:val="18"/>
          <w:color w:val="auto"/>
        </w:rPr>
        <w:t>1.39 “</w:t>
      </w:r>
      <w:r>
        <w:rPr>
          <w:rFonts w:ascii="Arial" w:cs="Arial" w:eastAsia="Arial" w:hAnsi="Arial"/>
          <w:sz w:val="18"/>
          <w:szCs w:val="18"/>
          <w:b w:val="1"/>
          <w:bCs w:val="1"/>
          <w:color w:val="auto"/>
        </w:rPr>
        <w:t>Person</w:t>
      </w:r>
      <w:r>
        <w:rPr>
          <w:rFonts w:ascii="Arial" w:cs="Arial" w:eastAsia="Arial" w:hAnsi="Arial"/>
          <w:sz w:val="18"/>
          <w:szCs w:val="18"/>
          <w:color w:val="auto"/>
        </w:rPr>
        <w:t>” means an individual, a corporation, a partnership, a limited liability company, a trust, an unincorporated association, a Governmental Entity or any agency, instrumentality or political subdivision of a Governmental Entity, or any other entity or body.</w:t>
      </w:r>
    </w:p>
    <w:p>
      <w:pPr>
        <w:spacing w:after="0" w:line="118" w:lineRule="exact"/>
        <w:rPr>
          <w:sz w:val="20"/>
          <w:szCs w:val="20"/>
          <w:color w:val="auto"/>
        </w:rPr>
      </w:pPr>
    </w:p>
    <w:p>
      <w:pPr>
        <w:ind w:right="120" w:firstLine="846"/>
        <w:spacing w:after="0" w:line="246" w:lineRule="auto"/>
        <w:rPr>
          <w:sz w:val="20"/>
          <w:szCs w:val="20"/>
          <w:color w:val="auto"/>
        </w:rPr>
      </w:pPr>
      <w:r>
        <w:rPr>
          <w:rFonts w:ascii="Arial" w:cs="Arial" w:eastAsia="Arial" w:hAnsi="Arial"/>
          <w:sz w:val="20"/>
          <w:szCs w:val="20"/>
          <w:color w:val="auto"/>
        </w:rPr>
        <w:t>1.40 “</w:t>
      </w:r>
      <w:r>
        <w:rPr>
          <w:rFonts w:ascii="Arial" w:cs="Arial" w:eastAsia="Arial" w:hAnsi="Arial"/>
          <w:sz w:val="20"/>
          <w:szCs w:val="20"/>
          <w:b w:val="1"/>
          <w:bCs w:val="1"/>
          <w:color w:val="auto"/>
        </w:rPr>
        <w:t>Phase III Trial</w:t>
      </w:r>
      <w:r>
        <w:rPr>
          <w:rFonts w:ascii="Arial" w:cs="Arial" w:eastAsia="Arial" w:hAnsi="Arial"/>
          <w:sz w:val="20"/>
          <w:szCs w:val="20"/>
          <w:color w:val="auto"/>
        </w:rPr>
        <w:t>” means, with respect to the Compound, a pivotal clinical study sponsored by Acquiror or its Affiliates or licensees conducted in a sufficient number of patients and whose primary objective is to obtain additional information about the therapeutic efficacy and safety of the Compound in patients for the particular indication in question that is needed to evaluate the overall risk-benefit relationship of the Compound and to provide adequate basis for obtaining requisite regulatory approval(s) and product labeling, as more fully defined in 21 C.F.R. § 312.21(c).</w:t>
      </w:r>
    </w:p>
    <w:p>
      <w:pPr>
        <w:spacing w:after="0" w:line="191" w:lineRule="exact"/>
        <w:rPr>
          <w:sz w:val="20"/>
          <w:szCs w:val="20"/>
          <w:color w:val="auto"/>
        </w:rPr>
      </w:pPr>
    </w:p>
    <w:tbl>
      <w:tblPr>
        <w:tblLayout w:type="fixed"/>
        <w:tblInd w:w="860" w:type="dxa"/>
        <w:tblCellMar>
          <w:top w:w="0" w:type="dxa"/>
          <w:left w:w="0" w:type="dxa"/>
          <w:bottom w:w="0" w:type="dxa"/>
          <w:right w:w="0" w:type="dxa"/>
        </w:tblCellMar>
      </w:tblPr>
      <w:tr>
        <w:trPr>
          <w:trHeight w:val="250"/>
        </w:trPr>
        <w:tc>
          <w:tcPr>
            <w:tcW w:w="660" w:type="dxa"/>
            <w:vAlign w:val="bottom"/>
          </w:tcPr>
          <w:p>
            <w:pPr>
              <w:jc w:val="right"/>
              <w:ind w:right="221"/>
              <w:spacing w:after="0"/>
              <w:rPr>
                <w:sz w:val="20"/>
                <w:szCs w:val="20"/>
                <w:color w:val="auto"/>
              </w:rPr>
            </w:pPr>
            <w:r>
              <w:rPr>
                <w:rFonts w:ascii="Arial" w:cs="Arial" w:eastAsia="Arial" w:hAnsi="Arial"/>
                <w:sz w:val="20"/>
                <w:szCs w:val="20"/>
                <w:color w:val="auto"/>
                <w:w w:val="82"/>
              </w:rPr>
              <w:t>1.41</w:t>
            </w:r>
          </w:p>
        </w:tc>
        <w:tc>
          <w:tcPr>
            <w:tcW w:w="9680" w:type="dxa"/>
            <w:vAlign w:val="bottom"/>
          </w:tcPr>
          <w:p>
            <w:pPr>
              <w:ind w:left="320"/>
              <w:spacing w:after="0"/>
              <w:rPr>
                <w:sz w:val="20"/>
                <w:szCs w:val="20"/>
                <w:color w:val="auto"/>
              </w:rPr>
            </w:pPr>
            <w:r>
              <w:rPr>
                <w:rFonts w:ascii="Arial" w:cs="Arial" w:eastAsia="Arial" w:hAnsi="Arial"/>
                <w:sz w:val="20"/>
                <w:szCs w:val="20"/>
                <w:color w:val="auto"/>
              </w:rPr>
              <w:t>“[†]” means [†].</w:t>
            </w:r>
          </w:p>
        </w:tc>
      </w:tr>
      <w:tr>
        <w:trPr>
          <w:trHeight w:val="441"/>
        </w:trPr>
        <w:tc>
          <w:tcPr>
            <w:tcW w:w="660" w:type="dxa"/>
            <w:vAlign w:val="bottom"/>
          </w:tcPr>
          <w:p>
            <w:pPr>
              <w:jc w:val="right"/>
              <w:ind w:right="221"/>
              <w:spacing w:after="0"/>
              <w:rPr>
                <w:sz w:val="20"/>
                <w:szCs w:val="20"/>
                <w:color w:val="auto"/>
              </w:rPr>
            </w:pPr>
            <w:r>
              <w:rPr>
                <w:rFonts w:ascii="Arial" w:cs="Arial" w:eastAsia="Arial" w:hAnsi="Arial"/>
                <w:sz w:val="20"/>
                <w:szCs w:val="20"/>
                <w:color w:val="auto"/>
                <w:w w:val="82"/>
              </w:rPr>
              <w:t>1.42</w:t>
            </w:r>
          </w:p>
        </w:tc>
        <w:tc>
          <w:tcPr>
            <w:tcW w:w="9680" w:type="dxa"/>
            <w:vAlign w:val="bottom"/>
          </w:tcPr>
          <w:p>
            <w:pPr>
              <w:ind w:left="320"/>
              <w:spacing w:after="0"/>
              <w:rPr>
                <w:sz w:val="20"/>
                <w:szCs w:val="20"/>
                <w:color w:val="auto"/>
              </w:rPr>
            </w:pPr>
            <w:r>
              <w:rPr>
                <w:rFonts w:ascii="Arial" w:cs="Arial" w:eastAsia="Arial" w:hAnsi="Arial"/>
                <w:sz w:val="20"/>
                <w:szCs w:val="20"/>
                <w:color w:val="auto"/>
                <w:w w:val="89"/>
              </w:rPr>
              <w:t>“</w:t>
            </w:r>
            <w:r>
              <w:rPr>
                <w:rFonts w:ascii="Arial" w:cs="Arial" w:eastAsia="Arial" w:hAnsi="Arial"/>
                <w:sz w:val="20"/>
                <w:szCs w:val="20"/>
                <w:b w:val="1"/>
                <w:bCs w:val="1"/>
                <w:color w:val="auto"/>
                <w:w w:val="89"/>
              </w:rPr>
              <w:t>Product</w:t>
            </w:r>
            <w:r>
              <w:rPr>
                <w:rFonts w:ascii="Arial" w:cs="Arial" w:eastAsia="Arial" w:hAnsi="Arial"/>
                <w:sz w:val="20"/>
                <w:szCs w:val="20"/>
                <w:color w:val="auto"/>
                <w:w w:val="89"/>
              </w:rPr>
              <w:t>” means a pharmaceutical preparation containing the Compound, as an active ingredient, in any formulation,</w:t>
            </w:r>
          </w:p>
        </w:tc>
      </w:tr>
    </w:tbl>
    <w:p>
      <w:pPr>
        <w:ind w:right="140"/>
        <w:spacing w:after="0" w:line="244" w:lineRule="auto"/>
        <w:rPr>
          <w:sz w:val="20"/>
          <w:szCs w:val="20"/>
          <w:color w:val="auto"/>
        </w:rPr>
      </w:pPr>
      <w:r>
        <w:rPr>
          <w:rFonts w:ascii="Arial" w:cs="Arial" w:eastAsia="Arial" w:hAnsi="Arial"/>
          <w:sz w:val="20"/>
          <w:szCs w:val="20"/>
          <w:color w:val="auto"/>
        </w:rPr>
        <w:t>dosage and form thereof, or as a pro-drug, salt, solution, or hydrate, either alone or in combination with other active ingredients, for all human and non-human therapeutic uses.</w:t>
      </w:r>
    </w:p>
    <w:p>
      <w:pPr>
        <w:spacing w:after="0" w:line="168" w:lineRule="exact"/>
        <w:rPr>
          <w:sz w:val="20"/>
          <w:szCs w:val="20"/>
          <w:color w:val="auto"/>
        </w:rPr>
      </w:pPr>
    </w:p>
    <w:tbl>
      <w:tblPr>
        <w:tblLayout w:type="fixed"/>
        <w:tblInd w:w="860" w:type="dxa"/>
        <w:tblCellMar>
          <w:top w:w="0" w:type="dxa"/>
          <w:left w:w="0" w:type="dxa"/>
          <w:bottom w:w="0" w:type="dxa"/>
          <w:right w:w="0" w:type="dxa"/>
        </w:tblCellMar>
      </w:tblPr>
      <w:tr>
        <w:trPr>
          <w:trHeight w:val="230"/>
        </w:trPr>
        <w:tc>
          <w:tcPr>
            <w:tcW w:w="660" w:type="dxa"/>
            <w:vAlign w:val="bottom"/>
          </w:tcPr>
          <w:p>
            <w:pPr>
              <w:jc w:val="right"/>
              <w:ind w:right="221"/>
              <w:spacing w:after="0"/>
              <w:rPr>
                <w:sz w:val="20"/>
                <w:szCs w:val="20"/>
                <w:color w:val="auto"/>
              </w:rPr>
            </w:pPr>
            <w:r>
              <w:rPr>
                <w:rFonts w:ascii="Arial" w:cs="Arial" w:eastAsia="Arial" w:hAnsi="Arial"/>
                <w:sz w:val="20"/>
                <w:szCs w:val="20"/>
                <w:color w:val="auto"/>
                <w:w w:val="82"/>
              </w:rPr>
              <w:t>1.43</w:t>
            </w:r>
          </w:p>
        </w:tc>
        <w:tc>
          <w:tcPr>
            <w:tcW w:w="4560" w:type="dxa"/>
            <w:vAlign w:val="bottom"/>
            <w:gridSpan w:val="9"/>
          </w:tcPr>
          <w:p>
            <w:pPr>
              <w:ind w:left="32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Purchased Assets</w:t>
            </w:r>
            <w:r>
              <w:rPr>
                <w:rFonts w:ascii="Arial" w:cs="Arial" w:eastAsia="Arial" w:hAnsi="Arial"/>
                <w:sz w:val="20"/>
                <w:szCs w:val="20"/>
                <w:color w:val="auto"/>
              </w:rPr>
              <w:t>” is defined in Section 2.1.</w:t>
            </w:r>
          </w:p>
        </w:tc>
      </w:tr>
      <w:tr>
        <w:trPr>
          <w:trHeight w:val="470"/>
        </w:trPr>
        <w:tc>
          <w:tcPr>
            <w:tcW w:w="660" w:type="dxa"/>
            <w:vAlign w:val="bottom"/>
          </w:tcPr>
          <w:p>
            <w:pPr>
              <w:jc w:val="right"/>
              <w:ind w:right="221"/>
              <w:spacing w:after="0"/>
              <w:rPr>
                <w:sz w:val="20"/>
                <w:szCs w:val="20"/>
                <w:color w:val="auto"/>
              </w:rPr>
            </w:pPr>
            <w:r>
              <w:rPr>
                <w:rFonts w:ascii="Arial" w:cs="Arial" w:eastAsia="Arial" w:hAnsi="Arial"/>
                <w:sz w:val="20"/>
                <w:szCs w:val="20"/>
                <w:color w:val="auto"/>
                <w:w w:val="82"/>
              </w:rPr>
              <w:t>1.44</w:t>
            </w:r>
          </w:p>
        </w:tc>
        <w:tc>
          <w:tcPr>
            <w:tcW w:w="3040" w:type="dxa"/>
            <w:vAlign w:val="bottom"/>
            <w:gridSpan w:val="3"/>
          </w:tcPr>
          <w:p>
            <w:pPr>
              <w:ind w:left="320"/>
              <w:spacing w:after="0"/>
              <w:rPr>
                <w:sz w:val="20"/>
                <w:szCs w:val="20"/>
                <w:color w:val="auto"/>
              </w:rPr>
            </w:pPr>
            <w:r>
              <w:rPr>
                <w:rFonts w:ascii="Arial" w:cs="Arial" w:eastAsia="Arial" w:hAnsi="Arial"/>
                <w:sz w:val="20"/>
                <w:szCs w:val="20"/>
                <w:color w:val="auto"/>
              </w:rPr>
              <w:t xml:space="preserve">“[†] </w:t>
            </w:r>
            <w:r>
              <w:rPr>
                <w:rFonts w:ascii="Arial" w:cs="Arial" w:eastAsia="Arial" w:hAnsi="Arial"/>
                <w:sz w:val="20"/>
                <w:szCs w:val="20"/>
                <w:b w:val="1"/>
                <w:bCs w:val="1"/>
                <w:color w:val="auto"/>
              </w:rPr>
              <w:t>Knowledge</w:t>
            </w:r>
            <w:r>
              <w:rPr>
                <w:rFonts w:ascii="Arial" w:cs="Arial" w:eastAsia="Arial" w:hAnsi="Arial"/>
                <w:sz w:val="20"/>
                <w:szCs w:val="20"/>
                <w:color w:val="auto"/>
              </w:rPr>
              <w:t>” means [†].</w:t>
            </w:r>
          </w:p>
        </w:tc>
        <w:tc>
          <w:tcPr>
            <w:tcW w:w="900" w:type="dxa"/>
            <w:vAlign w:val="bottom"/>
            <w:tcBorders>
              <w:top w:val="single" w:sz="8" w:color="auto"/>
            </w:tcBorders>
            <w:gridSpan w:val="3"/>
          </w:tcPr>
          <w:p>
            <w:pPr>
              <w:spacing w:after="0"/>
              <w:rPr>
                <w:sz w:val="24"/>
                <w:szCs w:val="24"/>
                <w:color w:val="auto"/>
              </w:rPr>
            </w:pPr>
          </w:p>
        </w:tc>
        <w:tc>
          <w:tcPr>
            <w:tcW w:w="620" w:type="dxa"/>
            <w:vAlign w:val="bottom"/>
            <w:gridSpan w:val="3"/>
          </w:tcPr>
          <w:p>
            <w:pPr>
              <w:spacing w:after="0"/>
              <w:rPr>
                <w:sz w:val="24"/>
                <w:szCs w:val="24"/>
                <w:color w:val="auto"/>
              </w:rPr>
            </w:pPr>
          </w:p>
        </w:tc>
      </w:tr>
      <w:tr>
        <w:trPr>
          <w:trHeight w:val="401"/>
        </w:trPr>
        <w:tc>
          <w:tcPr>
            <w:tcW w:w="660" w:type="dxa"/>
            <w:vAlign w:val="bottom"/>
          </w:tcPr>
          <w:p>
            <w:pPr>
              <w:jc w:val="right"/>
              <w:ind w:right="221"/>
              <w:spacing w:after="0"/>
              <w:rPr>
                <w:sz w:val="20"/>
                <w:szCs w:val="20"/>
                <w:color w:val="auto"/>
              </w:rPr>
            </w:pPr>
            <w:r>
              <w:rPr>
                <w:rFonts w:ascii="Arial" w:cs="Arial" w:eastAsia="Arial" w:hAnsi="Arial"/>
                <w:sz w:val="20"/>
                <w:szCs w:val="20"/>
                <w:color w:val="auto"/>
                <w:w w:val="82"/>
              </w:rPr>
              <w:t>1.45</w:t>
            </w:r>
          </w:p>
        </w:tc>
        <w:tc>
          <w:tcPr>
            <w:tcW w:w="4560" w:type="dxa"/>
            <w:vAlign w:val="bottom"/>
            <w:gridSpan w:val="9"/>
          </w:tcPr>
          <w:p>
            <w:pPr>
              <w:ind w:left="32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Representatives</w:t>
            </w:r>
            <w:r>
              <w:rPr>
                <w:rFonts w:ascii="Arial" w:cs="Arial" w:eastAsia="Arial" w:hAnsi="Arial"/>
                <w:sz w:val="20"/>
                <w:szCs w:val="20"/>
                <w:color w:val="auto"/>
              </w:rPr>
              <w:t>” is defined in Section 6.1.</w:t>
            </w:r>
          </w:p>
        </w:tc>
      </w:tr>
      <w:tr>
        <w:trPr>
          <w:trHeight w:val="470"/>
        </w:trPr>
        <w:tc>
          <w:tcPr>
            <w:tcW w:w="660" w:type="dxa"/>
            <w:vAlign w:val="bottom"/>
          </w:tcPr>
          <w:p>
            <w:pPr>
              <w:jc w:val="right"/>
              <w:ind w:right="221"/>
              <w:spacing w:after="0"/>
              <w:rPr>
                <w:sz w:val="20"/>
                <w:szCs w:val="20"/>
                <w:color w:val="auto"/>
              </w:rPr>
            </w:pPr>
            <w:r>
              <w:rPr>
                <w:rFonts w:ascii="Arial" w:cs="Arial" w:eastAsia="Arial" w:hAnsi="Arial"/>
                <w:sz w:val="20"/>
                <w:szCs w:val="20"/>
                <w:color w:val="auto"/>
                <w:w w:val="82"/>
              </w:rPr>
              <w:t>1.46</w:t>
            </w:r>
          </w:p>
        </w:tc>
        <w:tc>
          <w:tcPr>
            <w:tcW w:w="2920" w:type="dxa"/>
            <w:vAlign w:val="bottom"/>
          </w:tcPr>
          <w:p>
            <w:pPr>
              <w:ind w:left="320"/>
              <w:spacing w:after="0"/>
              <w:rPr>
                <w:sz w:val="20"/>
                <w:szCs w:val="20"/>
                <w:color w:val="auto"/>
              </w:rPr>
            </w:pPr>
            <w:r>
              <w:rPr>
                <w:rFonts w:ascii="Arial" w:cs="Arial" w:eastAsia="Arial" w:hAnsi="Arial"/>
                <w:sz w:val="20"/>
                <w:szCs w:val="20"/>
                <w:color w:val="auto"/>
              </w:rPr>
              <w:t>“[†]” means [†].</w:t>
            </w:r>
          </w:p>
        </w:tc>
        <w:tc>
          <w:tcPr>
            <w:tcW w:w="880" w:type="dxa"/>
            <w:vAlign w:val="bottom"/>
            <w:tcBorders>
              <w:top w:val="single" w:sz="8" w:color="auto"/>
            </w:tcBorders>
            <w:gridSpan w:val="4"/>
          </w:tcPr>
          <w:p>
            <w:pPr>
              <w:spacing w:after="0"/>
              <w:rPr>
                <w:sz w:val="24"/>
                <w:szCs w:val="24"/>
                <w:color w:val="auto"/>
              </w:rPr>
            </w:pPr>
          </w:p>
        </w:tc>
        <w:tc>
          <w:tcPr>
            <w:tcW w:w="760" w:type="dxa"/>
            <w:vAlign w:val="bottom"/>
            <w:gridSpan w:val="4"/>
          </w:tcPr>
          <w:p>
            <w:pPr>
              <w:spacing w:after="0"/>
              <w:rPr>
                <w:sz w:val="24"/>
                <w:szCs w:val="24"/>
                <w:color w:val="auto"/>
              </w:rPr>
            </w:pPr>
          </w:p>
        </w:tc>
      </w:tr>
      <w:tr>
        <w:trPr>
          <w:trHeight w:val="401"/>
        </w:trPr>
        <w:tc>
          <w:tcPr>
            <w:tcW w:w="660" w:type="dxa"/>
            <w:vAlign w:val="bottom"/>
          </w:tcPr>
          <w:p>
            <w:pPr>
              <w:jc w:val="right"/>
              <w:ind w:right="221"/>
              <w:spacing w:after="0"/>
              <w:rPr>
                <w:sz w:val="20"/>
                <w:szCs w:val="20"/>
                <w:color w:val="auto"/>
              </w:rPr>
            </w:pPr>
            <w:r>
              <w:rPr>
                <w:rFonts w:ascii="Arial" w:cs="Arial" w:eastAsia="Arial" w:hAnsi="Arial"/>
                <w:sz w:val="20"/>
                <w:szCs w:val="20"/>
                <w:color w:val="auto"/>
                <w:w w:val="82"/>
              </w:rPr>
              <w:t>1.47</w:t>
            </w:r>
          </w:p>
        </w:tc>
        <w:tc>
          <w:tcPr>
            <w:tcW w:w="4560" w:type="dxa"/>
            <w:vAlign w:val="bottom"/>
            <w:gridSpan w:val="9"/>
          </w:tcPr>
          <w:p>
            <w:pPr>
              <w:ind w:left="32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Seller Certificate</w:t>
            </w:r>
            <w:r>
              <w:rPr>
                <w:rFonts w:ascii="Arial" w:cs="Arial" w:eastAsia="Arial" w:hAnsi="Arial"/>
                <w:sz w:val="20"/>
                <w:szCs w:val="20"/>
                <w:color w:val="auto"/>
              </w:rPr>
              <w:t>” is defined in Section 8.2(d).</w:t>
            </w:r>
          </w:p>
        </w:tc>
      </w:tr>
      <w:tr>
        <w:trPr>
          <w:trHeight w:val="20"/>
        </w:trPr>
        <w:tc>
          <w:tcPr>
            <w:tcW w:w="660" w:type="dxa"/>
            <w:vAlign w:val="bottom"/>
          </w:tcPr>
          <w:p>
            <w:pPr>
              <w:spacing w:after="0" w:line="20" w:lineRule="exact"/>
              <w:rPr>
                <w:sz w:val="1"/>
                <w:szCs w:val="1"/>
                <w:color w:val="auto"/>
              </w:rPr>
            </w:pPr>
          </w:p>
        </w:tc>
        <w:tc>
          <w:tcPr>
            <w:tcW w:w="3020" w:type="dxa"/>
            <w:vAlign w:val="bottom"/>
            <w:gridSpan w:val="2"/>
          </w:tcPr>
          <w:p>
            <w:pPr>
              <w:spacing w:after="0" w:line="20" w:lineRule="exact"/>
              <w:rPr>
                <w:sz w:val="1"/>
                <w:szCs w:val="1"/>
                <w:color w:val="auto"/>
              </w:rPr>
            </w:pPr>
          </w:p>
        </w:tc>
        <w:tc>
          <w:tcPr>
            <w:tcW w:w="380" w:type="dxa"/>
            <w:vAlign w:val="bottom"/>
            <w:gridSpan w:val="2"/>
            <w:shd w:val="clear" w:color="auto" w:fill="000000"/>
          </w:tcPr>
          <w:p>
            <w:pPr>
              <w:spacing w:after="0" w:line="20" w:lineRule="exact"/>
              <w:rPr>
                <w:sz w:val="1"/>
                <w:szCs w:val="1"/>
                <w:color w:val="auto"/>
              </w:rPr>
            </w:pPr>
          </w:p>
        </w:tc>
        <w:tc>
          <w:tcPr>
            <w:tcW w:w="780" w:type="dxa"/>
            <w:vAlign w:val="bottom"/>
            <w:gridSpan w:val="3"/>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26"/>
        </w:trPr>
        <w:tc>
          <w:tcPr>
            <w:tcW w:w="660" w:type="dxa"/>
            <w:vAlign w:val="bottom"/>
          </w:tcPr>
          <w:p>
            <w:pPr>
              <w:jc w:val="right"/>
              <w:ind w:right="221"/>
              <w:spacing w:after="0"/>
              <w:rPr>
                <w:sz w:val="20"/>
                <w:szCs w:val="20"/>
                <w:color w:val="auto"/>
              </w:rPr>
            </w:pPr>
            <w:r>
              <w:rPr>
                <w:rFonts w:ascii="Arial" w:cs="Arial" w:eastAsia="Arial" w:hAnsi="Arial"/>
                <w:sz w:val="20"/>
                <w:szCs w:val="20"/>
                <w:color w:val="auto"/>
                <w:w w:val="82"/>
              </w:rPr>
              <w:t>1.48</w:t>
            </w:r>
          </w:p>
        </w:tc>
        <w:tc>
          <w:tcPr>
            <w:tcW w:w="4560" w:type="dxa"/>
            <w:vAlign w:val="bottom"/>
            <w:gridSpan w:val="9"/>
          </w:tcPr>
          <w:p>
            <w:pPr>
              <w:ind w:left="320"/>
              <w:spacing w:after="0"/>
              <w:rPr>
                <w:sz w:val="20"/>
                <w:szCs w:val="20"/>
                <w:color w:val="auto"/>
              </w:rPr>
            </w:pPr>
            <w:r>
              <w:rPr>
                <w:rFonts w:ascii="Arial" w:cs="Arial" w:eastAsia="Arial" w:hAnsi="Arial"/>
                <w:sz w:val="20"/>
                <w:szCs w:val="20"/>
                <w:color w:val="auto"/>
                <w:w w:val="91"/>
              </w:rPr>
              <w:t>“</w:t>
            </w:r>
            <w:r>
              <w:rPr>
                <w:rFonts w:ascii="Arial" w:cs="Arial" w:eastAsia="Arial" w:hAnsi="Arial"/>
                <w:sz w:val="20"/>
                <w:szCs w:val="20"/>
                <w:b w:val="1"/>
                <w:bCs w:val="1"/>
                <w:color w:val="auto"/>
                <w:w w:val="91"/>
              </w:rPr>
              <w:t>Seller Registered IPR</w:t>
            </w:r>
            <w:r>
              <w:rPr>
                <w:rFonts w:ascii="Arial" w:cs="Arial" w:eastAsia="Arial" w:hAnsi="Arial"/>
                <w:sz w:val="20"/>
                <w:szCs w:val="20"/>
                <w:color w:val="auto"/>
                <w:w w:val="91"/>
              </w:rPr>
              <w:t>” is defined in Section 4.7(a).</w:t>
            </w:r>
          </w:p>
        </w:tc>
      </w:tr>
      <w:tr>
        <w:trPr>
          <w:trHeight w:val="20"/>
        </w:trPr>
        <w:tc>
          <w:tcPr>
            <w:tcW w:w="66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26"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4</w:t>
      </w:r>
    </w:p>
    <w:p>
      <w:pPr>
        <w:spacing w:after="0" w:line="10" w:lineRule="exact"/>
        <w:rPr>
          <w:sz w:val="20"/>
          <w:szCs w:val="20"/>
          <w:color w:val="auto"/>
        </w:rPr>
      </w:pPr>
    </w:p>
    <w:p>
      <w:pPr>
        <w:ind w:right="40" w:firstLine="8"/>
        <w:spacing w:after="0" w:line="237" w:lineRule="auto"/>
        <w:tabs>
          <w:tab w:leader="none" w:pos="204" w:val="left"/>
        </w:tabs>
        <w:numPr>
          <w:ilvl w:val="0"/>
          <w:numId w:val="62"/>
        </w:numPr>
        <w:rPr>
          <w:rFonts w:ascii="Arial" w:cs="Arial" w:eastAsia="Arial" w:hAnsi="Arial"/>
          <w:sz w:val="14"/>
          <w:szCs w:val="14"/>
          <w:color w:val="auto"/>
        </w:rPr>
      </w:pPr>
      <w:r>
        <w:rPr>
          <w:rFonts w:ascii="Arial" w:cs="Arial" w:eastAsia="Arial" w:hAnsi="Arial"/>
          <w:sz w:val="14"/>
          <w:szCs w:val="14"/>
          <w:color w:val="auto"/>
        </w:rPr>
        <w:t>DESIGNATES PORTIONS OF THIS DOCUMENT THAT HAVE BEEN OMITTED PURSUANT TO A REQUEST FOR CONFIDENTIAL TREATMENT FILED SEPARATELY WITH THE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46990</wp:posOffset>
            </wp:positionV>
            <wp:extent cx="7289165"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62" w:right="239" w:bottom="1440" w:gutter="0" w:footer="0" w:header="0"/>
        </w:sectPr>
      </w:pPr>
    </w:p>
    <w:bookmarkStart w:id="68" w:name="page69"/>
    <w:bookmarkEnd w:id="68"/>
    <w:p>
      <w:pPr>
        <w:ind w:right="40" w:firstLine="846"/>
        <w:spacing w:after="0" w:line="293" w:lineRule="auto"/>
        <w:rPr>
          <w:sz w:val="20"/>
          <w:szCs w:val="20"/>
          <w:color w:val="auto"/>
        </w:rPr>
      </w:pPr>
      <w:r>
        <w:rPr>
          <w:rFonts w:ascii="Arial" w:cs="Arial" w:eastAsia="Arial" w:hAnsi="Arial"/>
          <w:sz w:val="19"/>
          <w:szCs w:val="19"/>
          <w:color w:val="auto"/>
        </w:rPr>
        <w:t>1.49 “</w:t>
      </w:r>
      <w:r>
        <w:rPr>
          <w:rFonts w:ascii="Arial" w:cs="Arial" w:eastAsia="Arial" w:hAnsi="Arial"/>
          <w:sz w:val="19"/>
          <w:szCs w:val="19"/>
          <w:b w:val="1"/>
          <w:bCs w:val="1"/>
          <w:color w:val="auto"/>
        </w:rPr>
        <w:t>sNDA Approval</w:t>
      </w:r>
      <w:r>
        <w:rPr>
          <w:rFonts w:ascii="Arial" w:cs="Arial" w:eastAsia="Arial" w:hAnsi="Arial"/>
          <w:sz w:val="19"/>
          <w:szCs w:val="19"/>
          <w:color w:val="auto"/>
        </w:rPr>
        <w:t>” means approval of a supplemental new drug application by a Medical Product Regulatory Authority in a Major Market, which approval is evidenced in a written communication from the appropriate Medical Product Regulatory Authority.</w:t>
      </w:r>
    </w:p>
    <w:p>
      <w:pPr>
        <w:spacing w:after="0" w:line="148" w:lineRule="exact"/>
        <w:rPr>
          <w:sz w:val="20"/>
          <w:szCs w:val="20"/>
          <w:color w:val="auto"/>
        </w:rPr>
      </w:pPr>
    </w:p>
    <w:tbl>
      <w:tblPr>
        <w:tblLayout w:type="fixed"/>
        <w:tblInd w:w="860" w:type="dxa"/>
        <w:tblCellMar>
          <w:top w:w="0" w:type="dxa"/>
          <w:left w:w="0" w:type="dxa"/>
          <w:bottom w:w="0" w:type="dxa"/>
          <w:right w:w="0" w:type="dxa"/>
        </w:tblCellMar>
      </w:tblPr>
      <w:tr>
        <w:trPr>
          <w:trHeight w:val="250"/>
        </w:trPr>
        <w:tc>
          <w:tcPr>
            <w:tcW w:w="660" w:type="dxa"/>
            <w:vAlign w:val="bottom"/>
          </w:tcPr>
          <w:p>
            <w:pPr>
              <w:jc w:val="right"/>
              <w:ind w:right="221"/>
              <w:spacing w:after="0"/>
              <w:rPr>
                <w:sz w:val="20"/>
                <w:szCs w:val="20"/>
                <w:color w:val="auto"/>
              </w:rPr>
            </w:pPr>
            <w:r>
              <w:rPr>
                <w:rFonts w:ascii="Arial" w:cs="Arial" w:eastAsia="Arial" w:hAnsi="Arial"/>
                <w:sz w:val="20"/>
                <w:szCs w:val="20"/>
                <w:color w:val="auto"/>
                <w:w w:val="82"/>
              </w:rPr>
              <w:t>1.50</w:t>
            </w:r>
          </w:p>
        </w:tc>
        <w:tc>
          <w:tcPr>
            <w:tcW w:w="9560" w:type="dxa"/>
            <w:vAlign w:val="bottom"/>
          </w:tcPr>
          <w:p>
            <w:pPr>
              <w:ind w:left="320"/>
              <w:spacing w:after="0"/>
              <w:rPr>
                <w:sz w:val="20"/>
                <w:szCs w:val="20"/>
                <w:color w:val="auto"/>
              </w:rPr>
            </w:pPr>
            <w:r>
              <w:rPr>
                <w:rFonts w:ascii="Arial" w:cs="Arial" w:eastAsia="Arial" w:hAnsi="Arial"/>
                <w:sz w:val="20"/>
                <w:szCs w:val="20"/>
                <w:color w:val="auto"/>
              </w:rPr>
              <w:t>“[†]” means [†].</w:t>
            </w:r>
          </w:p>
        </w:tc>
      </w:tr>
      <w:tr>
        <w:trPr>
          <w:trHeight w:val="446"/>
        </w:trPr>
        <w:tc>
          <w:tcPr>
            <w:tcW w:w="660" w:type="dxa"/>
            <w:vAlign w:val="bottom"/>
          </w:tcPr>
          <w:p>
            <w:pPr>
              <w:jc w:val="right"/>
              <w:ind w:right="221"/>
              <w:spacing w:after="0"/>
              <w:rPr>
                <w:sz w:val="20"/>
                <w:szCs w:val="20"/>
                <w:color w:val="auto"/>
              </w:rPr>
            </w:pPr>
            <w:r>
              <w:rPr>
                <w:rFonts w:ascii="Arial" w:cs="Arial" w:eastAsia="Arial" w:hAnsi="Arial"/>
                <w:sz w:val="20"/>
                <w:szCs w:val="20"/>
                <w:color w:val="auto"/>
                <w:w w:val="82"/>
              </w:rPr>
              <w:t>1.51</w:t>
            </w:r>
          </w:p>
        </w:tc>
        <w:tc>
          <w:tcPr>
            <w:tcW w:w="9560" w:type="dxa"/>
            <w:vAlign w:val="bottom"/>
          </w:tcPr>
          <w:p>
            <w:pPr>
              <w:ind w:left="320"/>
              <w:spacing w:after="0"/>
              <w:rPr>
                <w:sz w:val="20"/>
                <w:szCs w:val="20"/>
                <w:color w:val="auto"/>
              </w:rPr>
            </w:pPr>
            <w:r>
              <w:rPr>
                <w:rFonts w:ascii="Arial" w:cs="Arial" w:eastAsia="Arial" w:hAnsi="Arial"/>
                <w:sz w:val="20"/>
                <w:szCs w:val="20"/>
                <w:color w:val="auto"/>
              </w:rPr>
              <w:t>“[†]” means [†].</w:t>
            </w:r>
          </w:p>
        </w:tc>
      </w:tr>
      <w:tr>
        <w:trPr>
          <w:trHeight w:val="441"/>
        </w:trPr>
        <w:tc>
          <w:tcPr>
            <w:tcW w:w="660" w:type="dxa"/>
            <w:vAlign w:val="bottom"/>
          </w:tcPr>
          <w:p>
            <w:pPr>
              <w:jc w:val="right"/>
              <w:ind w:right="221"/>
              <w:spacing w:after="0"/>
              <w:rPr>
                <w:sz w:val="20"/>
                <w:szCs w:val="20"/>
                <w:color w:val="auto"/>
              </w:rPr>
            </w:pPr>
            <w:r>
              <w:rPr>
                <w:rFonts w:ascii="Arial" w:cs="Arial" w:eastAsia="Arial" w:hAnsi="Arial"/>
                <w:sz w:val="20"/>
                <w:szCs w:val="20"/>
                <w:color w:val="auto"/>
                <w:w w:val="82"/>
              </w:rPr>
              <w:t>1.52</w:t>
            </w:r>
          </w:p>
        </w:tc>
        <w:tc>
          <w:tcPr>
            <w:tcW w:w="9560" w:type="dxa"/>
            <w:vAlign w:val="bottom"/>
          </w:tcPr>
          <w:p>
            <w:pPr>
              <w:ind w:left="320"/>
              <w:spacing w:after="0"/>
              <w:rPr>
                <w:sz w:val="20"/>
                <w:szCs w:val="20"/>
                <w:color w:val="auto"/>
              </w:rPr>
            </w:pPr>
            <w:r>
              <w:rPr>
                <w:rFonts w:ascii="Arial" w:cs="Arial" w:eastAsia="Arial" w:hAnsi="Arial"/>
                <w:sz w:val="20"/>
                <w:szCs w:val="20"/>
                <w:color w:val="auto"/>
                <w:w w:val="90"/>
              </w:rPr>
              <w:t>“</w:t>
            </w:r>
            <w:r>
              <w:rPr>
                <w:rFonts w:ascii="Arial" w:cs="Arial" w:eastAsia="Arial" w:hAnsi="Arial"/>
                <w:sz w:val="20"/>
                <w:szCs w:val="20"/>
                <w:b w:val="1"/>
                <w:bCs w:val="1"/>
                <w:color w:val="auto"/>
                <w:w w:val="90"/>
              </w:rPr>
              <w:t>Technology</w:t>
            </w:r>
            <w:r>
              <w:rPr>
                <w:rFonts w:ascii="Arial" w:cs="Arial" w:eastAsia="Arial" w:hAnsi="Arial"/>
                <w:sz w:val="20"/>
                <w:szCs w:val="20"/>
                <w:color w:val="auto"/>
                <w:w w:val="90"/>
              </w:rPr>
              <w:t>” means tangible embodiments of any of the following: (i) inventions (whether or not patentable), trade</w:t>
            </w:r>
          </w:p>
        </w:tc>
      </w:tr>
    </w:tbl>
    <w:p>
      <w:pPr>
        <w:ind w:right="20"/>
        <w:spacing w:after="0" w:line="270" w:lineRule="auto"/>
        <w:rPr>
          <w:sz w:val="20"/>
          <w:szCs w:val="20"/>
          <w:color w:val="auto"/>
        </w:rPr>
      </w:pPr>
      <w:r>
        <w:rPr>
          <w:rFonts w:ascii="Arial" w:cs="Arial" w:eastAsia="Arial" w:hAnsi="Arial"/>
          <w:sz w:val="18"/>
          <w:szCs w:val="18"/>
          <w:color w:val="auto"/>
        </w:rPr>
        <w:t>secrets, technical data, databases, customer lists, designs, tools, methods, processes, technology, ideas, Know-How, product road maps and other proprietary information and materials; (ii) trademarks and service marks (whether or not registered), trade names, logos, trade dress and other proprietary indicia; (iii) documentation, advertising copy, marketing materials, web-sites, specifications, mask works, drawings, graphics, databases, recordings and other works of authorship, whether or not protected by Copyright; (iv) computer programs, including any and all software implementations of algorithms, models and methodologies, whether in source code or object code, firmware, development tools, files, records and data, design documents, flow-charts, user manuals, documentation, and training materials relating thereto and any translations thereof and all media on which any of the foregoing is recorded (collectively, “</w:t>
      </w:r>
      <w:r>
        <w:rPr>
          <w:rFonts w:ascii="Arial" w:cs="Arial" w:eastAsia="Arial" w:hAnsi="Arial"/>
          <w:sz w:val="18"/>
          <w:szCs w:val="18"/>
          <w:b w:val="1"/>
          <w:bCs w:val="1"/>
          <w:color w:val="auto"/>
        </w:rPr>
        <w:t>Software</w:t>
      </w:r>
      <w:r>
        <w:rPr>
          <w:rFonts w:ascii="Arial" w:cs="Arial" w:eastAsia="Arial" w:hAnsi="Arial"/>
          <w:sz w:val="18"/>
          <w:szCs w:val="18"/>
          <w:color w:val="auto"/>
        </w:rPr>
        <w:t>”); and (v) domain names, uniform resource locators and other names and locators associated with the Internet (“</w:t>
      </w:r>
      <w:r>
        <w:rPr>
          <w:rFonts w:ascii="Arial" w:cs="Arial" w:eastAsia="Arial" w:hAnsi="Arial"/>
          <w:sz w:val="18"/>
          <w:szCs w:val="18"/>
          <w:b w:val="1"/>
          <w:bCs w:val="1"/>
          <w:color w:val="auto"/>
        </w:rPr>
        <w:t>Domain Names</w:t>
      </w:r>
      <w:r>
        <w:rPr>
          <w:rFonts w:ascii="Arial" w:cs="Arial" w:eastAsia="Arial" w:hAnsi="Arial"/>
          <w:sz w:val="18"/>
          <w:szCs w:val="18"/>
          <w:color w:val="auto"/>
        </w:rPr>
        <w:t>”).</w:t>
      </w:r>
    </w:p>
    <w:p>
      <w:pPr>
        <w:spacing w:after="0" w:line="168" w:lineRule="exact"/>
        <w:rPr>
          <w:sz w:val="20"/>
          <w:szCs w:val="20"/>
          <w:color w:val="auto"/>
        </w:rPr>
      </w:pPr>
    </w:p>
    <w:tbl>
      <w:tblPr>
        <w:tblLayout w:type="fixed"/>
        <w:tblInd w:w="860" w:type="dxa"/>
        <w:tblCellMar>
          <w:top w:w="0" w:type="dxa"/>
          <w:left w:w="0" w:type="dxa"/>
          <w:bottom w:w="0" w:type="dxa"/>
          <w:right w:w="0" w:type="dxa"/>
        </w:tblCellMar>
      </w:tblPr>
      <w:tr>
        <w:trPr>
          <w:trHeight w:val="256"/>
        </w:trPr>
        <w:tc>
          <w:tcPr>
            <w:tcW w:w="660" w:type="dxa"/>
            <w:vAlign w:val="bottom"/>
          </w:tcPr>
          <w:p>
            <w:pPr>
              <w:jc w:val="right"/>
              <w:ind w:right="221"/>
              <w:spacing w:after="0"/>
              <w:rPr>
                <w:sz w:val="20"/>
                <w:szCs w:val="20"/>
                <w:color w:val="auto"/>
              </w:rPr>
            </w:pPr>
            <w:r>
              <w:rPr>
                <w:rFonts w:ascii="Arial" w:cs="Arial" w:eastAsia="Arial" w:hAnsi="Arial"/>
                <w:sz w:val="20"/>
                <w:szCs w:val="20"/>
                <w:color w:val="auto"/>
                <w:w w:val="82"/>
              </w:rPr>
              <w:t>1.53</w:t>
            </w:r>
          </w:p>
        </w:tc>
        <w:tc>
          <w:tcPr>
            <w:tcW w:w="8660" w:type="dxa"/>
            <w:vAlign w:val="bottom"/>
          </w:tcPr>
          <w:p>
            <w:pPr>
              <w:ind w:left="320"/>
              <w:spacing w:after="0"/>
              <w:rPr>
                <w:sz w:val="20"/>
                <w:szCs w:val="20"/>
                <w:color w:val="auto"/>
              </w:rPr>
            </w:pPr>
            <w:r>
              <w:rPr>
                <w:rFonts w:ascii="Arial" w:cs="Arial" w:eastAsia="Arial" w:hAnsi="Arial"/>
                <w:sz w:val="20"/>
                <w:szCs w:val="20"/>
                <w:color w:val="auto"/>
                <w:w w:val="91"/>
              </w:rPr>
              <w:t>“</w:t>
            </w:r>
            <w:r>
              <w:rPr>
                <w:rFonts w:ascii="Arial" w:cs="Arial" w:eastAsia="Arial" w:hAnsi="Arial"/>
                <w:sz w:val="20"/>
                <w:szCs w:val="20"/>
                <w:b w:val="1"/>
                <w:bCs w:val="1"/>
                <w:color w:val="auto"/>
                <w:w w:val="91"/>
              </w:rPr>
              <w:t>Third Party</w:t>
            </w:r>
            <w:r>
              <w:rPr>
                <w:rFonts w:ascii="Arial" w:cs="Arial" w:eastAsia="Arial" w:hAnsi="Arial"/>
                <w:sz w:val="20"/>
                <w:szCs w:val="20"/>
                <w:color w:val="auto"/>
                <w:w w:val="91"/>
              </w:rPr>
              <w:t>” shall mean any Person or entity other than Seller, Acquiror and their respective Affiliates.</w:t>
            </w:r>
          </w:p>
        </w:tc>
      </w:tr>
      <w:tr>
        <w:trPr>
          <w:trHeight w:val="446"/>
        </w:trPr>
        <w:tc>
          <w:tcPr>
            <w:tcW w:w="660" w:type="dxa"/>
            <w:vAlign w:val="bottom"/>
          </w:tcPr>
          <w:p>
            <w:pPr>
              <w:jc w:val="right"/>
              <w:ind w:right="221"/>
              <w:spacing w:after="0"/>
              <w:rPr>
                <w:sz w:val="20"/>
                <w:szCs w:val="20"/>
                <w:color w:val="auto"/>
              </w:rPr>
            </w:pPr>
            <w:r>
              <w:rPr>
                <w:rFonts w:ascii="Arial" w:cs="Arial" w:eastAsia="Arial" w:hAnsi="Arial"/>
                <w:sz w:val="20"/>
                <w:szCs w:val="20"/>
                <w:color w:val="auto"/>
                <w:w w:val="82"/>
              </w:rPr>
              <w:t>1.54</w:t>
            </w:r>
          </w:p>
        </w:tc>
        <w:tc>
          <w:tcPr>
            <w:tcW w:w="8660" w:type="dxa"/>
            <w:vAlign w:val="bottom"/>
          </w:tcPr>
          <w:p>
            <w:pPr>
              <w:ind w:left="320"/>
              <w:spacing w:after="0"/>
              <w:rPr>
                <w:sz w:val="20"/>
                <w:szCs w:val="20"/>
                <w:color w:val="auto"/>
              </w:rPr>
            </w:pPr>
            <w:r>
              <w:rPr>
                <w:rFonts w:ascii="Arial" w:cs="Arial" w:eastAsia="Arial" w:hAnsi="Arial"/>
                <w:sz w:val="20"/>
                <w:szCs w:val="20"/>
                <w:color w:val="auto"/>
              </w:rPr>
              <w:t>“[†]” means [†].</w:t>
            </w:r>
          </w:p>
        </w:tc>
      </w:tr>
    </w:tbl>
    <w:p>
      <w:pPr>
        <w:spacing w:after="0" w:line="189" w:lineRule="exact"/>
        <w:rPr>
          <w:sz w:val="20"/>
          <w:szCs w:val="20"/>
          <w:color w:val="auto"/>
        </w:rPr>
      </w:pPr>
    </w:p>
    <w:p>
      <w:pPr>
        <w:ind w:right="360" w:firstLine="846"/>
        <w:spacing w:after="0" w:line="267" w:lineRule="auto"/>
        <w:rPr>
          <w:sz w:val="20"/>
          <w:szCs w:val="20"/>
          <w:color w:val="auto"/>
        </w:rPr>
      </w:pPr>
      <w:r>
        <w:rPr>
          <w:rFonts w:ascii="Arial" w:cs="Arial" w:eastAsia="Arial" w:hAnsi="Arial"/>
          <w:sz w:val="20"/>
          <w:szCs w:val="20"/>
          <w:color w:val="auto"/>
        </w:rPr>
        <w:t>1.55 “</w:t>
      </w:r>
      <w:r>
        <w:rPr>
          <w:rFonts w:ascii="Arial" w:cs="Arial" w:eastAsia="Arial" w:hAnsi="Arial"/>
          <w:sz w:val="20"/>
          <w:szCs w:val="20"/>
          <w:b w:val="1"/>
          <w:bCs w:val="1"/>
          <w:color w:val="auto"/>
        </w:rPr>
        <w:t>Transaction Documents</w:t>
      </w:r>
      <w:r>
        <w:rPr>
          <w:rFonts w:ascii="Arial" w:cs="Arial" w:eastAsia="Arial" w:hAnsi="Arial"/>
          <w:sz w:val="20"/>
          <w:szCs w:val="20"/>
          <w:color w:val="auto"/>
        </w:rPr>
        <w:t>” means this Agreement and any other, instrument, agreement or document required to be delivered by the parties to this Agreement pursuant to the terms hereof.</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1520" w:type="dxa"/>
            <w:vAlign w:val="bottom"/>
          </w:tcPr>
          <w:p>
            <w:pPr>
              <w:jc w:val="right"/>
              <w:ind w:right="221"/>
              <w:spacing w:after="0"/>
              <w:rPr>
                <w:sz w:val="20"/>
                <w:szCs w:val="20"/>
                <w:color w:val="auto"/>
              </w:rPr>
            </w:pPr>
            <w:r>
              <w:rPr>
                <w:rFonts w:ascii="Arial" w:cs="Arial" w:eastAsia="Arial" w:hAnsi="Arial"/>
                <w:sz w:val="20"/>
                <w:szCs w:val="20"/>
                <w:color w:val="auto"/>
              </w:rPr>
              <w:t>1.56</w:t>
            </w:r>
          </w:p>
        </w:tc>
        <w:tc>
          <w:tcPr>
            <w:tcW w:w="9840" w:type="dxa"/>
            <w:vAlign w:val="bottom"/>
          </w:tcPr>
          <w:p>
            <w:pPr>
              <w:ind w:left="320"/>
              <w:spacing w:after="0"/>
              <w:rPr>
                <w:sz w:val="20"/>
                <w:szCs w:val="20"/>
                <w:color w:val="auto"/>
              </w:rPr>
            </w:pPr>
            <w:r>
              <w:rPr>
                <w:rFonts w:ascii="Arial" w:cs="Arial" w:eastAsia="Arial" w:hAnsi="Arial"/>
                <w:sz w:val="20"/>
                <w:szCs w:val="20"/>
                <w:color w:val="auto"/>
                <w:w w:val="87"/>
              </w:rPr>
              <w:t>“</w:t>
            </w:r>
            <w:r>
              <w:rPr>
                <w:rFonts w:ascii="Arial" w:cs="Arial" w:eastAsia="Arial" w:hAnsi="Arial"/>
                <w:sz w:val="20"/>
                <w:szCs w:val="20"/>
                <w:b w:val="1"/>
                <w:bCs w:val="1"/>
                <w:color w:val="auto"/>
                <w:w w:val="87"/>
              </w:rPr>
              <w:t>Transactions</w:t>
            </w:r>
            <w:r>
              <w:rPr>
                <w:rFonts w:ascii="Arial" w:cs="Arial" w:eastAsia="Arial" w:hAnsi="Arial"/>
                <w:sz w:val="20"/>
                <w:szCs w:val="20"/>
                <w:color w:val="auto"/>
                <w:w w:val="87"/>
              </w:rPr>
              <w:t>” means the purchase and sale of the Purchased Assets hereunder and the other transactions contemplated</w:t>
            </w:r>
          </w:p>
        </w:tc>
      </w:tr>
      <w:tr>
        <w:trPr>
          <w:trHeight w:val="250"/>
        </w:trPr>
        <w:tc>
          <w:tcPr>
            <w:tcW w:w="11360" w:type="dxa"/>
            <w:vAlign w:val="bottom"/>
            <w:gridSpan w:val="2"/>
          </w:tcPr>
          <w:p>
            <w:pPr>
              <w:spacing w:after="0"/>
              <w:rPr>
                <w:sz w:val="20"/>
                <w:szCs w:val="20"/>
                <w:color w:val="auto"/>
              </w:rPr>
            </w:pPr>
            <w:r>
              <w:rPr>
                <w:rFonts w:ascii="Arial" w:cs="Arial" w:eastAsia="Arial" w:hAnsi="Arial"/>
                <w:sz w:val="20"/>
                <w:szCs w:val="20"/>
                <w:color w:val="auto"/>
              </w:rPr>
              <w:t>by the Transaction Documents.</w:t>
            </w:r>
          </w:p>
        </w:tc>
      </w:tr>
      <w:tr>
        <w:trPr>
          <w:trHeight w:val="446"/>
        </w:trPr>
        <w:tc>
          <w:tcPr>
            <w:tcW w:w="1520" w:type="dxa"/>
            <w:vAlign w:val="bottom"/>
          </w:tcPr>
          <w:p>
            <w:pPr>
              <w:jc w:val="right"/>
              <w:ind w:right="221"/>
              <w:spacing w:after="0"/>
              <w:rPr>
                <w:sz w:val="20"/>
                <w:szCs w:val="20"/>
                <w:color w:val="auto"/>
              </w:rPr>
            </w:pPr>
            <w:r>
              <w:rPr>
                <w:rFonts w:ascii="Arial" w:cs="Arial" w:eastAsia="Arial" w:hAnsi="Arial"/>
                <w:sz w:val="20"/>
                <w:szCs w:val="20"/>
                <w:color w:val="auto"/>
              </w:rPr>
              <w:t>1.57</w:t>
            </w:r>
          </w:p>
        </w:tc>
        <w:tc>
          <w:tcPr>
            <w:tcW w:w="9840" w:type="dxa"/>
            <w:vAlign w:val="bottom"/>
          </w:tcPr>
          <w:p>
            <w:pPr>
              <w:ind w:left="32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Transferred Intellectual Property</w:t>
            </w:r>
            <w:r>
              <w:rPr>
                <w:rFonts w:ascii="Arial" w:cs="Arial" w:eastAsia="Arial" w:hAnsi="Arial"/>
                <w:sz w:val="20"/>
                <w:szCs w:val="20"/>
                <w:color w:val="auto"/>
              </w:rPr>
              <w:t>” means, collectively, the Transferred IPR and Transferred Technology.</w:t>
            </w:r>
          </w:p>
        </w:tc>
      </w:tr>
      <w:tr>
        <w:trPr>
          <w:trHeight w:val="441"/>
        </w:trPr>
        <w:tc>
          <w:tcPr>
            <w:tcW w:w="1520" w:type="dxa"/>
            <w:vAlign w:val="bottom"/>
          </w:tcPr>
          <w:p>
            <w:pPr>
              <w:jc w:val="right"/>
              <w:ind w:right="221"/>
              <w:spacing w:after="0"/>
              <w:rPr>
                <w:sz w:val="20"/>
                <w:szCs w:val="20"/>
                <w:color w:val="auto"/>
              </w:rPr>
            </w:pPr>
            <w:r>
              <w:rPr>
                <w:rFonts w:ascii="Arial" w:cs="Arial" w:eastAsia="Arial" w:hAnsi="Arial"/>
                <w:sz w:val="20"/>
                <w:szCs w:val="20"/>
                <w:color w:val="auto"/>
              </w:rPr>
              <w:t>1.58</w:t>
            </w:r>
          </w:p>
        </w:tc>
        <w:tc>
          <w:tcPr>
            <w:tcW w:w="9840" w:type="dxa"/>
            <w:vAlign w:val="bottom"/>
          </w:tcPr>
          <w:p>
            <w:pPr>
              <w:ind w:left="320"/>
              <w:spacing w:after="0"/>
              <w:rPr>
                <w:sz w:val="20"/>
                <w:szCs w:val="20"/>
                <w:color w:val="auto"/>
              </w:rPr>
            </w:pPr>
            <w:r>
              <w:rPr>
                <w:rFonts w:ascii="Arial" w:cs="Arial" w:eastAsia="Arial" w:hAnsi="Arial"/>
                <w:sz w:val="20"/>
                <w:szCs w:val="20"/>
                <w:color w:val="auto"/>
                <w:w w:val="93"/>
              </w:rPr>
              <w:t>“</w:t>
            </w:r>
            <w:r>
              <w:rPr>
                <w:rFonts w:ascii="Arial" w:cs="Arial" w:eastAsia="Arial" w:hAnsi="Arial"/>
                <w:sz w:val="20"/>
                <w:szCs w:val="20"/>
                <w:b w:val="1"/>
                <w:bCs w:val="1"/>
                <w:color w:val="auto"/>
                <w:w w:val="93"/>
              </w:rPr>
              <w:t>Transferred IPR</w:t>
            </w:r>
            <w:r>
              <w:rPr>
                <w:rFonts w:ascii="Arial" w:cs="Arial" w:eastAsia="Arial" w:hAnsi="Arial"/>
                <w:sz w:val="20"/>
                <w:szCs w:val="20"/>
                <w:color w:val="auto"/>
                <w:w w:val="93"/>
              </w:rPr>
              <w:t>” means all Intellectual Property Rights of Seller, including all Seller Registered IPR, Patent rights,</w:t>
            </w:r>
          </w:p>
        </w:tc>
      </w:tr>
    </w:tbl>
    <w:p>
      <w:pPr>
        <w:ind w:right="960"/>
        <w:spacing w:after="0" w:line="244" w:lineRule="auto"/>
        <w:rPr>
          <w:sz w:val="20"/>
          <w:szCs w:val="20"/>
          <w:color w:val="auto"/>
        </w:rPr>
      </w:pPr>
      <w:r>
        <w:rPr>
          <w:rFonts w:ascii="Arial" w:cs="Arial" w:eastAsia="Arial" w:hAnsi="Arial"/>
          <w:sz w:val="20"/>
          <w:szCs w:val="20"/>
          <w:color w:val="auto"/>
        </w:rPr>
        <w:t>Know-How and other Intellectual Property Rights of Seller relating to the Compound or necessary or useful for the development or commercialization of Products, but excluding the “1st Order” trademark.</w:t>
      </w:r>
    </w:p>
    <w:p>
      <w:pPr>
        <w:spacing w:after="0" w:line="186" w:lineRule="exact"/>
        <w:rPr>
          <w:sz w:val="20"/>
          <w:szCs w:val="20"/>
          <w:color w:val="auto"/>
        </w:rPr>
      </w:pPr>
    </w:p>
    <w:p>
      <w:pPr>
        <w:ind w:right="540" w:firstLine="846"/>
        <w:spacing w:after="0" w:line="273" w:lineRule="auto"/>
        <w:rPr>
          <w:sz w:val="20"/>
          <w:szCs w:val="20"/>
          <w:color w:val="auto"/>
        </w:rPr>
      </w:pPr>
      <w:r>
        <w:rPr>
          <w:rFonts w:ascii="Arial" w:cs="Arial" w:eastAsia="Arial" w:hAnsi="Arial"/>
          <w:sz w:val="19"/>
          <w:szCs w:val="19"/>
          <w:color w:val="auto"/>
        </w:rPr>
        <w:t>1.59 “</w:t>
      </w:r>
      <w:r>
        <w:rPr>
          <w:rFonts w:ascii="Arial" w:cs="Arial" w:eastAsia="Arial" w:hAnsi="Arial"/>
          <w:sz w:val="19"/>
          <w:szCs w:val="19"/>
          <w:b w:val="1"/>
          <w:bCs w:val="1"/>
          <w:color w:val="auto"/>
        </w:rPr>
        <w:t>Transferred Technology</w:t>
      </w:r>
      <w:r>
        <w:rPr>
          <w:rFonts w:ascii="Arial" w:cs="Arial" w:eastAsia="Arial" w:hAnsi="Arial"/>
          <w:sz w:val="19"/>
          <w:szCs w:val="19"/>
          <w:color w:val="auto"/>
        </w:rPr>
        <w:t>” means all Technology of Seller relating to or used in connection with the Compound, including (i) the Compound and all reports (including completed development reports), raw data, and APIs related thereto, and (ii) the Technology set forth on Schedule 1.59, but excluding off-the-shelf software programs such as Microsoft 365 and Adobe.</w:t>
      </w:r>
    </w:p>
    <w:p>
      <w:pPr>
        <w:spacing w:after="0" w:line="395"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5</w:t>
      </w:r>
    </w:p>
    <w:p>
      <w:pPr>
        <w:spacing w:after="0" w:line="10" w:lineRule="exact"/>
        <w:rPr>
          <w:sz w:val="20"/>
          <w:szCs w:val="20"/>
          <w:color w:val="auto"/>
        </w:rPr>
      </w:pPr>
    </w:p>
    <w:p>
      <w:pPr>
        <w:ind w:firstLine="8"/>
        <w:spacing w:after="0" w:line="237" w:lineRule="auto"/>
        <w:tabs>
          <w:tab w:leader="none" w:pos="204" w:val="left"/>
        </w:tabs>
        <w:numPr>
          <w:ilvl w:val="0"/>
          <w:numId w:val="63"/>
        </w:numPr>
        <w:rPr>
          <w:rFonts w:ascii="Arial" w:cs="Arial" w:eastAsia="Arial" w:hAnsi="Arial"/>
          <w:sz w:val="14"/>
          <w:szCs w:val="14"/>
          <w:color w:val="auto"/>
        </w:rPr>
      </w:pPr>
      <w:r>
        <w:rPr>
          <w:rFonts w:ascii="Arial" w:cs="Arial" w:eastAsia="Arial" w:hAnsi="Arial"/>
          <w:sz w:val="14"/>
          <w:szCs w:val="14"/>
          <w:color w:val="auto"/>
        </w:rPr>
        <w:t>DESIGNATES PORTIONS OF THIS DOCUMENT THAT HAVE BEEN OMITTED PURSUANT TO A REQUEST FOR CONFIDENTIAL TREATMENT FILED SEPARATELY WITH THE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46990</wp:posOffset>
            </wp:positionV>
            <wp:extent cx="7289165"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562" w:right="279" w:bottom="1440" w:gutter="0" w:footer="0" w:header="0"/>
        </w:sectPr>
      </w:pPr>
    </w:p>
    <w:bookmarkStart w:id="69" w:name="page70"/>
    <w:bookmarkEnd w:id="69"/>
    <w:p>
      <w:pPr>
        <w:jc w:val="center"/>
        <w:ind w:right="-39"/>
        <w:spacing w:after="0"/>
        <w:rPr>
          <w:sz w:val="20"/>
          <w:szCs w:val="20"/>
          <w:color w:val="auto"/>
        </w:rPr>
      </w:pPr>
      <w:r>
        <w:rPr>
          <w:rFonts w:ascii="Arial" w:cs="Arial" w:eastAsia="Arial" w:hAnsi="Arial"/>
          <w:sz w:val="20"/>
          <w:szCs w:val="20"/>
          <w:b w:val="1"/>
          <w:bCs w:val="1"/>
          <w:color w:val="auto"/>
        </w:rPr>
        <w:t>ARTICLE 2 PURCHASE AND SALE</w:t>
      </w:r>
    </w:p>
    <w:p>
      <w:pPr>
        <w:spacing w:after="0" w:line="316" w:lineRule="exact"/>
        <w:rPr>
          <w:sz w:val="20"/>
          <w:szCs w:val="20"/>
          <w:color w:val="auto"/>
        </w:rPr>
      </w:pPr>
    </w:p>
    <w:p>
      <w:pPr>
        <w:ind w:left="860"/>
        <w:spacing w:after="0"/>
        <w:tabs>
          <w:tab w:leader="none" w:pos="1820" w:val="left"/>
        </w:tabs>
        <w:rPr>
          <w:sz w:val="20"/>
          <w:szCs w:val="20"/>
          <w:color w:val="auto"/>
        </w:rPr>
      </w:pPr>
      <w:r>
        <w:rPr>
          <w:rFonts w:ascii="Arial" w:cs="Arial" w:eastAsia="Arial" w:hAnsi="Arial"/>
          <w:sz w:val="20"/>
          <w:szCs w:val="20"/>
          <w:color w:val="auto"/>
        </w:rPr>
        <w:t>2.1</w:t>
      </w:r>
      <w:r>
        <w:rPr>
          <w:sz w:val="20"/>
          <w:szCs w:val="20"/>
          <w:color w:val="auto"/>
        </w:rPr>
        <w:tab/>
      </w:r>
      <w:r>
        <w:rPr>
          <w:rFonts w:ascii="Arial" w:cs="Arial" w:eastAsia="Arial" w:hAnsi="Arial"/>
          <w:sz w:val="16"/>
          <w:szCs w:val="16"/>
          <w:u w:val="single" w:color="auto"/>
          <w:color w:val="auto"/>
        </w:rPr>
        <w:t>Purchase and Sale of the Compound</w:t>
      </w:r>
      <w:r>
        <w:rPr>
          <w:rFonts w:ascii="Arial" w:cs="Arial" w:eastAsia="Arial" w:hAnsi="Arial"/>
          <w:sz w:val="16"/>
          <w:szCs w:val="16"/>
          <w:color w:val="auto"/>
        </w:rPr>
        <w:t>.</w:t>
      </w:r>
    </w:p>
    <w:p>
      <w:pPr>
        <w:spacing w:after="0" w:line="216" w:lineRule="exact"/>
        <w:rPr>
          <w:sz w:val="20"/>
          <w:szCs w:val="20"/>
          <w:color w:val="auto"/>
        </w:rPr>
      </w:pPr>
    </w:p>
    <w:p>
      <w:pPr>
        <w:ind w:right="220" w:firstLine="1698"/>
        <w:spacing w:after="0" w:line="246" w:lineRule="auto"/>
        <w:tabs>
          <w:tab w:leader="none" w:pos="2558" w:val="left"/>
        </w:tabs>
        <w:numPr>
          <w:ilvl w:val="0"/>
          <w:numId w:val="64"/>
        </w:numPr>
        <w:rPr>
          <w:rFonts w:ascii="Arial" w:cs="Arial" w:eastAsia="Arial" w:hAnsi="Arial"/>
          <w:sz w:val="20"/>
          <w:szCs w:val="20"/>
          <w:color w:val="auto"/>
        </w:rPr>
      </w:pPr>
      <w:r>
        <w:rPr>
          <w:rFonts w:ascii="Arial" w:cs="Arial" w:eastAsia="Arial" w:hAnsi="Arial"/>
          <w:sz w:val="20"/>
          <w:szCs w:val="20"/>
          <w:u w:val="single" w:color="auto"/>
          <w:color w:val="auto"/>
        </w:rPr>
        <w:t>Purchased Assets</w:t>
      </w:r>
      <w:r>
        <w:rPr>
          <w:rFonts w:ascii="Arial" w:cs="Arial" w:eastAsia="Arial" w:hAnsi="Arial"/>
          <w:sz w:val="20"/>
          <w:szCs w:val="20"/>
          <w:color w:val="auto"/>
        </w:rPr>
        <w:t>. On the terms and subject to the conditions set forth in this Agreement, at the Closing, Acquiror hereby purchases from Seller, and Seller hereby sells to Acquiror, all of Seller’s right, title, and interest in and to all assets of Seller relating to or used in connection with the Compound (the “</w:t>
      </w:r>
      <w:r>
        <w:rPr>
          <w:rFonts w:ascii="Arial" w:cs="Arial" w:eastAsia="Arial" w:hAnsi="Arial"/>
          <w:sz w:val="20"/>
          <w:szCs w:val="20"/>
          <w:b w:val="1"/>
          <w:bCs w:val="1"/>
          <w:color w:val="auto"/>
        </w:rPr>
        <w:t>Purchased Assets</w:t>
      </w:r>
      <w:r>
        <w:rPr>
          <w:rFonts w:ascii="Arial" w:cs="Arial" w:eastAsia="Arial" w:hAnsi="Arial"/>
          <w:sz w:val="20"/>
          <w:szCs w:val="20"/>
          <w:color w:val="auto"/>
        </w:rPr>
        <w:t>”), free and clear of all Encumbrances, including, without limitation, the following assets:</w:t>
      </w:r>
    </w:p>
    <w:p>
      <w:pPr>
        <w:spacing w:after="0" w:line="191" w:lineRule="exact"/>
        <w:rPr>
          <w:rFonts w:ascii="Arial" w:cs="Arial" w:eastAsia="Arial" w:hAnsi="Arial"/>
          <w:sz w:val="20"/>
          <w:szCs w:val="20"/>
          <w:color w:val="auto"/>
        </w:rPr>
      </w:pPr>
    </w:p>
    <w:p>
      <w:pPr>
        <w:ind w:left="3460" w:hanging="916"/>
        <w:spacing w:after="0"/>
        <w:tabs>
          <w:tab w:leader="none" w:pos="3460" w:val="left"/>
        </w:tabs>
        <w:numPr>
          <w:ilvl w:val="1"/>
          <w:numId w:val="64"/>
        </w:numPr>
        <w:rPr>
          <w:rFonts w:ascii="Arial" w:cs="Arial" w:eastAsia="Arial" w:hAnsi="Arial"/>
          <w:sz w:val="20"/>
          <w:szCs w:val="20"/>
          <w:color w:val="auto"/>
        </w:rPr>
      </w:pPr>
      <w:r>
        <w:rPr>
          <w:rFonts w:ascii="Arial" w:cs="Arial" w:eastAsia="Arial" w:hAnsi="Arial"/>
          <w:sz w:val="20"/>
          <w:szCs w:val="20"/>
          <w:color w:val="auto"/>
        </w:rPr>
        <w:t>The Transferred IPR;</w:t>
      </w:r>
    </w:p>
    <w:p>
      <w:pPr>
        <w:spacing w:after="0" w:line="215" w:lineRule="exact"/>
        <w:rPr>
          <w:rFonts w:ascii="Arial" w:cs="Arial" w:eastAsia="Arial" w:hAnsi="Arial"/>
          <w:sz w:val="20"/>
          <w:szCs w:val="20"/>
          <w:color w:val="auto"/>
        </w:rPr>
      </w:pPr>
    </w:p>
    <w:p>
      <w:pPr>
        <w:ind w:left="3480" w:hanging="936"/>
        <w:spacing w:after="0"/>
        <w:tabs>
          <w:tab w:leader="none" w:pos="3480" w:val="left"/>
        </w:tabs>
        <w:numPr>
          <w:ilvl w:val="1"/>
          <w:numId w:val="64"/>
        </w:numPr>
        <w:rPr>
          <w:rFonts w:ascii="Arial" w:cs="Arial" w:eastAsia="Arial" w:hAnsi="Arial"/>
          <w:sz w:val="20"/>
          <w:szCs w:val="20"/>
          <w:color w:val="auto"/>
        </w:rPr>
      </w:pPr>
      <w:r>
        <w:rPr>
          <w:rFonts w:ascii="Arial" w:cs="Arial" w:eastAsia="Arial" w:hAnsi="Arial"/>
          <w:sz w:val="20"/>
          <w:szCs w:val="20"/>
          <w:color w:val="auto"/>
        </w:rPr>
        <w:t>The Transferred Technology;</w:t>
      </w:r>
    </w:p>
    <w:p>
      <w:pPr>
        <w:spacing w:after="0" w:line="215" w:lineRule="exact"/>
        <w:rPr>
          <w:rFonts w:ascii="Arial" w:cs="Arial" w:eastAsia="Arial" w:hAnsi="Arial"/>
          <w:sz w:val="20"/>
          <w:szCs w:val="20"/>
          <w:color w:val="auto"/>
        </w:rPr>
      </w:pPr>
    </w:p>
    <w:p>
      <w:pPr>
        <w:ind w:left="3480" w:hanging="936"/>
        <w:spacing w:after="0"/>
        <w:tabs>
          <w:tab w:leader="none" w:pos="3480" w:val="left"/>
        </w:tabs>
        <w:numPr>
          <w:ilvl w:val="1"/>
          <w:numId w:val="64"/>
        </w:numPr>
        <w:rPr>
          <w:rFonts w:ascii="Arial" w:cs="Arial" w:eastAsia="Arial" w:hAnsi="Arial"/>
          <w:sz w:val="20"/>
          <w:szCs w:val="20"/>
          <w:color w:val="auto"/>
        </w:rPr>
      </w:pPr>
      <w:r>
        <w:rPr>
          <w:rFonts w:ascii="Arial" w:cs="Arial" w:eastAsia="Arial" w:hAnsi="Arial"/>
          <w:sz w:val="20"/>
          <w:szCs w:val="20"/>
          <w:color w:val="auto"/>
        </w:rPr>
        <w:t>All API existing as of the Effective Date;</w:t>
      </w:r>
    </w:p>
    <w:p>
      <w:pPr>
        <w:spacing w:after="0" w:line="215" w:lineRule="exact"/>
        <w:rPr>
          <w:rFonts w:ascii="Arial" w:cs="Arial" w:eastAsia="Arial" w:hAnsi="Arial"/>
          <w:sz w:val="20"/>
          <w:szCs w:val="20"/>
          <w:color w:val="auto"/>
        </w:rPr>
      </w:pPr>
    </w:p>
    <w:p>
      <w:pPr>
        <w:ind w:left="3480" w:hanging="936"/>
        <w:spacing w:after="0"/>
        <w:tabs>
          <w:tab w:leader="none" w:pos="3480" w:val="left"/>
        </w:tabs>
        <w:numPr>
          <w:ilvl w:val="1"/>
          <w:numId w:val="64"/>
        </w:numPr>
        <w:rPr>
          <w:rFonts w:ascii="Arial" w:cs="Arial" w:eastAsia="Arial" w:hAnsi="Arial"/>
          <w:sz w:val="20"/>
          <w:szCs w:val="20"/>
          <w:color w:val="auto"/>
        </w:rPr>
      </w:pPr>
      <w:r>
        <w:rPr>
          <w:rFonts w:ascii="Arial" w:cs="Arial" w:eastAsia="Arial" w:hAnsi="Arial"/>
          <w:sz w:val="20"/>
          <w:szCs w:val="20"/>
          <w:color w:val="auto"/>
        </w:rPr>
        <w:t>The Compound Regulatory Documentation; and</w:t>
      </w:r>
    </w:p>
    <w:p>
      <w:pPr>
        <w:spacing w:after="0" w:line="215" w:lineRule="exact"/>
        <w:rPr>
          <w:rFonts w:ascii="Arial" w:cs="Arial" w:eastAsia="Arial" w:hAnsi="Arial"/>
          <w:sz w:val="20"/>
          <w:szCs w:val="20"/>
          <w:color w:val="auto"/>
        </w:rPr>
      </w:pPr>
    </w:p>
    <w:p>
      <w:pPr>
        <w:ind w:left="3460" w:hanging="916"/>
        <w:spacing w:after="0"/>
        <w:tabs>
          <w:tab w:leader="none" w:pos="3460" w:val="left"/>
        </w:tabs>
        <w:numPr>
          <w:ilvl w:val="1"/>
          <w:numId w:val="64"/>
        </w:numPr>
        <w:rPr>
          <w:rFonts w:ascii="Arial" w:cs="Arial" w:eastAsia="Arial" w:hAnsi="Arial"/>
          <w:sz w:val="20"/>
          <w:szCs w:val="20"/>
          <w:color w:val="auto"/>
        </w:rPr>
      </w:pPr>
      <w:r>
        <w:rPr>
          <w:rFonts w:ascii="Arial" w:cs="Arial" w:eastAsia="Arial" w:hAnsi="Arial"/>
          <w:sz w:val="20"/>
          <w:szCs w:val="20"/>
          <w:color w:val="auto"/>
        </w:rPr>
        <w:t>All other assets of Seller set forth in Schedule 2.1(a)(v).</w:t>
      </w:r>
    </w:p>
    <w:p>
      <w:pPr>
        <w:spacing w:after="0" w:line="215" w:lineRule="exact"/>
        <w:rPr>
          <w:rFonts w:ascii="Arial" w:cs="Arial" w:eastAsia="Arial" w:hAnsi="Arial"/>
          <w:sz w:val="20"/>
          <w:szCs w:val="20"/>
          <w:color w:val="auto"/>
        </w:rPr>
      </w:pPr>
    </w:p>
    <w:p>
      <w:pPr>
        <w:ind w:left="2580" w:hanging="882"/>
        <w:spacing w:after="0"/>
        <w:tabs>
          <w:tab w:leader="none" w:pos="2580" w:val="left"/>
        </w:tabs>
        <w:numPr>
          <w:ilvl w:val="0"/>
          <w:numId w:val="64"/>
        </w:numPr>
        <w:rPr>
          <w:rFonts w:ascii="Arial" w:cs="Arial" w:eastAsia="Arial" w:hAnsi="Arial"/>
          <w:sz w:val="20"/>
          <w:szCs w:val="20"/>
          <w:color w:val="auto"/>
        </w:rPr>
      </w:pPr>
      <w:r>
        <w:rPr>
          <w:rFonts w:ascii="Arial" w:cs="Arial" w:eastAsia="Arial" w:hAnsi="Arial"/>
          <w:sz w:val="20"/>
          <w:szCs w:val="20"/>
          <w:u w:val="single" w:color="auto"/>
          <w:color w:val="auto"/>
        </w:rPr>
        <w:t>Assumed Liabilities</w:t>
      </w:r>
      <w:r>
        <w:rPr>
          <w:rFonts w:ascii="Arial" w:cs="Arial" w:eastAsia="Arial" w:hAnsi="Arial"/>
          <w:sz w:val="20"/>
          <w:szCs w:val="20"/>
          <w:color w:val="auto"/>
        </w:rPr>
        <w:t>. From and after the Closing, Acquiror hereby agrees as follows (collectively, the</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Assumed Liabilities</w:t>
      </w:r>
      <w:r>
        <w:rPr>
          <w:rFonts w:ascii="Arial" w:cs="Arial" w:eastAsia="Arial" w:hAnsi="Arial"/>
          <w:sz w:val="20"/>
          <w:szCs w:val="20"/>
          <w:color w:val="auto"/>
        </w:rPr>
        <w:t>”):</w:t>
      </w:r>
    </w:p>
    <w:p>
      <w:pPr>
        <w:spacing w:after="0" w:line="200" w:lineRule="exact"/>
        <w:rPr>
          <w:sz w:val="20"/>
          <w:szCs w:val="20"/>
          <w:color w:val="auto"/>
        </w:rPr>
      </w:pPr>
    </w:p>
    <w:p>
      <w:pPr>
        <w:ind w:left="3460" w:hanging="916"/>
        <w:spacing w:after="0"/>
        <w:tabs>
          <w:tab w:leader="none" w:pos="3460" w:val="left"/>
        </w:tabs>
        <w:numPr>
          <w:ilvl w:val="1"/>
          <w:numId w:val="65"/>
        </w:numPr>
        <w:rPr>
          <w:rFonts w:ascii="Arial" w:cs="Arial" w:eastAsia="Arial" w:hAnsi="Arial"/>
          <w:sz w:val="18"/>
          <w:szCs w:val="18"/>
          <w:color w:val="auto"/>
        </w:rPr>
      </w:pPr>
      <w:r>
        <w:rPr>
          <w:rFonts w:ascii="Arial" w:cs="Arial" w:eastAsia="Arial" w:hAnsi="Arial"/>
          <w:sz w:val="18"/>
          <w:szCs w:val="18"/>
          <w:color w:val="auto"/>
        </w:rPr>
        <w:t>Acquiror will pay to Valeant any relevant milestone or royalty payments due to Valeant from Seller</w:t>
      </w:r>
    </w:p>
    <w:p>
      <w:pPr>
        <w:spacing w:after="0" w:line="38"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20"/>
          <w:szCs w:val="20"/>
          <w:color w:val="auto"/>
        </w:rPr>
        <w:t>with regard to the development or commercialization of Products arising under Sections 2.4 and 2.5 of the Valeant APA, and</w:t>
      </w:r>
    </w:p>
    <w:p>
      <w:pPr>
        <w:spacing w:after="0" w:line="199" w:lineRule="exact"/>
        <w:rPr>
          <w:rFonts w:ascii="Arial" w:cs="Arial" w:eastAsia="Arial" w:hAnsi="Arial"/>
          <w:sz w:val="18"/>
          <w:szCs w:val="18"/>
          <w:color w:val="auto"/>
        </w:rPr>
      </w:pPr>
    </w:p>
    <w:p>
      <w:pPr>
        <w:ind w:left="3480" w:hanging="936"/>
        <w:spacing w:after="0"/>
        <w:tabs>
          <w:tab w:leader="none" w:pos="3480" w:val="left"/>
        </w:tabs>
        <w:numPr>
          <w:ilvl w:val="1"/>
          <w:numId w:val="65"/>
        </w:numPr>
        <w:rPr>
          <w:rFonts w:ascii="Arial" w:cs="Arial" w:eastAsia="Arial" w:hAnsi="Arial"/>
          <w:sz w:val="18"/>
          <w:szCs w:val="18"/>
          <w:color w:val="auto"/>
        </w:rPr>
      </w:pPr>
      <w:r>
        <w:rPr>
          <w:rFonts w:ascii="Arial" w:cs="Arial" w:eastAsia="Arial" w:hAnsi="Arial"/>
          <w:sz w:val="18"/>
          <w:szCs w:val="18"/>
          <w:color w:val="auto"/>
        </w:rPr>
        <w:t>Acquiror will perform the obligations of Seller set forth in Sections 2.6, 2.8, and 2.9 of the Valeant</w:t>
      </w:r>
    </w:p>
    <w:p>
      <w:pPr>
        <w:spacing w:after="0" w:line="38"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20"/>
          <w:szCs w:val="20"/>
          <w:color w:val="auto"/>
        </w:rPr>
        <w:t>APA.</w:t>
      </w:r>
    </w:p>
    <w:p>
      <w:pPr>
        <w:spacing w:after="0" w:line="199" w:lineRule="exact"/>
        <w:rPr>
          <w:rFonts w:ascii="Arial" w:cs="Arial" w:eastAsia="Arial" w:hAnsi="Arial"/>
          <w:sz w:val="18"/>
          <w:szCs w:val="18"/>
          <w:color w:val="auto"/>
        </w:rPr>
      </w:pPr>
    </w:p>
    <w:p>
      <w:pPr>
        <w:ind w:right="120" w:firstLine="2544"/>
        <w:spacing w:after="0" w:line="246" w:lineRule="auto"/>
        <w:tabs>
          <w:tab w:leader="none" w:pos="3481" w:val="left"/>
        </w:tabs>
        <w:numPr>
          <w:ilvl w:val="1"/>
          <w:numId w:val="65"/>
        </w:numPr>
        <w:rPr>
          <w:rFonts w:ascii="Arial" w:cs="Arial" w:eastAsia="Arial" w:hAnsi="Arial"/>
          <w:sz w:val="20"/>
          <w:szCs w:val="20"/>
          <w:color w:val="auto"/>
        </w:rPr>
      </w:pPr>
      <w:r>
        <w:rPr>
          <w:rFonts w:ascii="Arial" w:cs="Arial" w:eastAsia="Arial" w:hAnsi="Arial"/>
          <w:sz w:val="20"/>
          <w:szCs w:val="20"/>
          <w:color w:val="auto"/>
        </w:rPr>
        <w:t>Acquiror will pay any amounts required to be paid by Seller, or perform any obligation of Seller, pursuant to Section 10.2(a)(ii) or Section 10.2(b) of the Valeant APA in respect of claims by any Indemnified Seller Party (as such term is defined in the Valeant APA, which for clarity refers to Valeant and its specified affiliates) arising out of acts of Acquiror (or Acquiror’s failure to act) with respect to (i) and (ii) above, that occur after the Closing.</w:t>
      </w:r>
    </w:p>
    <w:p>
      <w:pPr>
        <w:spacing w:after="0" w:line="191" w:lineRule="exact"/>
        <w:rPr>
          <w:rFonts w:ascii="Arial" w:cs="Arial" w:eastAsia="Arial" w:hAnsi="Arial"/>
          <w:sz w:val="20"/>
          <w:szCs w:val="20"/>
          <w:color w:val="auto"/>
        </w:rPr>
      </w:pPr>
    </w:p>
    <w:p>
      <w:pPr>
        <w:ind w:firstLine="1698"/>
        <w:spacing w:after="0" w:line="247" w:lineRule="auto"/>
        <w:tabs>
          <w:tab w:leader="none" w:pos="2558" w:val="left"/>
        </w:tabs>
        <w:numPr>
          <w:ilvl w:val="0"/>
          <w:numId w:val="66"/>
        </w:numPr>
        <w:rPr>
          <w:rFonts w:ascii="Arial" w:cs="Arial" w:eastAsia="Arial" w:hAnsi="Arial"/>
          <w:sz w:val="20"/>
          <w:szCs w:val="20"/>
          <w:color w:val="auto"/>
        </w:rPr>
      </w:pPr>
      <w:r>
        <w:rPr>
          <w:rFonts w:ascii="Arial" w:cs="Arial" w:eastAsia="Arial" w:hAnsi="Arial"/>
          <w:sz w:val="20"/>
          <w:szCs w:val="20"/>
          <w:u w:val="single" w:color="auto"/>
          <w:color w:val="auto"/>
        </w:rPr>
        <w:t>Retained Assets</w:t>
      </w:r>
      <w:r>
        <w:rPr>
          <w:rFonts w:ascii="Arial" w:cs="Arial" w:eastAsia="Arial" w:hAnsi="Arial"/>
          <w:sz w:val="20"/>
          <w:szCs w:val="20"/>
          <w:color w:val="auto"/>
        </w:rPr>
        <w:t>. Seller shall retain, and Acquiror will not acquire Seller’s right, title or interest in or to, and the Purchased Assets will not include the following (collectively, the “</w:t>
      </w:r>
      <w:r>
        <w:rPr>
          <w:rFonts w:ascii="Arial" w:cs="Arial" w:eastAsia="Arial" w:hAnsi="Arial"/>
          <w:sz w:val="20"/>
          <w:szCs w:val="20"/>
          <w:u w:val="single" w:color="auto"/>
          <w:color w:val="auto"/>
        </w:rPr>
        <w:t>Retained Assets</w:t>
      </w:r>
      <w:r>
        <w:rPr>
          <w:rFonts w:ascii="Arial" w:cs="Arial" w:eastAsia="Arial" w:hAnsi="Arial"/>
          <w:sz w:val="20"/>
          <w:szCs w:val="20"/>
          <w:color w:val="auto"/>
        </w:rPr>
        <w:t>”):</w:t>
      </w:r>
    </w:p>
    <w:p>
      <w:pPr>
        <w:spacing w:after="0" w:line="1" w:lineRule="exact"/>
        <w:rPr>
          <w:rFonts w:ascii="Arial" w:cs="Arial" w:eastAsia="Arial" w:hAnsi="Arial"/>
          <w:sz w:val="20"/>
          <w:szCs w:val="20"/>
          <w:color w:val="auto"/>
        </w:rPr>
      </w:pPr>
    </w:p>
    <w:p>
      <w:pPr>
        <w:ind w:left="3480" w:hanging="936"/>
        <w:spacing w:after="0"/>
        <w:tabs>
          <w:tab w:leader="none" w:pos="3480" w:val="left"/>
        </w:tabs>
        <w:numPr>
          <w:ilvl w:val="1"/>
          <w:numId w:val="66"/>
        </w:numPr>
        <w:rPr>
          <w:rFonts w:ascii="Arial" w:cs="Arial" w:eastAsia="Arial" w:hAnsi="Arial"/>
          <w:sz w:val="20"/>
          <w:szCs w:val="20"/>
          <w:color w:val="auto"/>
        </w:rPr>
      </w:pPr>
      <w:r>
        <w:rPr>
          <w:rFonts w:ascii="Arial" w:cs="Arial" w:eastAsia="Arial" w:hAnsi="Arial"/>
          <w:sz w:val="20"/>
          <w:szCs w:val="20"/>
          <w:color w:val="auto"/>
        </w:rPr>
        <w:t>Seller’s rights under this Agreement;</w:t>
      </w:r>
    </w:p>
    <w:p>
      <w:pPr>
        <w:spacing w:after="0" w:line="199" w:lineRule="exact"/>
        <w:rPr>
          <w:rFonts w:ascii="Arial" w:cs="Arial" w:eastAsia="Arial" w:hAnsi="Arial"/>
          <w:sz w:val="20"/>
          <w:szCs w:val="20"/>
          <w:color w:val="auto"/>
        </w:rPr>
      </w:pPr>
    </w:p>
    <w:p>
      <w:pPr>
        <w:ind w:left="3480" w:hanging="936"/>
        <w:spacing w:after="0"/>
        <w:tabs>
          <w:tab w:leader="none" w:pos="3480" w:val="left"/>
        </w:tabs>
        <w:numPr>
          <w:ilvl w:val="1"/>
          <w:numId w:val="66"/>
        </w:numPr>
        <w:rPr>
          <w:rFonts w:ascii="Arial" w:cs="Arial" w:eastAsia="Arial" w:hAnsi="Arial"/>
          <w:sz w:val="20"/>
          <w:szCs w:val="20"/>
          <w:color w:val="auto"/>
        </w:rPr>
      </w:pPr>
      <w:r>
        <w:rPr>
          <w:rFonts w:ascii="Arial" w:cs="Arial" w:eastAsia="Arial" w:hAnsi="Arial"/>
          <w:sz w:val="20"/>
          <w:szCs w:val="20"/>
          <w:color w:val="auto"/>
        </w:rPr>
        <w:t>All cash and cash equivalents and all bank accounts of Seller;</w:t>
      </w:r>
    </w:p>
    <w:p>
      <w:pPr>
        <w:spacing w:after="0" w:line="215" w:lineRule="exact"/>
        <w:rPr>
          <w:rFonts w:ascii="Arial" w:cs="Arial" w:eastAsia="Arial" w:hAnsi="Arial"/>
          <w:sz w:val="20"/>
          <w:szCs w:val="20"/>
          <w:color w:val="auto"/>
        </w:rPr>
      </w:pPr>
    </w:p>
    <w:p>
      <w:pPr>
        <w:ind w:left="3480" w:hanging="936"/>
        <w:spacing w:after="0"/>
        <w:tabs>
          <w:tab w:leader="none" w:pos="3480" w:val="left"/>
        </w:tabs>
        <w:numPr>
          <w:ilvl w:val="1"/>
          <w:numId w:val="66"/>
        </w:numPr>
        <w:rPr>
          <w:rFonts w:ascii="Arial" w:cs="Arial" w:eastAsia="Arial" w:hAnsi="Arial"/>
          <w:sz w:val="18"/>
          <w:szCs w:val="18"/>
          <w:color w:val="auto"/>
        </w:rPr>
      </w:pPr>
      <w:r>
        <w:rPr>
          <w:rFonts w:ascii="Arial" w:cs="Arial" w:eastAsia="Arial" w:hAnsi="Arial"/>
          <w:sz w:val="18"/>
          <w:szCs w:val="18"/>
          <w:color w:val="auto"/>
        </w:rPr>
        <w:t>all Contracts of insurance and policies of insurance held by Seller, including casualty, liability or</w:t>
      </w:r>
    </w:p>
    <w:p>
      <w:pPr>
        <w:spacing w:after="0" w:line="38"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20"/>
          <w:szCs w:val="20"/>
          <w:color w:val="auto"/>
        </w:rPr>
        <w:t>group life, health or accident insurance;</w:t>
      </w:r>
    </w:p>
    <w:p>
      <w:pPr>
        <w:spacing w:after="0" w:line="199" w:lineRule="exact"/>
        <w:rPr>
          <w:rFonts w:ascii="Arial" w:cs="Arial" w:eastAsia="Arial" w:hAnsi="Arial"/>
          <w:sz w:val="18"/>
          <w:szCs w:val="18"/>
          <w:color w:val="auto"/>
        </w:rPr>
      </w:pPr>
    </w:p>
    <w:p>
      <w:pPr>
        <w:ind w:right="120" w:firstLine="2544"/>
        <w:spacing w:after="0" w:line="282" w:lineRule="auto"/>
        <w:tabs>
          <w:tab w:leader="none" w:pos="3470" w:val="left"/>
        </w:tabs>
        <w:numPr>
          <w:ilvl w:val="1"/>
          <w:numId w:val="66"/>
        </w:numPr>
        <w:rPr>
          <w:rFonts w:ascii="Arial" w:cs="Arial" w:eastAsia="Arial" w:hAnsi="Arial"/>
          <w:sz w:val="18"/>
          <w:szCs w:val="18"/>
          <w:color w:val="auto"/>
        </w:rPr>
      </w:pPr>
      <w:r>
        <w:rPr>
          <w:rFonts w:ascii="Arial" w:cs="Arial" w:eastAsia="Arial" w:hAnsi="Arial"/>
          <w:sz w:val="18"/>
          <w:szCs w:val="18"/>
          <w:color w:val="auto"/>
        </w:rPr>
        <w:t>Seller’s organizational documents, qualification to conduct business, arrangements with registered agents, taxpayer and other identification numbers, corporate seal, minute books, stock transfer books, blank stock certificates, books and records relating to federal, state, local or foreign income, net or gross receipts, franchise, estimated, alternative minimum, or add-on taxes, tax returns, and any other documents relating to the organization, maintenance or existence of Seller as a limited liability company;</w:t>
      </w:r>
    </w:p>
    <w:p>
      <w:pPr>
        <w:spacing w:after="0" w:line="162"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6</w:t>
      </w:r>
    </w:p>
    <w:p>
      <w:pPr>
        <w:spacing w:after="0" w:line="10" w:lineRule="exact"/>
        <w:rPr>
          <w:sz w:val="20"/>
          <w:szCs w:val="20"/>
          <w:color w:val="auto"/>
        </w:rPr>
      </w:pPr>
    </w:p>
    <w:p>
      <w:pPr>
        <w:ind w:firstLine="8"/>
        <w:spacing w:after="0" w:line="237" w:lineRule="auto"/>
        <w:tabs>
          <w:tab w:leader="none" w:pos="204" w:val="left"/>
        </w:tabs>
        <w:numPr>
          <w:ilvl w:val="0"/>
          <w:numId w:val="67"/>
        </w:numPr>
        <w:rPr>
          <w:rFonts w:ascii="Arial" w:cs="Arial" w:eastAsia="Arial" w:hAnsi="Arial"/>
          <w:sz w:val="14"/>
          <w:szCs w:val="14"/>
          <w:color w:val="auto"/>
        </w:rPr>
      </w:pPr>
      <w:r>
        <w:rPr>
          <w:rFonts w:ascii="Arial" w:cs="Arial" w:eastAsia="Arial" w:hAnsi="Arial"/>
          <w:sz w:val="14"/>
          <w:szCs w:val="14"/>
          <w:color w:val="auto"/>
        </w:rPr>
        <w:t>DESIGNATES PORTIONS OF THIS DOCUMENT THAT HAVE BEEN OMITTED PURSUANT TO A REQUEST FOR CONFIDENTIAL TREATMENT FILED SEPARATELY WITH THE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46990</wp:posOffset>
            </wp:positionV>
            <wp:extent cx="7289165"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562" w:right="279" w:bottom="1440" w:gutter="0" w:footer="0" w:header="0"/>
        </w:sectPr>
      </w:pPr>
    </w:p>
    <w:bookmarkStart w:id="70" w:name="page71"/>
    <w:bookmarkEnd w:id="70"/>
    <w:p>
      <w:pPr>
        <w:ind w:left="3480" w:hanging="936"/>
        <w:spacing w:after="0"/>
        <w:tabs>
          <w:tab w:leader="none" w:pos="3480" w:val="left"/>
        </w:tabs>
        <w:numPr>
          <w:ilvl w:val="0"/>
          <w:numId w:val="68"/>
        </w:numPr>
        <w:rPr>
          <w:rFonts w:ascii="Arial" w:cs="Arial" w:eastAsia="Arial" w:hAnsi="Arial"/>
          <w:sz w:val="20"/>
          <w:szCs w:val="20"/>
          <w:color w:val="auto"/>
        </w:rPr>
      </w:pPr>
      <w:r>
        <w:rPr>
          <w:rFonts w:ascii="Arial" w:cs="Arial" w:eastAsia="Arial" w:hAnsi="Arial"/>
          <w:sz w:val="20"/>
          <w:szCs w:val="20"/>
          <w:color w:val="auto"/>
        </w:rPr>
        <w:t>all equity interests in Seller; and</w:t>
      </w:r>
    </w:p>
    <w:p>
      <w:pPr>
        <w:spacing w:after="0" w:line="215" w:lineRule="exact"/>
        <w:rPr>
          <w:rFonts w:ascii="Arial" w:cs="Arial" w:eastAsia="Arial" w:hAnsi="Arial"/>
          <w:sz w:val="20"/>
          <w:szCs w:val="20"/>
          <w:color w:val="auto"/>
        </w:rPr>
      </w:pPr>
    </w:p>
    <w:p>
      <w:pPr>
        <w:ind w:left="3480" w:hanging="936"/>
        <w:spacing w:after="0"/>
        <w:tabs>
          <w:tab w:leader="none" w:pos="34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Valeant APA (which Agreement, Acquiror and Seller agree, is not being assigned to Acquiror).</w:t>
      </w:r>
    </w:p>
    <w:p>
      <w:pPr>
        <w:spacing w:after="0" w:line="239" w:lineRule="exact"/>
        <w:rPr>
          <w:sz w:val="20"/>
          <w:szCs w:val="20"/>
          <w:color w:val="auto"/>
        </w:rPr>
      </w:pPr>
    </w:p>
    <w:p>
      <w:pPr>
        <w:ind w:right="80" w:firstLine="1698"/>
        <w:spacing w:after="0" w:line="250" w:lineRule="auto"/>
        <w:tabs>
          <w:tab w:leader="none" w:pos="2569" w:val="left"/>
        </w:tabs>
        <w:numPr>
          <w:ilvl w:val="0"/>
          <w:numId w:val="69"/>
        </w:numPr>
        <w:rPr>
          <w:rFonts w:ascii="Arial" w:cs="Arial" w:eastAsia="Arial" w:hAnsi="Arial"/>
          <w:sz w:val="20"/>
          <w:szCs w:val="20"/>
          <w:color w:val="auto"/>
        </w:rPr>
      </w:pPr>
      <w:r>
        <w:rPr>
          <w:rFonts w:ascii="Arial" w:cs="Arial" w:eastAsia="Arial" w:hAnsi="Arial"/>
          <w:sz w:val="20"/>
          <w:szCs w:val="20"/>
          <w:u w:val="single" w:color="auto"/>
          <w:color w:val="auto"/>
        </w:rPr>
        <w:t>Excluded Liabilities</w:t>
      </w:r>
      <w:r>
        <w:rPr>
          <w:rFonts w:ascii="Arial" w:cs="Arial" w:eastAsia="Arial" w:hAnsi="Arial"/>
          <w:sz w:val="20"/>
          <w:szCs w:val="20"/>
          <w:color w:val="auto"/>
        </w:rPr>
        <w:t>. Acquiror shall not assume pursuant to this Agreement or the Transactions, and shall have no liability for, any liabilities of Seller of any kind, character or description whatsoever other than the Assumed Liabilities, and Seller shall retain responsibility for all such liabilities and obligations.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840" w:type="dxa"/>
            <w:vAlign w:val="bottom"/>
          </w:tcPr>
          <w:p>
            <w:pPr>
              <w:jc w:val="right"/>
              <w:ind w:right="641"/>
              <w:spacing w:after="0"/>
              <w:rPr>
                <w:sz w:val="20"/>
                <w:szCs w:val="20"/>
                <w:color w:val="auto"/>
              </w:rPr>
            </w:pPr>
            <w:r>
              <w:rPr>
                <w:rFonts w:ascii="Arial" w:cs="Arial" w:eastAsia="Arial" w:hAnsi="Arial"/>
                <w:sz w:val="20"/>
                <w:szCs w:val="20"/>
                <w:color w:val="auto"/>
              </w:rPr>
              <w:t>2.2</w:t>
            </w:r>
          </w:p>
        </w:tc>
        <w:tc>
          <w:tcPr>
            <w:tcW w:w="9520" w:type="dxa"/>
            <w:vAlign w:val="bottom"/>
            <w:gridSpan w:val="7"/>
          </w:tcPr>
          <w:p>
            <w:pPr>
              <w:spacing w:after="0"/>
              <w:rPr>
                <w:sz w:val="20"/>
                <w:szCs w:val="20"/>
                <w:color w:val="auto"/>
              </w:rPr>
            </w:pPr>
            <w:r>
              <w:rPr>
                <w:rFonts w:ascii="Arial" w:cs="Arial" w:eastAsia="Arial" w:hAnsi="Arial"/>
                <w:sz w:val="20"/>
                <w:szCs w:val="20"/>
                <w:color w:val="auto"/>
                <w:w w:val="87"/>
              </w:rPr>
              <w:t>Purchase Price. The purchase price for the Purchased Assets shall be equal to the Base Purchase Price plus, to the extent</w:t>
            </w:r>
          </w:p>
        </w:tc>
      </w:tr>
      <w:tr>
        <w:trPr>
          <w:trHeight w:val="20"/>
        </w:trPr>
        <w:tc>
          <w:tcPr>
            <w:tcW w:w="184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210"/>
        </w:trPr>
        <w:tc>
          <w:tcPr>
            <w:tcW w:w="11360" w:type="dxa"/>
            <w:vAlign w:val="bottom"/>
            <w:gridSpan w:val="8"/>
          </w:tcPr>
          <w:p>
            <w:pPr>
              <w:spacing w:after="0" w:line="209" w:lineRule="exact"/>
              <w:rPr>
                <w:sz w:val="20"/>
                <w:szCs w:val="20"/>
                <w:color w:val="auto"/>
              </w:rPr>
            </w:pPr>
            <w:r>
              <w:rPr>
                <w:rFonts w:ascii="Arial" w:cs="Arial" w:eastAsia="Arial" w:hAnsi="Arial"/>
                <w:sz w:val="20"/>
                <w:szCs w:val="20"/>
                <w:color w:val="auto"/>
              </w:rPr>
              <w:t>the underlying milestone events are achieved, the Milestone Payments in accordance with Section 2.3.</w:t>
            </w:r>
          </w:p>
        </w:tc>
      </w:tr>
      <w:tr>
        <w:trPr>
          <w:trHeight w:val="20"/>
        </w:trPr>
        <w:tc>
          <w:tcPr>
            <w:tcW w:w="1840" w:type="dxa"/>
            <w:vAlign w:val="bottom"/>
          </w:tcPr>
          <w:p>
            <w:pPr>
              <w:spacing w:after="0" w:line="20" w:lineRule="exact"/>
              <w:rPr>
                <w:sz w:val="1"/>
                <w:szCs w:val="1"/>
                <w:color w:val="auto"/>
              </w:rPr>
            </w:pPr>
          </w:p>
        </w:tc>
        <w:tc>
          <w:tcPr>
            <w:tcW w:w="2740" w:type="dxa"/>
            <w:vAlign w:val="bottom"/>
            <w:gridSpan w:val="2"/>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3300" w:type="dxa"/>
            <w:vAlign w:val="bottom"/>
            <w:gridSpan w:val="3"/>
          </w:tcPr>
          <w:p>
            <w:pPr>
              <w:spacing w:after="0" w:line="20" w:lineRule="exact"/>
              <w:rPr>
                <w:sz w:val="1"/>
                <w:szCs w:val="1"/>
                <w:color w:val="auto"/>
              </w:rPr>
            </w:pPr>
          </w:p>
        </w:tc>
      </w:tr>
      <w:tr>
        <w:trPr>
          <w:trHeight w:val="426"/>
        </w:trPr>
        <w:tc>
          <w:tcPr>
            <w:tcW w:w="1840" w:type="dxa"/>
            <w:vAlign w:val="bottom"/>
          </w:tcPr>
          <w:p>
            <w:pPr>
              <w:jc w:val="right"/>
              <w:ind w:right="641"/>
              <w:spacing w:after="0"/>
              <w:rPr>
                <w:sz w:val="20"/>
                <w:szCs w:val="20"/>
                <w:color w:val="auto"/>
              </w:rPr>
            </w:pPr>
            <w:r>
              <w:rPr>
                <w:rFonts w:ascii="Arial" w:cs="Arial" w:eastAsia="Arial" w:hAnsi="Arial"/>
                <w:sz w:val="20"/>
                <w:szCs w:val="20"/>
                <w:color w:val="auto"/>
              </w:rPr>
              <w:t>2.3</w:t>
            </w:r>
          </w:p>
        </w:tc>
        <w:tc>
          <w:tcPr>
            <w:tcW w:w="9520" w:type="dxa"/>
            <w:vAlign w:val="bottom"/>
            <w:gridSpan w:val="7"/>
          </w:tcPr>
          <w:p>
            <w:pPr>
              <w:spacing w:after="0"/>
              <w:rPr>
                <w:sz w:val="20"/>
                <w:szCs w:val="20"/>
                <w:color w:val="auto"/>
              </w:rPr>
            </w:pPr>
            <w:r>
              <w:rPr>
                <w:rFonts w:ascii="Arial" w:cs="Arial" w:eastAsia="Arial" w:hAnsi="Arial"/>
                <w:sz w:val="20"/>
                <w:szCs w:val="20"/>
                <w:color w:val="auto"/>
                <w:w w:val="91"/>
              </w:rPr>
              <w:t>Payment of Closing Consideration. The “</w:t>
            </w:r>
            <w:r>
              <w:rPr>
                <w:rFonts w:ascii="Arial" w:cs="Arial" w:eastAsia="Arial" w:hAnsi="Arial"/>
                <w:sz w:val="20"/>
                <w:szCs w:val="20"/>
                <w:b w:val="1"/>
                <w:bCs w:val="1"/>
                <w:color w:val="auto"/>
                <w:w w:val="91"/>
              </w:rPr>
              <w:t>Base Purchase Price</w:t>
            </w:r>
            <w:r>
              <w:rPr>
                <w:rFonts w:ascii="Arial" w:cs="Arial" w:eastAsia="Arial" w:hAnsi="Arial"/>
                <w:sz w:val="20"/>
                <w:szCs w:val="20"/>
                <w:color w:val="auto"/>
                <w:w w:val="91"/>
              </w:rPr>
              <w:t>” shall be three hundred and fifty thousand U.S. dollars</w:t>
            </w:r>
          </w:p>
        </w:tc>
      </w:tr>
      <w:tr>
        <w:trPr>
          <w:trHeight w:val="20"/>
        </w:trPr>
        <w:tc>
          <w:tcPr>
            <w:tcW w:w="184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bl>
    <w:p>
      <w:pPr>
        <w:spacing w:after="0" w:line="10" w:lineRule="exact"/>
        <w:rPr>
          <w:sz w:val="20"/>
          <w:szCs w:val="20"/>
          <w:color w:val="auto"/>
        </w:rPr>
      </w:pPr>
    </w:p>
    <w:p>
      <w:pPr>
        <w:ind w:right="260"/>
        <w:spacing w:after="0" w:line="243" w:lineRule="auto"/>
        <w:rPr>
          <w:sz w:val="20"/>
          <w:szCs w:val="20"/>
          <w:color w:val="auto"/>
        </w:rPr>
      </w:pPr>
      <w:r>
        <w:rPr>
          <w:rFonts w:ascii="Arial" w:cs="Arial" w:eastAsia="Arial" w:hAnsi="Arial"/>
          <w:sz w:val="20"/>
          <w:szCs w:val="20"/>
          <w:color w:val="auto"/>
        </w:rPr>
        <w:t xml:space="preserve">($350,000); provided, pursuant to the terms of the Option Agreement, the [†] U.S. dollars ($[†]) paid by Acquiror to Seller pursuant to the Option Agreement is fully creditable against the Base Purchase Price. Within [†] ([†]) [†] following the Closing, Acquiror shall (i) deliver to Seller the amount equal to [†] U.S. dollars ($[†]) (as the remainder of the Base Purchase Price) </w:t>
      </w:r>
      <w:r>
        <w:rPr>
          <w:rFonts w:ascii="Arial" w:cs="Arial" w:eastAsia="Arial" w:hAnsi="Arial"/>
          <w:sz w:val="20"/>
          <w:szCs w:val="20"/>
          <w:u w:val="single" w:color="auto"/>
          <w:color w:val="auto"/>
        </w:rPr>
        <w:t>minus</w:t>
      </w:r>
      <w:r>
        <w:rPr>
          <w:rFonts w:ascii="Arial" w:cs="Arial" w:eastAsia="Arial" w:hAnsi="Arial"/>
          <w:sz w:val="20"/>
          <w:szCs w:val="20"/>
          <w:color w:val="auto"/>
        </w:rPr>
        <w:t xml:space="preserve"> the Loan Payoff Amounts, and (ii) deliver to the applicable creditors the Loan Payoff Amounts. The funds payable by Acquiror pursuant to the immediately preceding sentence shall be made by wire transfer in immediately available funds to accounts designated by Seller or as designated in the Payoff Letters, as applicable.</w:t>
      </w:r>
    </w:p>
    <w:p>
      <w:pPr>
        <w:spacing w:after="0" w:line="197" w:lineRule="exact"/>
        <w:rPr>
          <w:sz w:val="20"/>
          <w:szCs w:val="20"/>
          <w:color w:val="auto"/>
        </w:rPr>
      </w:pPr>
    </w:p>
    <w:p>
      <w:pPr>
        <w:ind w:left="860"/>
        <w:spacing w:after="0"/>
        <w:tabs>
          <w:tab w:leader="none" w:pos="1820" w:val="left"/>
        </w:tabs>
        <w:rPr>
          <w:sz w:val="20"/>
          <w:szCs w:val="20"/>
          <w:color w:val="auto"/>
        </w:rPr>
      </w:pPr>
      <w:r>
        <w:rPr>
          <w:rFonts w:ascii="Arial" w:cs="Arial" w:eastAsia="Arial" w:hAnsi="Arial"/>
          <w:sz w:val="20"/>
          <w:szCs w:val="20"/>
          <w:color w:val="auto"/>
        </w:rPr>
        <w:t>2.4</w:t>
      </w:r>
      <w:r>
        <w:rPr>
          <w:sz w:val="20"/>
          <w:szCs w:val="20"/>
          <w:color w:val="auto"/>
        </w:rPr>
        <w:tab/>
      </w:r>
      <w:r>
        <w:rPr>
          <w:rFonts w:ascii="Arial" w:cs="Arial" w:eastAsia="Arial" w:hAnsi="Arial"/>
          <w:sz w:val="16"/>
          <w:szCs w:val="16"/>
          <w:u w:val="single" w:color="auto"/>
          <w:color w:val="auto"/>
        </w:rPr>
        <w:t>Milestone Payments</w:t>
      </w:r>
      <w:r>
        <w:rPr>
          <w:rFonts w:ascii="Arial" w:cs="Arial" w:eastAsia="Arial" w:hAnsi="Arial"/>
          <w:sz w:val="16"/>
          <w:szCs w:val="16"/>
          <w:color w:val="auto"/>
        </w:rPr>
        <w:t>.</w:t>
      </w:r>
    </w:p>
    <w:p>
      <w:pPr>
        <w:spacing w:after="0" w:line="216" w:lineRule="exact"/>
        <w:rPr>
          <w:sz w:val="20"/>
          <w:szCs w:val="20"/>
          <w:color w:val="auto"/>
        </w:rPr>
      </w:pPr>
    </w:p>
    <w:p>
      <w:pPr>
        <w:ind w:right="20" w:firstLine="1698"/>
        <w:spacing w:after="0" w:line="309" w:lineRule="auto"/>
        <w:tabs>
          <w:tab w:leader="none" w:pos="2558" w:val="left"/>
        </w:tabs>
        <w:numPr>
          <w:ilvl w:val="1"/>
          <w:numId w:val="70"/>
        </w:numPr>
        <w:rPr>
          <w:rFonts w:ascii="Arial" w:cs="Arial" w:eastAsia="Arial" w:hAnsi="Arial"/>
          <w:sz w:val="16"/>
          <w:szCs w:val="16"/>
          <w:color w:val="auto"/>
        </w:rPr>
      </w:pPr>
      <w:r>
        <w:rPr>
          <w:rFonts w:ascii="Arial" w:cs="Arial" w:eastAsia="Arial" w:hAnsi="Arial"/>
          <w:sz w:val="16"/>
          <w:szCs w:val="16"/>
          <w:color w:val="auto"/>
        </w:rPr>
        <w:t>Subject to the terms and conditions of this Agreement, the Seller shall be entitled to certain milestone payments (each payment as it relates to a particular event, a “</w:t>
      </w:r>
      <w:r>
        <w:rPr>
          <w:rFonts w:ascii="Arial" w:cs="Arial" w:eastAsia="Arial" w:hAnsi="Arial"/>
          <w:sz w:val="16"/>
          <w:szCs w:val="16"/>
          <w:b w:val="1"/>
          <w:bCs w:val="1"/>
          <w:color w:val="auto"/>
        </w:rPr>
        <w:t>Milestone Payment</w:t>
      </w:r>
      <w:r>
        <w:rPr>
          <w:rFonts w:ascii="Arial" w:cs="Arial" w:eastAsia="Arial" w:hAnsi="Arial"/>
          <w:sz w:val="16"/>
          <w:szCs w:val="16"/>
          <w:color w:val="auto"/>
        </w:rPr>
        <w:t>”), each of which, if achieved, will be due and payable within [†] ([†])</w:t>
      </w:r>
    </w:p>
    <w:p>
      <w:pPr>
        <w:spacing w:after="0" w:line="1" w:lineRule="exact"/>
        <w:rPr>
          <w:rFonts w:ascii="Arial" w:cs="Arial" w:eastAsia="Arial" w:hAnsi="Arial"/>
          <w:sz w:val="16"/>
          <w:szCs w:val="16"/>
          <w:color w:val="auto"/>
        </w:rPr>
      </w:pPr>
    </w:p>
    <w:p>
      <w:pPr>
        <w:ind w:right="80" w:firstLine="8"/>
        <w:spacing w:after="0" w:line="241" w:lineRule="auto"/>
        <w:tabs>
          <w:tab w:leader="none" w:pos="280" w:val="left"/>
        </w:tabs>
        <w:numPr>
          <w:ilvl w:val="0"/>
          <w:numId w:val="70"/>
        </w:numPr>
        <w:rPr>
          <w:rFonts w:ascii="Arial" w:cs="Arial" w:eastAsia="Arial" w:hAnsi="Arial"/>
          <w:sz w:val="20"/>
          <w:szCs w:val="20"/>
          <w:color w:val="auto"/>
        </w:rPr>
      </w:pPr>
      <w:r>
        <w:rPr>
          <w:rFonts w:ascii="Arial" w:cs="Arial" w:eastAsia="Arial" w:hAnsi="Arial"/>
          <w:sz w:val="20"/>
          <w:szCs w:val="20"/>
          <w:color w:val="auto"/>
        </w:rPr>
        <w:t>following achievement of the applicable event set forth below for the first Product to achieve such event (each, a “</w:t>
      </w:r>
      <w:r>
        <w:rPr>
          <w:rFonts w:ascii="Arial" w:cs="Arial" w:eastAsia="Arial" w:hAnsi="Arial"/>
          <w:sz w:val="20"/>
          <w:szCs w:val="20"/>
          <w:b w:val="1"/>
          <w:bCs w:val="1"/>
          <w:color w:val="auto"/>
        </w:rPr>
        <w:t>Milestone Event</w:t>
      </w:r>
      <w:r>
        <w:rPr>
          <w:rFonts w:ascii="Arial" w:cs="Arial" w:eastAsia="Arial" w:hAnsi="Arial"/>
          <w:sz w:val="20"/>
          <w:szCs w:val="20"/>
          <w:color w:val="auto"/>
        </w:rPr>
        <w:t>”); provided, however, that no Milestone Payments will be earned or payable to Seller if an applicable event set forth below is achieved on or after the [†] anniversary of the Closing Date:</w:t>
      </w:r>
    </w:p>
    <w:p>
      <w:pPr>
        <w:spacing w:after="0" w:line="193" w:lineRule="exact"/>
        <w:rPr>
          <w:sz w:val="20"/>
          <w:szCs w:val="20"/>
          <w:color w:val="auto"/>
        </w:rPr>
      </w:pPr>
    </w:p>
    <w:tbl>
      <w:tblPr>
        <w:tblLayout w:type="fixed"/>
        <w:tblInd w:w="10" w:type="dxa"/>
        <w:tblCellMar>
          <w:top w:w="0" w:type="dxa"/>
          <w:left w:w="0" w:type="dxa"/>
          <w:bottom w:w="0" w:type="dxa"/>
          <w:right w:w="0" w:type="dxa"/>
        </w:tblCellMar>
      </w:tblPr>
      <w:tr>
        <w:trPr>
          <w:trHeight w:val="207"/>
        </w:trPr>
        <w:tc>
          <w:tcPr>
            <w:tcW w:w="1700" w:type="dxa"/>
            <w:vAlign w:val="bottom"/>
            <w:tcBorders>
              <w:top w:val="single" w:sz="8" w:color="auto"/>
              <w:left w:val="single" w:sz="8" w:color="auto"/>
              <w:right w:val="single" w:sz="8" w:color="auto"/>
            </w:tcBorders>
          </w:tcPr>
          <w:p>
            <w:pPr>
              <w:ind w:left="120"/>
              <w:spacing w:after="0" w:line="207" w:lineRule="exact"/>
              <w:rPr>
                <w:sz w:val="20"/>
                <w:szCs w:val="20"/>
                <w:color w:val="auto"/>
              </w:rPr>
            </w:pPr>
            <w:r>
              <w:rPr>
                <w:rFonts w:ascii="Arial" w:cs="Arial" w:eastAsia="Arial" w:hAnsi="Arial"/>
                <w:sz w:val="20"/>
                <w:szCs w:val="20"/>
                <w:b w:val="1"/>
                <w:bCs w:val="1"/>
                <w:color w:val="auto"/>
              </w:rPr>
              <w:t>Milestone Event</w:t>
            </w:r>
          </w:p>
        </w:tc>
        <w:tc>
          <w:tcPr>
            <w:tcW w:w="6220" w:type="dxa"/>
            <w:vAlign w:val="bottom"/>
            <w:tcBorders>
              <w:top w:val="single" w:sz="8" w:color="auto"/>
              <w:right w:val="single" w:sz="8" w:color="auto"/>
            </w:tcBorders>
          </w:tcPr>
          <w:p>
            <w:pPr>
              <w:ind w:left="100"/>
              <w:spacing w:after="0" w:line="207" w:lineRule="exact"/>
              <w:rPr>
                <w:sz w:val="20"/>
                <w:szCs w:val="20"/>
                <w:color w:val="auto"/>
              </w:rPr>
            </w:pPr>
            <w:r>
              <w:rPr>
                <w:rFonts w:ascii="Arial" w:cs="Arial" w:eastAsia="Arial" w:hAnsi="Arial"/>
                <w:sz w:val="20"/>
                <w:szCs w:val="20"/>
                <w:b w:val="1"/>
                <w:bCs w:val="1"/>
                <w:color w:val="auto"/>
              </w:rPr>
              <w:t>Patent Milestone Event</w:t>
            </w:r>
          </w:p>
        </w:tc>
        <w:tc>
          <w:tcPr>
            <w:tcW w:w="3500" w:type="dxa"/>
            <w:vAlign w:val="bottom"/>
            <w:tcBorders>
              <w:top w:val="single" w:sz="8" w:color="auto"/>
              <w:right w:val="single" w:sz="8" w:color="auto"/>
            </w:tcBorders>
          </w:tcPr>
          <w:p>
            <w:pPr>
              <w:ind w:left="100"/>
              <w:spacing w:after="0" w:line="207" w:lineRule="exact"/>
              <w:rPr>
                <w:sz w:val="20"/>
                <w:szCs w:val="20"/>
                <w:color w:val="auto"/>
              </w:rPr>
            </w:pPr>
            <w:r>
              <w:rPr>
                <w:rFonts w:ascii="Arial" w:cs="Arial" w:eastAsia="Arial" w:hAnsi="Arial"/>
                <w:sz w:val="20"/>
                <w:szCs w:val="20"/>
                <w:b w:val="1"/>
                <w:bCs w:val="1"/>
                <w:color w:val="auto"/>
              </w:rPr>
              <w:t>Milestone Payment</w:t>
            </w:r>
          </w:p>
        </w:tc>
      </w:tr>
      <w:tr>
        <w:trPr>
          <w:trHeight w:val="239"/>
        </w:trPr>
        <w:tc>
          <w:tcPr>
            <w:tcW w:w="170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20"/>
                <w:szCs w:val="20"/>
                <w:b w:val="1"/>
                <w:bCs w:val="1"/>
                <w:color w:val="auto"/>
              </w:rPr>
              <w:t>Number</w:t>
            </w:r>
          </w:p>
        </w:tc>
        <w:tc>
          <w:tcPr>
            <w:tcW w:w="6220" w:type="dxa"/>
            <w:vAlign w:val="bottom"/>
            <w:tcBorders>
              <w:bottom w:val="single" w:sz="8" w:color="auto"/>
              <w:right w:val="single" w:sz="8" w:color="auto"/>
            </w:tcBorders>
          </w:tcPr>
          <w:p>
            <w:pPr>
              <w:spacing w:after="0"/>
              <w:rPr>
                <w:sz w:val="20"/>
                <w:szCs w:val="20"/>
                <w:color w:val="auto"/>
              </w:rPr>
            </w:pPr>
          </w:p>
        </w:tc>
        <w:tc>
          <w:tcPr>
            <w:tcW w:w="3500" w:type="dxa"/>
            <w:vAlign w:val="bottom"/>
            <w:tcBorders>
              <w:bottom w:val="single" w:sz="8" w:color="auto"/>
              <w:right w:val="single" w:sz="8" w:color="auto"/>
            </w:tcBorders>
          </w:tcPr>
          <w:p>
            <w:pPr>
              <w:spacing w:after="0"/>
              <w:rPr>
                <w:sz w:val="20"/>
                <w:szCs w:val="20"/>
                <w:color w:val="auto"/>
              </w:rPr>
            </w:pPr>
          </w:p>
        </w:tc>
      </w:tr>
      <w:tr>
        <w:trPr>
          <w:trHeight w:val="210"/>
        </w:trPr>
        <w:tc>
          <w:tcPr>
            <w:tcW w:w="1700" w:type="dxa"/>
            <w:vAlign w:val="bottom"/>
            <w:tcBorders>
              <w:left w:val="single" w:sz="8" w:color="auto"/>
              <w:bottom w:val="single" w:sz="8" w:color="auto"/>
              <w:right w:val="single" w:sz="8" w:color="auto"/>
            </w:tcBorders>
          </w:tcPr>
          <w:p>
            <w:pPr>
              <w:jc w:val="right"/>
              <w:ind w:right="1301"/>
              <w:spacing w:after="0" w:line="209" w:lineRule="exact"/>
              <w:rPr>
                <w:sz w:val="20"/>
                <w:szCs w:val="20"/>
                <w:color w:val="auto"/>
              </w:rPr>
            </w:pPr>
            <w:r>
              <w:rPr>
                <w:rFonts w:ascii="Arial" w:cs="Arial" w:eastAsia="Arial" w:hAnsi="Arial"/>
                <w:sz w:val="20"/>
                <w:szCs w:val="20"/>
                <w:color w:val="auto"/>
              </w:rPr>
              <w:t>1.</w:t>
            </w:r>
          </w:p>
        </w:tc>
        <w:tc>
          <w:tcPr>
            <w:tcW w:w="6220" w:type="dxa"/>
            <w:vAlign w:val="bottom"/>
            <w:tcBorders>
              <w:bottom w:val="single" w:sz="8" w:color="auto"/>
              <w:right w:val="single" w:sz="8" w:color="auto"/>
            </w:tcBorders>
          </w:tcPr>
          <w:p>
            <w:pPr>
              <w:ind w:left="100"/>
              <w:spacing w:after="0" w:line="209" w:lineRule="exact"/>
              <w:rPr>
                <w:sz w:val="20"/>
                <w:szCs w:val="20"/>
                <w:color w:val="auto"/>
              </w:rPr>
            </w:pPr>
            <w:r>
              <w:rPr>
                <w:rFonts w:ascii="Arial" w:cs="Arial" w:eastAsia="Arial" w:hAnsi="Arial"/>
                <w:sz w:val="20"/>
                <w:szCs w:val="20"/>
                <w:color w:val="auto"/>
              </w:rPr>
              <w:t>[†]</w:t>
            </w:r>
          </w:p>
        </w:tc>
        <w:tc>
          <w:tcPr>
            <w:tcW w:w="3500" w:type="dxa"/>
            <w:vAlign w:val="bottom"/>
            <w:tcBorders>
              <w:bottom w:val="single" w:sz="8" w:color="auto"/>
              <w:right w:val="single" w:sz="8" w:color="auto"/>
            </w:tcBorders>
          </w:tcPr>
          <w:p>
            <w:pPr>
              <w:ind w:left="240"/>
              <w:spacing w:after="0" w:line="209" w:lineRule="exact"/>
              <w:rPr>
                <w:sz w:val="20"/>
                <w:szCs w:val="20"/>
                <w:color w:val="auto"/>
              </w:rPr>
            </w:pPr>
            <w:r>
              <w:rPr>
                <w:rFonts w:ascii="Arial" w:cs="Arial" w:eastAsia="Arial" w:hAnsi="Arial"/>
                <w:sz w:val="20"/>
                <w:szCs w:val="20"/>
                <w:color w:val="auto"/>
              </w:rPr>
              <w:t>[†]</w:t>
            </w:r>
          </w:p>
        </w:tc>
      </w:tr>
      <w:tr>
        <w:trPr>
          <w:trHeight w:val="237"/>
        </w:trPr>
        <w:tc>
          <w:tcPr>
            <w:tcW w:w="1700" w:type="dxa"/>
            <w:vAlign w:val="bottom"/>
            <w:tcBorders>
              <w:left w:val="single" w:sz="8" w:color="auto"/>
              <w:bottom w:val="single" w:sz="8" w:color="auto"/>
              <w:right w:val="single" w:sz="8" w:color="auto"/>
            </w:tcBorders>
          </w:tcPr>
          <w:p>
            <w:pPr>
              <w:spacing w:after="0"/>
              <w:rPr>
                <w:sz w:val="20"/>
                <w:szCs w:val="20"/>
                <w:color w:val="auto"/>
              </w:rPr>
            </w:pPr>
          </w:p>
        </w:tc>
        <w:tc>
          <w:tcPr>
            <w:tcW w:w="62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20"/>
                <w:szCs w:val="20"/>
                <w:b w:val="1"/>
                <w:bCs w:val="1"/>
                <w:color w:val="auto"/>
              </w:rPr>
              <w:t>Regulatory Milestone Event</w:t>
            </w:r>
          </w:p>
        </w:tc>
        <w:tc>
          <w:tcPr>
            <w:tcW w:w="3500" w:type="dxa"/>
            <w:vAlign w:val="bottom"/>
            <w:tcBorders>
              <w:bottom w:val="single" w:sz="8" w:color="auto"/>
              <w:right w:val="single" w:sz="8" w:color="auto"/>
            </w:tcBorders>
          </w:tcPr>
          <w:p>
            <w:pPr>
              <w:spacing w:after="0"/>
              <w:rPr>
                <w:sz w:val="20"/>
                <w:szCs w:val="20"/>
                <w:color w:val="auto"/>
              </w:rPr>
            </w:pPr>
          </w:p>
        </w:tc>
      </w:tr>
      <w:tr>
        <w:trPr>
          <w:trHeight w:val="210"/>
        </w:trPr>
        <w:tc>
          <w:tcPr>
            <w:tcW w:w="1700" w:type="dxa"/>
            <w:vAlign w:val="bottom"/>
            <w:tcBorders>
              <w:left w:val="single" w:sz="8" w:color="auto"/>
              <w:bottom w:val="single" w:sz="8" w:color="auto"/>
              <w:right w:val="single" w:sz="8" w:color="auto"/>
            </w:tcBorders>
          </w:tcPr>
          <w:p>
            <w:pPr>
              <w:jc w:val="right"/>
              <w:ind w:right="1301"/>
              <w:spacing w:after="0" w:line="209" w:lineRule="exact"/>
              <w:rPr>
                <w:sz w:val="20"/>
                <w:szCs w:val="20"/>
                <w:color w:val="auto"/>
              </w:rPr>
            </w:pPr>
            <w:r>
              <w:rPr>
                <w:rFonts w:ascii="Arial" w:cs="Arial" w:eastAsia="Arial" w:hAnsi="Arial"/>
                <w:sz w:val="20"/>
                <w:szCs w:val="20"/>
                <w:color w:val="auto"/>
              </w:rPr>
              <w:t>2.</w:t>
            </w:r>
          </w:p>
        </w:tc>
        <w:tc>
          <w:tcPr>
            <w:tcW w:w="6220" w:type="dxa"/>
            <w:vAlign w:val="bottom"/>
            <w:tcBorders>
              <w:bottom w:val="single" w:sz="8" w:color="auto"/>
              <w:right w:val="single" w:sz="8" w:color="auto"/>
            </w:tcBorders>
          </w:tcPr>
          <w:p>
            <w:pPr>
              <w:ind w:left="100"/>
              <w:spacing w:after="0" w:line="209" w:lineRule="exact"/>
              <w:rPr>
                <w:sz w:val="20"/>
                <w:szCs w:val="20"/>
                <w:color w:val="auto"/>
              </w:rPr>
            </w:pPr>
            <w:r>
              <w:rPr>
                <w:rFonts w:ascii="Arial" w:cs="Arial" w:eastAsia="Arial" w:hAnsi="Arial"/>
                <w:sz w:val="20"/>
                <w:szCs w:val="20"/>
                <w:color w:val="auto"/>
              </w:rPr>
              <w:t>[†]</w:t>
            </w:r>
          </w:p>
        </w:tc>
        <w:tc>
          <w:tcPr>
            <w:tcW w:w="3500" w:type="dxa"/>
            <w:vAlign w:val="bottom"/>
            <w:tcBorders>
              <w:bottom w:val="single" w:sz="8" w:color="auto"/>
              <w:right w:val="single" w:sz="8" w:color="auto"/>
            </w:tcBorders>
          </w:tcPr>
          <w:p>
            <w:pPr>
              <w:ind w:left="240"/>
              <w:spacing w:after="0" w:line="209" w:lineRule="exact"/>
              <w:rPr>
                <w:sz w:val="20"/>
                <w:szCs w:val="20"/>
                <w:color w:val="auto"/>
              </w:rPr>
            </w:pPr>
            <w:r>
              <w:rPr>
                <w:rFonts w:ascii="Arial" w:cs="Arial" w:eastAsia="Arial" w:hAnsi="Arial"/>
                <w:sz w:val="20"/>
                <w:szCs w:val="20"/>
                <w:color w:val="auto"/>
              </w:rPr>
              <w:t>[†]</w:t>
            </w:r>
          </w:p>
        </w:tc>
      </w:tr>
      <w:tr>
        <w:trPr>
          <w:trHeight w:val="210"/>
        </w:trPr>
        <w:tc>
          <w:tcPr>
            <w:tcW w:w="1700" w:type="dxa"/>
            <w:vAlign w:val="bottom"/>
            <w:tcBorders>
              <w:left w:val="single" w:sz="8" w:color="auto"/>
              <w:bottom w:val="single" w:sz="8" w:color="auto"/>
              <w:right w:val="single" w:sz="8" w:color="auto"/>
            </w:tcBorders>
          </w:tcPr>
          <w:p>
            <w:pPr>
              <w:jc w:val="right"/>
              <w:ind w:right="1301"/>
              <w:spacing w:after="0" w:line="209" w:lineRule="exact"/>
              <w:rPr>
                <w:sz w:val="20"/>
                <w:szCs w:val="20"/>
                <w:color w:val="auto"/>
              </w:rPr>
            </w:pPr>
            <w:r>
              <w:rPr>
                <w:rFonts w:ascii="Arial" w:cs="Arial" w:eastAsia="Arial" w:hAnsi="Arial"/>
                <w:sz w:val="20"/>
                <w:szCs w:val="20"/>
                <w:color w:val="auto"/>
              </w:rPr>
              <w:t>3.</w:t>
            </w:r>
          </w:p>
        </w:tc>
        <w:tc>
          <w:tcPr>
            <w:tcW w:w="6220" w:type="dxa"/>
            <w:vAlign w:val="bottom"/>
            <w:tcBorders>
              <w:bottom w:val="single" w:sz="8" w:color="auto"/>
              <w:right w:val="single" w:sz="8" w:color="auto"/>
            </w:tcBorders>
          </w:tcPr>
          <w:p>
            <w:pPr>
              <w:ind w:left="100"/>
              <w:spacing w:after="0" w:line="209" w:lineRule="exact"/>
              <w:rPr>
                <w:sz w:val="20"/>
                <w:szCs w:val="20"/>
                <w:color w:val="auto"/>
              </w:rPr>
            </w:pPr>
            <w:r>
              <w:rPr>
                <w:rFonts w:ascii="Arial" w:cs="Arial" w:eastAsia="Arial" w:hAnsi="Arial"/>
                <w:sz w:val="20"/>
                <w:szCs w:val="20"/>
                <w:color w:val="auto"/>
              </w:rPr>
              <w:t>[†]</w:t>
            </w:r>
          </w:p>
        </w:tc>
        <w:tc>
          <w:tcPr>
            <w:tcW w:w="3500" w:type="dxa"/>
            <w:vAlign w:val="bottom"/>
            <w:tcBorders>
              <w:bottom w:val="single" w:sz="8" w:color="auto"/>
              <w:right w:val="single" w:sz="8" w:color="auto"/>
            </w:tcBorders>
          </w:tcPr>
          <w:p>
            <w:pPr>
              <w:ind w:left="240"/>
              <w:spacing w:after="0" w:line="209" w:lineRule="exact"/>
              <w:rPr>
                <w:sz w:val="20"/>
                <w:szCs w:val="20"/>
                <w:color w:val="auto"/>
              </w:rPr>
            </w:pPr>
            <w:r>
              <w:rPr>
                <w:rFonts w:ascii="Arial" w:cs="Arial" w:eastAsia="Arial" w:hAnsi="Arial"/>
                <w:sz w:val="20"/>
                <w:szCs w:val="20"/>
                <w:color w:val="auto"/>
              </w:rPr>
              <w:t>[†]</w:t>
            </w:r>
          </w:p>
        </w:tc>
      </w:tr>
      <w:tr>
        <w:trPr>
          <w:trHeight w:val="210"/>
        </w:trPr>
        <w:tc>
          <w:tcPr>
            <w:tcW w:w="1700" w:type="dxa"/>
            <w:vAlign w:val="bottom"/>
            <w:tcBorders>
              <w:left w:val="single" w:sz="8" w:color="auto"/>
              <w:bottom w:val="single" w:sz="8" w:color="auto"/>
              <w:right w:val="single" w:sz="8" w:color="auto"/>
            </w:tcBorders>
          </w:tcPr>
          <w:p>
            <w:pPr>
              <w:jc w:val="right"/>
              <w:ind w:right="1301"/>
              <w:spacing w:after="0" w:line="209" w:lineRule="exact"/>
              <w:rPr>
                <w:sz w:val="20"/>
                <w:szCs w:val="20"/>
                <w:color w:val="auto"/>
              </w:rPr>
            </w:pPr>
            <w:r>
              <w:rPr>
                <w:rFonts w:ascii="Arial" w:cs="Arial" w:eastAsia="Arial" w:hAnsi="Arial"/>
                <w:sz w:val="20"/>
                <w:szCs w:val="20"/>
                <w:color w:val="auto"/>
              </w:rPr>
              <w:t>4.</w:t>
            </w:r>
          </w:p>
        </w:tc>
        <w:tc>
          <w:tcPr>
            <w:tcW w:w="6220" w:type="dxa"/>
            <w:vAlign w:val="bottom"/>
            <w:tcBorders>
              <w:bottom w:val="single" w:sz="8" w:color="auto"/>
              <w:right w:val="single" w:sz="8" w:color="auto"/>
            </w:tcBorders>
          </w:tcPr>
          <w:p>
            <w:pPr>
              <w:ind w:left="100"/>
              <w:spacing w:after="0" w:line="209" w:lineRule="exact"/>
              <w:rPr>
                <w:sz w:val="20"/>
                <w:szCs w:val="20"/>
                <w:color w:val="auto"/>
              </w:rPr>
            </w:pPr>
            <w:r>
              <w:rPr>
                <w:rFonts w:ascii="Arial" w:cs="Arial" w:eastAsia="Arial" w:hAnsi="Arial"/>
                <w:sz w:val="20"/>
                <w:szCs w:val="20"/>
                <w:color w:val="auto"/>
              </w:rPr>
              <w:t>[†]</w:t>
            </w:r>
          </w:p>
        </w:tc>
        <w:tc>
          <w:tcPr>
            <w:tcW w:w="3500" w:type="dxa"/>
            <w:vAlign w:val="bottom"/>
            <w:tcBorders>
              <w:bottom w:val="single" w:sz="8" w:color="auto"/>
              <w:right w:val="single" w:sz="8" w:color="auto"/>
            </w:tcBorders>
          </w:tcPr>
          <w:p>
            <w:pPr>
              <w:ind w:left="240"/>
              <w:spacing w:after="0" w:line="209" w:lineRule="exact"/>
              <w:rPr>
                <w:sz w:val="20"/>
                <w:szCs w:val="20"/>
                <w:color w:val="auto"/>
              </w:rPr>
            </w:pPr>
            <w:r>
              <w:rPr>
                <w:rFonts w:ascii="Arial" w:cs="Arial" w:eastAsia="Arial" w:hAnsi="Arial"/>
                <w:sz w:val="20"/>
                <w:szCs w:val="20"/>
                <w:color w:val="auto"/>
              </w:rPr>
              <w:t>[†]</w:t>
            </w:r>
          </w:p>
        </w:tc>
      </w:tr>
      <w:tr>
        <w:trPr>
          <w:trHeight w:val="210"/>
        </w:trPr>
        <w:tc>
          <w:tcPr>
            <w:tcW w:w="1700" w:type="dxa"/>
            <w:vAlign w:val="bottom"/>
            <w:tcBorders>
              <w:left w:val="single" w:sz="8" w:color="auto"/>
              <w:bottom w:val="single" w:sz="8" w:color="auto"/>
              <w:right w:val="single" w:sz="8" w:color="auto"/>
            </w:tcBorders>
          </w:tcPr>
          <w:p>
            <w:pPr>
              <w:jc w:val="right"/>
              <w:ind w:right="1301"/>
              <w:spacing w:after="0" w:line="209" w:lineRule="exact"/>
              <w:rPr>
                <w:sz w:val="20"/>
                <w:szCs w:val="20"/>
                <w:color w:val="auto"/>
              </w:rPr>
            </w:pPr>
            <w:r>
              <w:rPr>
                <w:rFonts w:ascii="Arial" w:cs="Arial" w:eastAsia="Arial" w:hAnsi="Arial"/>
                <w:sz w:val="20"/>
                <w:szCs w:val="20"/>
                <w:color w:val="auto"/>
              </w:rPr>
              <w:t>5.</w:t>
            </w:r>
          </w:p>
        </w:tc>
        <w:tc>
          <w:tcPr>
            <w:tcW w:w="6220" w:type="dxa"/>
            <w:vAlign w:val="bottom"/>
            <w:tcBorders>
              <w:bottom w:val="single" w:sz="8" w:color="auto"/>
              <w:right w:val="single" w:sz="8" w:color="auto"/>
            </w:tcBorders>
          </w:tcPr>
          <w:p>
            <w:pPr>
              <w:ind w:left="100"/>
              <w:spacing w:after="0" w:line="209" w:lineRule="exact"/>
              <w:rPr>
                <w:sz w:val="20"/>
                <w:szCs w:val="20"/>
                <w:color w:val="auto"/>
              </w:rPr>
            </w:pPr>
            <w:r>
              <w:rPr>
                <w:rFonts w:ascii="Arial" w:cs="Arial" w:eastAsia="Arial" w:hAnsi="Arial"/>
                <w:sz w:val="20"/>
                <w:szCs w:val="20"/>
                <w:color w:val="auto"/>
              </w:rPr>
              <w:t>[†]</w:t>
            </w:r>
          </w:p>
        </w:tc>
        <w:tc>
          <w:tcPr>
            <w:tcW w:w="3500" w:type="dxa"/>
            <w:vAlign w:val="bottom"/>
            <w:tcBorders>
              <w:bottom w:val="single" w:sz="8" w:color="auto"/>
              <w:right w:val="single" w:sz="8" w:color="auto"/>
            </w:tcBorders>
          </w:tcPr>
          <w:p>
            <w:pPr>
              <w:ind w:left="240"/>
              <w:spacing w:after="0" w:line="209" w:lineRule="exact"/>
              <w:rPr>
                <w:sz w:val="20"/>
                <w:szCs w:val="20"/>
                <w:color w:val="auto"/>
              </w:rPr>
            </w:pPr>
            <w:r>
              <w:rPr>
                <w:rFonts w:ascii="Arial" w:cs="Arial" w:eastAsia="Arial" w:hAnsi="Arial"/>
                <w:sz w:val="20"/>
                <w:szCs w:val="20"/>
                <w:color w:val="auto"/>
              </w:rPr>
              <w:t>[†]</w:t>
            </w:r>
          </w:p>
        </w:tc>
      </w:tr>
      <w:tr>
        <w:trPr>
          <w:trHeight w:val="210"/>
        </w:trPr>
        <w:tc>
          <w:tcPr>
            <w:tcW w:w="1700" w:type="dxa"/>
            <w:vAlign w:val="bottom"/>
            <w:tcBorders>
              <w:left w:val="single" w:sz="8" w:color="auto"/>
              <w:bottom w:val="single" w:sz="8" w:color="auto"/>
              <w:right w:val="single" w:sz="8" w:color="auto"/>
            </w:tcBorders>
          </w:tcPr>
          <w:p>
            <w:pPr>
              <w:jc w:val="right"/>
              <w:ind w:right="1301"/>
              <w:spacing w:after="0" w:line="209" w:lineRule="exact"/>
              <w:rPr>
                <w:sz w:val="20"/>
                <w:szCs w:val="20"/>
                <w:color w:val="auto"/>
              </w:rPr>
            </w:pPr>
            <w:r>
              <w:rPr>
                <w:rFonts w:ascii="Arial" w:cs="Arial" w:eastAsia="Arial" w:hAnsi="Arial"/>
                <w:sz w:val="20"/>
                <w:szCs w:val="20"/>
                <w:color w:val="auto"/>
              </w:rPr>
              <w:t>6.</w:t>
            </w:r>
          </w:p>
        </w:tc>
        <w:tc>
          <w:tcPr>
            <w:tcW w:w="6220" w:type="dxa"/>
            <w:vAlign w:val="bottom"/>
            <w:tcBorders>
              <w:bottom w:val="single" w:sz="8" w:color="auto"/>
              <w:right w:val="single" w:sz="8" w:color="auto"/>
            </w:tcBorders>
          </w:tcPr>
          <w:p>
            <w:pPr>
              <w:ind w:left="100"/>
              <w:spacing w:after="0" w:line="209" w:lineRule="exact"/>
              <w:rPr>
                <w:sz w:val="20"/>
                <w:szCs w:val="20"/>
                <w:color w:val="auto"/>
              </w:rPr>
            </w:pPr>
            <w:r>
              <w:rPr>
                <w:rFonts w:ascii="Arial" w:cs="Arial" w:eastAsia="Arial" w:hAnsi="Arial"/>
                <w:sz w:val="20"/>
                <w:szCs w:val="20"/>
                <w:color w:val="auto"/>
              </w:rPr>
              <w:t>[†]</w:t>
            </w:r>
          </w:p>
        </w:tc>
        <w:tc>
          <w:tcPr>
            <w:tcW w:w="3500" w:type="dxa"/>
            <w:vAlign w:val="bottom"/>
            <w:tcBorders>
              <w:bottom w:val="single" w:sz="8" w:color="auto"/>
              <w:right w:val="single" w:sz="8" w:color="auto"/>
            </w:tcBorders>
          </w:tcPr>
          <w:p>
            <w:pPr>
              <w:ind w:left="240"/>
              <w:spacing w:after="0" w:line="209" w:lineRule="exact"/>
              <w:rPr>
                <w:sz w:val="20"/>
                <w:szCs w:val="20"/>
                <w:color w:val="auto"/>
              </w:rPr>
            </w:pPr>
            <w:r>
              <w:rPr>
                <w:rFonts w:ascii="Arial" w:cs="Arial" w:eastAsia="Arial" w:hAnsi="Arial"/>
                <w:sz w:val="20"/>
                <w:szCs w:val="20"/>
                <w:color w:val="auto"/>
              </w:rPr>
              <w:t>[†]</w:t>
            </w:r>
          </w:p>
        </w:tc>
      </w:tr>
      <w:tr>
        <w:trPr>
          <w:trHeight w:val="210"/>
        </w:trPr>
        <w:tc>
          <w:tcPr>
            <w:tcW w:w="1700" w:type="dxa"/>
            <w:vAlign w:val="bottom"/>
            <w:tcBorders>
              <w:left w:val="single" w:sz="8" w:color="auto"/>
              <w:bottom w:val="single" w:sz="8" w:color="auto"/>
              <w:right w:val="single" w:sz="8" w:color="auto"/>
            </w:tcBorders>
          </w:tcPr>
          <w:p>
            <w:pPr>
              <w:jc w:val="right"/>
              <w:ind w:right="1301"/>
              <w:spacing w:after="0" w:line="209" w:lineRule="exact"/>
              <w:rPr>
                <w:sz w:val="20"/>
                <w:szCs w:val="20"/>
                <w:color w:val="auto"/>
              </w:rPr>
            </w:pPr>
            <w:r>
              <w:rPr>
                <w:rFonts w:ascii="Arial" w:cs="Arial" w:eastAsia="Arial" w:hAnsi="Arial"/>
                <w:sz w:val="20"/>
                <w:szCs w:val="20"/>
                <w:color w:val="auto"/>
              </w:rPr>
              <w:t>7.</w:t>
            </w:r>
          </w:p>
        </w:tc>
        <w:tc>
          <w:tcPr>
            <w:tcW w:w="6220" w:type="dxa"/>
            <w:vAlign w:val="bottom"/>
            <w:tcBorders>
              <w:bottom w:val="single" w:sz="8" w:color="auto"/>
              <w:right w:val="single" w:sz="8" w:color="auto"/>
            </w:tcBorders>
          </w:tcPr>
          <w:p>
            <w:pPr>
              <w:ind w:left="100"/>
              <w:spacing w:after="0" w:line="209" w:lineRule="exact"/>
              <w:rPr>
                <w:sz w:val="20"/>
                <w:szCs w:val="20"/>
                <w:color w:val="auto"/>
              </w:rPr>
            </w:pPr>
            <w:r>
              <w:rPr>
                <w:rFonts w:ascii="Arial" w:cs="Arial" w:eastAsia="Arial" w:hAnsi="Arial"/>
                <w:sz w:val="20"/>
                <w:szCs w:val="20"/>
                <w:color w:val="auto"/>
              </w:rPr>
              <w:t>[†]</w:t>
            </w:r>
          </w:p>
        </w:tc>
        <w:tc>
          <w:tcPr>
            <w:tcW w:w="3500" w:type="dxa"/>
            <w:vAlign w:val="bottom"/>
            <w:tcBorders>
              <w:bottom w:val="single" w:sz="8" w:color="auto"/>
              <w:right w:val="single" w:sz="8" w:color="auto"/>
            </w:tcBorders>
          </w:tcPr>
          <w:p>
            <w:pPr>
              <w:ind w:left="240"/>
              <w:spacing w:after="0" w:line="209" w:lineRule="exact"/>
              <w:rPr>
                <w:sz w:val="20"/>
                <w:szCs w:val="20"/>
                <w:color w:val="auto"/>
              </w:rPr>
            </w:pPr>
            <w:r>
              <w:rPr>
                <w:rFonts w:ascii="Arial" w:cs="Arial" w:eastAsia="Arial" w:hAnsi="Arial"/>
                <w:sz w:val="20"/>
                <w:szCs w:val="20"/>
                <w:color w:val="auto"/>
              </w:rPr>
              <w:t>[†]</w:t>
            </w:r>
          </w:p>
        </w:tc>
      </w:tr>
      <w:tr>
        <w:trPr>
          <w:trHeight w:val="210"/>
        </w:trPr>
        <w:tc>
          <w:tcPr>
            <w:tcW w:w="1700" w:type="dxa"/>
            <w:vAlign w:val="bottom"/>
            <w:tcBorders>
              <w:left w:val="single" w:sz="8" w:color="auto"/>
              <w:bottom w:val="single" w:sz="8" w:color="auto"/>
              <w:right w:val="single" w:sz="8" w:color="auto"/>
            </w:tcBorders>
          </w:tcPr>
          <w:p>
            <w:pPr>
              <w:jc w:val="right"/>
              <w:ind w:right="1301"/>
              <w:spacing w:after="0" w:line="209" w:lineRule="exact"/>
              <w:rPr>
                <w:sz w:val="20"/>
                <w:szCs w:val="20"/>
                <w:color w:val="auto"/>
              </w:rPr>
            </w:pPr>
            <w:r>
              <w:rPr>
                <w:rFonts w:ascii="Arial" w:cs="Arial" w:eastAsia="Arial" w:hAnsi="Arial"/>
                <w:sz w:val="20"/>
                <w:szCs w:val="20"/>
                <w:color w:val="auto"/>
              </w:rPr>
              <w:t>8.</w:t>
            </w:r>
          </w:p>
        </w:tc>
        <w:tc>
          <w:tcPr>
            <w:tcW w:w="6220" w:type="dxa"/>
            <w:vAlign w:val="bottom"/>
            <w:tcBorders>
              <w:bottom w:val="single" w:sz="8" w:color="auto"/>
              <w:right w:val="single" w:sz="8" w:color="auto"/>
            </w:tcBorders>
          </w:tcPr>
          <w:p>
            <w:pPr>
              <w:ind w:left="100"/>
              <w:spacing w:after="0" w:line="209" w:lineRule="exact"/>
              <w:rPr>
                <w:sz w:val="20"/>
                <w:szCs w:val="20"/>
                <w:color w:val="auto"/>
              </w:rPr>
            </w:pPr>
            <w:r>
              <w:rPr>
                <w:rFonts w:ascii="Arial" w:cs="Arial" w:eastAsia="Arial" w:hAnsi="Arial"/>
                <w:sz w:val="20"/>
                <w:szCs w:val="20"/>
                <w:color w:val="auto"/>
              </w:rPr>
              <w:t>[†]</w:t>
            </w:r>
          </w:p>
        </w:tc>
        <w:tc>
          <w:tcPr>
            <w:tcW w:w="3500" w:type="dxa"/>
            <w:vAlign w:val="bottom"/>
            <w:tcBorders>
              <w:bottom w:val="single" w:sz="8" w:color="auto"/>
              <w:right w:val="single" w:sz="8" w:color="auto"/>
            </w:tcBorders>
          </w:tcPr>
          <w:p>
            <w:pPr>
              <w:ind w:left="240"/>
              <w:spacing w:after="0" w:line="209" w:lineRule="exact"/>
              <w:rPr>
                <w:sz w:val="20"/>
                <w:szCs w:val="20"/>
                <w:color w:val="auto"/>
              </w:rPr>
            </w:pPr>
            <w:r>
              <w:rPr>
                <w:rFonts w:ascii="Arial" w:cs="Arial" w:eastAsia="Arial" w:hAnsi="Arial"/>
                <w:sz w:val="20"/>
                <w:szCs w:val="20"/>
                <w:color w:val="auto"/>
              </w:rPr>
              <w:t>[†]</w:t>
            </w:r>
          </w:p>
        </w:tc>
      </w:tr>
    </w:tbl>
    <w:p>
      <w:pPr>
        <w:spacing w:after="0" w:line="200" w:lineRule="exact"/>
        <w:rPr>
          <w:sz w:val="20"/>
          <w:szCs w:val="20"/>
          <w:color w:val="auto"/>
        </w:rPr>
      </w:pPr>
    </w:p>
    <w:p>
      <w:pPr>
        <w:spacing w:after="0" w:line="229" w:lineRule="exact"/>
        <w:rPr>
          <w:sz w:val="20"/>
          <w:szCs w:val="20"/>
          <w:color w:val="auto"/>
        </w:rPr>
      </w:pPr>
    </w:p>
    <w:p>
      <w:pPr>
        <w:ind w:right="40"/>
        <w:spacing w:after="0" w:line="246" w:lineRule="auto"/>
        <w:rPr>
          <w:sz w:val="20"/>
          <w:szCs w:val="20"/>
          <w:color w:val="auto"/>
        </w:rPr>
      </w:pPr>
      <w:r>
        <w:rPr>
          <w:rFonts w:ascii="Arial" w:cs="Arial" w:eastAsia="Arial" w:hAnsi="Arial"/>
          <w:sz w:val="20"/>
          <w:szCs w:val="20"/>
          <w:color w:val="auto"/>
        </w:rPr>
        <w:t>For purposes of clarity, (a) Milestone Event Number 2 is in addition to, and not a replacement for, Milestone Event Number 3 (i.e., if a Milestone Payment is triggered pursuant to clause (2) of Milestone Event Number 2, then Seller will be entitled Milestone Payments in respect of Milestone Event Number 2 and Milestone Event Number 3), and (b) if Milestone Event 1 is achieved, no payment can be due with respect to Milestone 8.</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7</w:t>
      </w:r>
    </w:p>
    <w:p>
      <w:pPr>
        <w:spacing w:after="0" w:line="10" w:lineRule="exact"/>
        <w:rPr>
          <w:sz w:val="20"/>
          <w:szCs w:val="20"/>
          <w:color w:val="auto"/>
        </w:rPr>
      </w:pPr>
    </w:p>
    <w:p>
      <w:pPr>
        <w:ind w:right="40" w:firstLine="8"/>
        <w:spacing w:after="0" w:line="237" w:lineRule="auto"/>
        <w:tabs>
          <w:tab w:leader="none" w:pos="204" w:val="left"/>
        </w:tabs>
        <w:numPr>
          <w:ilvl w:val="0"/>
          <w:numId w:val="71"/>
        </w:numPr>
        <w:rPr>
          <w:rFonts w:ascii="Arial" w:cs="Arial" w:eastAsia="Arial" w:hAnsi="Arial"/>
          <w:sz w:val="14"/>
          <w:szCs w:val="14"/>
          <w:color w:val="auto"/>
        </w:rPr>
      </w:pPr>
      <w:r>
        <w:rPr>
          <w:rFonts w:ascii="Arial" w:cs="Arial" w:eastAsia="Arial" w:hAnsi="Arial"/>
          <w:sz w:val="14"/>
          <w:szCs w:val="14"/>
          <w:color w:val="auto"/>
        </w:rPr>
        <w:t>DESIGNATES PORTIONS OF THIS DOCUMENT THAT HAVE BEEN OMITTED PURSUANT TO A REQUEST FOR CONFIDENTIAL TREATMENT FILED SEPARATELY WITH THE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46990</wp:posOffset>
            </wp:positionV>
            <wp:extent cx="7289165"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68" w:right="239" w:bottom="1440" w:gutter="0" w:footer="0" w:header="0"/>
        </w:sectPr>
      </w:pPr>
    </w:p>
    <w:bookmarkStart w:id="71" w:name="page72"/>
    <w:bookmarkEnd w:id="71"/>
    <w:p>
      <w:pPr>
        <w:ind w:left="2580" w:hanging="882"/>
        <w:spacing w:after="0"/>
        <w:tabs>
          <w:tab w:leader="none" w:pos="25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 xml:space="preserve">Seller and Acquiror understand and agree that each of the Milestone Payments referenced in this </w:t>
      </w:r>
      <w:r>
        <w:rPr>
          <w:rFonts w:ascii="Arial" w:cs="Arial" w:eastAsia="Arial" w:hAnsi="Arial"/>
          <w:sz w:val="18"/>
          <w:szCs w:val="18"/>
          <w:u w:val="single" w:color="auto"/>
          <w:color w:val="auto"/>
        </w:rPr>
        <w:t>Section</w:t>
      </w:r>
    </w:p>
    <w:p>
      <w:pPr>
        <w:spacing w:after="0" w:line="39" w:lineRule="exact"/>
        <w:rPr>
          <w:sz w:val="20"/>
          <w:szCs w:val="20"/>
          <w:color w:val="auto"/>
        </w:rPr>
      </w:pPr>
    </w:p>
    <w:p>
      <w:pPr>
        <w:ind w:right="340"/>
        <w:spacing w:after="0" w:line="244" w:lineRule="auto"/>
        <w:rPr>
          <w:sz w:val="20"/>
          <w:szCs w:val="20"/>
          <w:color w:val="auto"/>
        </w:rPr>
      </w:pPr>
      <w:r>
        <w:rPr>
          <w:rFonts w:ascii="Arial" w:cs="Arial" w:eastAsia="Arial" w:hAnsi="Arial"/>
          <w:sz w:val="20"/>
          <w:szCs w:val="20"/>
          <w:u w:val="single" w:color="auto"/>
          <w:color w:val="auto"/>
        </w:rPr>
        <w:t>2.4(a)</w:t>
      </w:r>
      <w:r>
        <w:rPr>
          <w:rFonts w:ascii="Arial" w:cs="Arial" w:eastAsia="Arial" w:hAnsi="Arial"/>
          <w:sz w:val="20"/>
          <w:szCs w:val="20"/>
          <w:color w:val="auto"/>
        </w:rPr>
        <w:t>, shall be payable only once, upon the first occurrence of the applicable Milestone Event for the first Product to achieve the applicable Milestone Event.</w:t>
      </w:r>
    </w:p>
    <w:p>
      <w:pPr>
        <w:spacing w:after="0" w:line="192" w:lineRule="exact"/>
        <w:rPr>
          <w:sz w:val="20"/>
          <w:szCs w:val="20"/>
          <w:color w:val="auto"/>
        </w:rPr>
      </w:pPr>
    </w:p>
    <w:p>
      <w:pPr>
        <w:ind w:right="600" w:firstLine="1698"/>
        <w:spacing w:after="0" w:line="316" w:lineRule="auto"/>
        <w:tabs>
          <w:tab w:leader="none" w:pos="2558" w:val="left"/>
        </w:tabs>
        <w:numPr>
          <w:ilvl w:val="0"/>
          <w:numId w:val="73"/>
        </w:numPr>
        <w:rPr>
          <w:rFonts w:ascii="Arial" w:cs="Arial" w:eastAsia="Arial" w:hAnsi="Arial"/>
          <w:sz w:val="18"/>
          <w:szCs w:val="18"/>
          <w:color w:val="auto"/>
        </w:rPr>
      </w:pPr>
      <w:r>
        <w:rPr>
          <w:rFonts w:ascii="Arial" w:cs="Arial" w:eastAsia="Arial" w:hAnsi="Arial"/>
          <w:sz w:val="18"/>
          <w:szCs w:val="18"/>
          <w:color w:val="auto"/>
        </w:rPr>
        <w:t>If an applicable Patent Milestone Event or Regulatory Milestone Event set forth in the table above is not achieved, no Milestone Payment shall be due for such Patent Milestone Event or Regulatory Milestone Event, as applicable.</w:t>
      </w:r>
    </w:p>
    <w:p>
      <w:pPr>
        <w:spacing w:after="0" w:line="130" w:lineRule="exact"/>
        <w:rPr>
          <w:sz w:val="20"/>
          <w:szCs w:val="20"/>
          <w:color w:val="auto"/>
        </w:rPr>
      </w:pPr>
    </w:p>
    <w:p>
      <w:pPr>
        <w:ind w:right="20" w:firstLine="846"/>
        <w:spacing w:after="0" w:line="270" w:lineRule="auto"/>
        <w:rPr>
          <w:sz w:val="20"/>
          <w:szCs w:val="20"/>
          <w:color w:val="auto"/>
        </w:rPr>
      </w:pPr>
      <w:r>
        <w:rPr>
          <w:rFonts w:ascii="Arial" w:cs="Arial" w:eastAsia="Arial" w:hAnsi="Arial"/>
          <w:sz w:val="18"/>
          <w:szCs w:val="18"/>
          <w:color w:val="auto"/>
        </w:rPr>
        <w:t xml:space="preserve">2.5 </w:t>
      </w:r>
      <w:r>
        <w:rPr>
          <w:rFonts w:ascii="Arial" w:cs="Arial" w:eastAsia="Arial" w:hAnsi="Arial"/>
          <w:sz w:val="18"/>
          <w:szCs w:val="18"/>
          <w:u w:val="single" w:color="auto"/>
          <w:color w:val="auto"/>
        </w:rPr>
        <w:t>Taxes</w:t>
      </w:r>
      <w:r>
        <w:rPr>
          <w:rFonts w:ascii="Arial" w:cs="Arial" w:eastAsia="Arial" w:hAnsi="Arial"/>
          <w:sz w:val="18"/>
          <w:szCs w:val="18"/>
          <w:color w:val="auto"/>
        </w:rPr>
        <w:t>. Notwithstanding anything in this Agreement to the contrary, each of Acquiror and Seller is responsible for payment of any tax for which it is required to pay to the applicable Governmental Entity in connection with the purchase of the transactions contemplated by the Agreement. In the event any tax or similar amount is paid or required to be withheld by Acquiror or any Affiliate thereof on account of any payments payable to Seller under this Agreement, the corresponding amounts payable to Seller shall be reduced by the amount of taxes or similar amounts deducted and withheld, and Acquiror shall pay the amounts of such taxes or similar amounts to the proper Governmental Entities in a timely manner and promptly transmit to Seller an official tax certificate or other evidence of such tax or other obligations together with proof of payment from the relevant Governmental Entity of all amounts deducted and withheld sufficient to enable Seller to claim such payment of taxes or similar amounts. Any such withholding taxes or similar amounts required under applicable Law to be paid or withheld shall be an expense of, and borne solely by, Seller. Acquiror will provide Seller with, at Seller’s expense, reasonable assistance to enable Seller to recover such taxes or amounts otherwise withheld as permitted by Law. Without limiting the foregoing, Seller shall be solely responsible for any and all taxes that may be incurred arising from or relating to Seller’s corporate conversion to an S-Corporation, and shall indemnify Acquiror for any claims, damages, expenses, or losses with respect thereto.</w:t>
      </w:r>
    </w:p>
    <w:p>
      <w:pPr>
        <w:spacing w:after="0" w:line="171" w:lineRule="exact"/>
        <w:rPr>
          <w:sz w:val="20"/>
          <w:szCs w:val="20"/>
          <w:color w:val="auto"/>
        </w:rPr>
      </w:pPr>
    </w:p>
    <w:tbl>
      <w:tblPr>
        <w:tblLayout w:type="fixed"/>
        <w:tblInd w:w="860" w:type="dxa"/>
        <w:tblCellMar>
          <w:top w:w="0" w:type="dxa"/>
          <w:left w:w="0" w:type="dxa"/>
          <w:bottom w:w="0" w:type="dxa"/>
          <w:right w:w="0" w:type="dxa"/>
        </w:tblCellMar>
      </w:tblPr>
      <w:tr>
        <w:trPr>
          <w:trHeight w:val="256"/>
        </w:trPr>
        <w:tc>
          <w:tcPr>
            <w:tcW w:w="620" w:type="dxa"/>
            <w:vAlign w:val="bottom"/>
          </w:tcPr>
          <w:p>
            <w:pPr>
              <w:spacing w:after="0"/>
              <w:rPr>
                <w:sz w:val="22"/>
                <w:szCs w:val="22"/>
                <w:color w:val="auto"/>
              </w:rPr>
            </w:pPr>
          </w:p>
        </w:tc>
        <w:tc>
          <w:tcPr>
            <w:tcW w:w="9680" w:type="dxa"/>
            <w:vAlign w:val="bottom"/>
          </w:tcPr>
          <w:p>
            <w:pPr>
              <w:ind w:left="1880"/>
              <w:spacing w:after="0"/>
              <w:rPr>
                <w:sz w:val="20"/>
                <w:szCs w:val="20"/>
                <w:color w:val="auto"/>
              </w:rPr>
            </w:pPr>
            <w:r>
              <w:rPr>
                <w:rFonts w:ascii="Arial" w:cs="Arial" w:eastAsia="Arial" w:hAnsi="Arial"/>
                <w:sz w:val="20"/>
                <w:szCs w:val="20"/>
                <w:b w:val="1"/>
                <w:bCs w:val="1"/>
                <w:color w:val="auto"/>
              </w:rPr>
              <w:t>ARTICLE 3 CLOSING; TERMINATION AND TERM</w:t>
            </w:r>
          </w:p>
        </w:tc>
      </w:tr>
      <w:tr>
        <w:trPr>
          <w:trHeight w:val="441"/>
        </w:trPr>
        <w:tc>
          <w:tcPr>
            <w:tcW w:w="620" w:type="dxa"/>
            <w:vAlign w:val="bottom"/>
          </w:tcPr>
          <w:p>
            <w:pPr>
              <w:jc w:val="right"/>
              <w:ind w:right="281"/>
              <w:spacing w:after="0"/>
              <w:rPr>
                <w:sz w:val="20"/>
                <w:szCs w:val="20"/>
                <w:color w:val="auto"/>
              </w:rPr>
            </w:pPr>
            <w:r>
              <w:rPr>
                <w:rFonts w:ascii="Arial" w:cs="Arial" w:eastAsia="Arial" w:hAnsi="Arial"/>
                <w:sz w:val="20"/>
                <w:szCs w:val="20"/>
                <w:color w:val="auto"/>
                <w:w w:val="78"/>
              </w:rPr>
              <w:t>3.1</w:t>
            </w:r>
          </w:p>
        </w:tc>
        <w:tc>
          <w:tcPr>
            <w:tcW w:w="9680" w:type="dxa"/>
            <w:vAlign w:val="bottom"/>
          </w:tcPr>
          <w:p>
            <w:pPr>
              <w:ind w:left="360"/>
              <w:spacing w:after="0"/>
              <w:rPr>
                <w:sz w:val="20"/>
                <w:szCs w:val="20"/>
                <w:color w:val="auto"/>
              </w:rPr>
            </w:pPr>
            <w:r>
              <w:rPr>
                <w:rFonts w:ascii="Arial" w:cs="Arial" w:eastAsia="Arial" w:hAnsi="Arial"/>
                <w:sz w:val="20"/>
                <w:szCs w:val="20"/>
                <w:u w:val="single" w:color="auto"/>
                <w:color w:val="auto"/>
                <w:w w:val="90"/>
              </w:rPr>
              <w:t>Location; Date</w:t>
            </w:r>
            <w:r>
              <w:rPr>
                <w:rFonts w:ascii="Arial" w:cs="Arial" w:eastAsia="Arial" w:hAnsi="Arial"/>
                <w:sz w:val="20"/>
                <w:szCs w:val="20"/>
                <w:color w:val="auto"/>
                <w:w w:val="90"/>
              </w:rPr>
              <w:t>. The consummation of the Transactions (the “</w:t>
            </w:r>
            <w:r>
              <w:rPr>
                <w:rFonts w:ascii="Arial" w:cs="Arial" w:eastAsia="Arial" w:hAnsi="Arial"/>
                <w:sz w:val="20"/>
                <w:szCs w:val="20"/>
                <w:b w:val="1"/>
                <w:bCs w:val="1"/>
                <w:color w:val="auto"/>
                <w:w w:val="90"/>
              </w:rPr>
              <w:t>Closing</w:t>
            </w:r>
            <w:r>
              <w:rPr>
                <w:rFonts w:ascii="Arial" w:cs="Arial" w:eastAsia="Arial" w:hAnsi="Arial"/>
                <w:sz w:val="20"/>
                <w:szCs w:val="20"/>
                <w:color w:val="auto"/>
                <w:w w:val="90"/>
              </w:rPr>
              <w:t>”) shall be held at the offices of Wyrick Robbins</w:t>
            </w:r>
          </w:p>
        </w:tc>
      </w:tr>
    </w:tbl>
    <w:p>
      <w:pPr>
        <w:ind w:right="200"/>
        <w:spacing w:after="0" w:line="260" w:lineRule="auto"/>
        <w:rPr>
          <w:sz w:val="20"/>
          <w:szCs w:val="20"/>
          <w:color w:val="auto"/>
        </w:rPr>
      </w:pPr>
      <w:r>
        <w:rPr>
          <w:rFonts w:ascii="Arial" w:cs="Arial" w:eastAsia="Arial" w:hAnsi="Arial"/>
          <w:sz w:val="19"/>
          <w:szCs w:val="19"/>
          <w:color w:val="auto"/>
        </w:rPr>
        <w:t xml:space="preserve">Yates &amp; Ponton, LLP, at 4101 Lake Boone Trail, Suite 300, Raleigh, NC 27607 on a date which shall be no later than [†] ([†]) [†] after satisfaction or waiver of the conditions set forth in </w:t>
      </w:r>
      <w:r>
        <w:rPr>
          <w:rFonts w:ascii="Arial" w:cs="Arial" w:eastAsia="Arial" w:hAnsi="Arial"/>
          <w:sz w:val="19"/>
          <w:szCs w:val="19"/>
          <w:u w:val="single" w:color="auto"/>
          <w:color w:val="auto"/>
        </w:rPr>
        <w:t>7.5</w:t>
      </w:r>
      <w:r>
        <w:rPr>
          <w:rFonts w:ascii="Arial" w:cs="Arial" w:eastAsia="Arial" w:hAnsi="Arial"/>
          <w:sz w:val="19"/>
          <w:szCs w:val="19"/>
          <w:color w:val="auto"/>
        </w:rPr>
        <w:t xml:space="preserve"> or at such other date and place as may be mutually agreed upon by Acquiror and Seller (the “</w:t>
      </w:r>
      <w:r>
        <w:rPr>
          <w:rFonts w:ascii="Arial" w:cs="Arial" w:eastAsia="Arial" w:hAnsi="Arial"/>
          <w:sz w:val="19"/>
          <w:szCs w:val="19"/>
          <w:b w:val="1"/>
          <w:bCs w:val="1"/>
          <w:color w:val="auto"/>
        </w:rPr>
        <w:t>Closing Date</w:t>
      </w:r>
      <w:r>
        <w:rPr>
          <w:rFonts w:ascii="Arial" w:cs="Arial" w:eastAsia="Arial" w:hAnsi="Arial"/>
          <w:sz w:val="19"/>
          <w:szCs w:val="19"/>
          <w:color w:val="auto"/>
        </w:rPr>
        <w:t>”). The Closing shall be effective for all purposes as of 11:59 p.m. (Eastern Time) on the Closing Date.</w:t>
      </w:r>
    </w:p>
    <w:p>
      <w:pPr>
        <w:spacing w:after="0" w:line="179" w:lineRule="exact"/>
        <w:rPr>
          <w:sz w:val="20"/>
          <w:szCs w:val="20"/>
          <w:color w:val="auto"/>
        </w:rPr>
      </w:pPr>
    </w:p>
    <w:p>
      <w:pPr>
        <w:ind w:right="720" w:firstLine="846"/>
        <w:spacing w:after="0" w:line="260" w:lineRule="auto"/>
        <w:rPr>
          <w:sz w:val="20"/>
          <w:szCs w:val="20"/>
          <w:color w:val="auto"/>
        </w:rPr>
      </w:pPr>
      <w:r>
        <w:rPr>
          <w:rFonts w:ascii="Arial" w:cs="Arial" w:eastAsia="Arial" w:hAnsi="Arial"/>
          <w:sz w:val="20"/>
          <w:szCs w:val="20"/>
          <w:color w:val="auto"/>
        </w:rPr>
        <w:t xml:space="preserve">3.2 </w:t>
      </w:r>
      <w:r>
        <w:rPr>
          <w:rFonts w:ascii="Arial" w:cs="Arial" w:eastAsia="Arial" w:hAnsi="Arial"/>
          <w:sz w:val="20"/>
          <w:szCs w:val="20"/>
          <w:u w:val="single" w:color="auto"/>
          <w:color w:val="auto"/>
        </w:rPr>
        <w:t>Deliveries</w:t>
      </w:r>
      <w:r>
        <w:rPr>
          <w:rFonts w:ascii="Arial" w:cs="Arial" w:eastAsia="Arial" w:hAnsi="Arial"/>
          <w:sz w:val="20"/>
          <w:szCs w:val="20"/>
          <w:color w:val="auto"/>
        </w:rPr>
        <w:t>. At the Closing and as a condition to Closing, Seller shall deliver or cause to be delivered each of the following to Acquiror, unless Acquiror waives the delivery thereof:</w:t>
      </w:r>
    </w:p>
    <w:p>
      <w:pPr>
        <w:spacing w:after="0" w:line="177" w:lineRule="exact"/>
        <w:rPr>
          <w:sz w:val="20"/>
          <w:szCs w:val="20"/>
          <w:color w:val="auto"/>
        </w:rPr>
      </w:pPr>
    </w:p>
    <w:p>
      <w:pPr>
        <w:ind w:right="220" w:firstLine="2544"/>
        <w:spacing w:after="0" w:line="250" w:lineRule="auto"/>
        <w:tabs>
          <w:tab w:leader="none" w:pos="3470" w:val="left"/>
        </w:tabs>
        <w:numPr>
          <w:ilvl w:val="0"/>
          <w:numId w:val="74"/>
        </w:numPr>
        <w:rPr>
          <w:rFonts w:ascii="Arial" w:cs="Arial" w:eastAsia="Arial" w:hAnsi="Arial"/>
          <w:sz w:val="20"/>
          <w:szCs w:val="20"/>
          <w:color w:val="auto"/>
        </w:rPr>
      </w:pPr>
      <w:r>
        <w:rPr>
          <w:rFonts w:ascii="Arial" w:cs="Arial" w:eastAsia="Arial" w:hAnsi="Arial"/>
          <w:sz w:val="20"/>
          <w:szCs w:val="20"/>
          <w:color w:val="auto"/>
        </w:rPr>
        <w:t>Evidence reasonably satisfactory to Acquiror that the API will be shipped to the address provided by the Acquiror using a carrier selected by Seller and delivered to Acquiror within [†] ([†]) [†] of the Closing Date. Seller and Acquiror will each be responsible for [†];</w:t>
      </w:r>
    </w:p>
    <w:p>
      <w:pPr>
        <w:spacing w:after="0" w:line="186" w:lineRule="exact"/>
        <w:rPr>
          <w:rFonts w:ascii="Arial" w:cs="Arial" w:eastAsia="Arial" w:hAnsi="Arial"/>
          <w:sz w:val="20"/>
          <w:szCs w:val="20"/>
          <w:color w:val="auto"/>
        </w:rPr>
      </w:pPr>
    </w:p>
    <w:p>
      <w:pPr>
        <w:ind w:firstLine="2544"/>
        <w:spacing w:after="0" w:line="291" w:lineRule="auto"/>
        <w:tabs>
          <w:tab w:leader="none" w:pos="3475" w:val="left"/>
        </w:tabs>
        <w:numPr>
          <w:ilvl w:val="0"/>
          <w:numId w:val="74"/>
        </w:numPr>
        <w:rPr>
          <w:rFonts w:ascii="Arial" w:cs="Arial" w:eastAsia="Arial" w:hAnsi="Arial"/>
          <w:sz w:val="18"/>
          <w:szCs w:val="18"/>
          <w:color w:val="auto"/>
        </w:rPr>
      </w:pPr>
      <w:r>
        <w:rPr>
          <w:rFonts w:ascii="Arial" w:cs="Arial" w:eastAsia="Arial" w:hAnsi="Arial"/>
          <w:sz w:val="18"/>
          <w:szCs w:val="18"/>
          <w:color w:val="auto"/>
        </w:rPr>
        <w:t>Evidence reasonably satisfactory to Acquiror that any and all physical and/or electronic files, reports, data and other documentation constituting Know-How or otherwise related to Compound will be shipped to the address provided by the Acquiror and delivered to Acquiror within [†] ([†]) [†] of the Closing Date. Seller and Acquiror will each be responsible for [†];</w:t>
      </w:r>
    </w:p>
    <w:p>
      <w:pPr>
        <w:spacing w:after="0" w:line="151" w:lineRule="exact"/>
        <w:rPr>
          <w:rFonts w:ascii="Arial" w:cs="Arial" w:eastAsia="Arial" w:hAnsi="Arial"/>
          <w:sz w:val="18"/>
          <w:szCs w:val="18"/>
          <w:color w:val="auto"/>
        </w:rPr>
      </w:pPr>
    </w:p>
    <w:p>
      <w:pPr>
        <w:ind w:right="60" w:firstLine="2544"/>
        <w:spacing w:after="0" w:line="269" w:lineRule="auto"/>
        <w:tabs>
          <w:tab w:leader="none" w:pos="3481" w:val="left"/>
        </w:tabs>
        <w:numPr>
          <w:ilvl w:val="0"/>
          <w:numId w:val="74"/>
        </w:numPr>
        <w:rPr>
          <w:rFonts w:ascii="Arial" w:cs="Arial" w:eastAsia="Arial" w:hAnsi="Arial"/>
          <w:sz w:val="19"/>
          <w:szCs w:val="19"/>
          <w:color w:val="auto"/>
        </w:rPr>
      </w:pPr>
      <w:r>
        <w:rPr>
          <w:rFonts w:ascii="Arial" w:cs="Arial" w:eastAsia="Arial" w:hAnsi="Arial"/>
          <w:sz w:val="19"/>
          <w:szCs w:val="19"/>
          <w:color w:val="auto"/>
        </w:rPr>
        <w:t>Evidence reasonably satisfactory to Acquiror that each consent, approval, order or authorization of, or registration, declaration or filing with any Person required in connection with the execution, delivery or performance of this Agreement as set forth in Schedules 4.3 and 4.7(c) has been obtained or made and is in full force and effect;</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8</w:t>
      </w:r>
    </w:p>
    <w:p>
      <w:pPr>
        <w:spacing w:after="0" w:line="10" w:lineRule="exact"/>
        <w:rPr>
          <w:sz w:val="20"/>
          <w:szCs w:val="20"/>
          <w:color w:val="auto"/>
        </w:rPr>
      </w:pPr>
    </w:p>
    <w:p>
      <w:pPr>
        <w:ind w:right="40" w:firstLine="8"/>
        <w:spacing w:after="0" w:line="237" w:lineRule="auto"/>
        <w:tabs>
          <w:tab w:leader="none" w:pos="204" w:val="left"/>
        </w:tabs>
        <w:numPr>
          <w:ilvl w:val="0"/>
          <w:numId w:val="75"/>
        </w:numPr>
        <w:rPr>
          <w:rFonts w:ascii="Arial" w:cs="Arial" w:eastAsia="Arial" w:hAnsi="Arial"/>
          <w:sz w:val="14"/>
          <w:szCs w:val="14"/>
          <w:color w:val="auto"/>
        </w:rPr>
      </w:pPr>
      <w:r>
        <w:rPr>
          <w:rFonts w:ascii="Arial" w:cs="Arial" w:eastAsia="Arial" w:hAnsi="Arial"/>
          <w:sz w:val="14"/>
          <w:szCs w:val="14"/>
          <w:color w:val="auto"/>
        </w:rPr>
        <w:t>DESIGNATES PORTIONS OF THIS DOCUMENT THAT HAVE BEEN OMITTED PURSUANT TO A REQUEST FOR CONFIDENTIAL TREATMENT FILED SEPARATELY WITH THE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46990</wp:posOffset>
            </wp:positionV>
            <wp:extent cx="7289165"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68" w:right="239" w:bottom="1440" w:gutter="0" w:footer="0" w:header="0"/>
        </w:sectPr>
      </w:pPr>
    </w:p>
    <w:bookmarkStart w:id="72" w:name="page73"/>
    <w:bookmarkEnd w:id="72"/>
    <w:p>
      <w:pPr>
        <w:ind w:left="3480" w:hanging="936"/>
        <w:spacing w:after="0"/>
        <w:tabs>
          <w:tab w:leader="none" w:pos="3480" w:val="left"/>
        </w:tabs>
        <w:numPr>
          <w:ilvl w:val="0"/>
          <w:numId w:val="76"/>
        </w:numPr>
        <w:rPr>
          <w:rFonts w:ascii="Arial" w:cs="Arial" w:eastAsia="Arial" w:hAnsi="Arial"/>
          <w:sz w:val="18"/>
          <w:szCs w:val="18"/>
          <w:color w:val="auto"/>
        </w:rPr>
      </w:pPr>
      <w:r>
        <w:rPr>
          <w:rFonts w:ascii="Arial" w:cs="Arial" w:eastAsia="Arial" w:hAnsi="Arial"/>
          <w:sz w:val="18"/>
          <w:szCs w:val="18"/>
          <w:color w:val="auto"/>
        </w:rPr>
        <w:t>Transfer documents in form and substance reasonably satisfactory to Acquiror required to transfer</w:t>
      </w:r>
    </w:p>
    <w:p>
      <w:pPr>
        <w:spacing w:after="0" w:line="38"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20"/>
          <w:szCs w:val="20"/>
          <w:color w:val="auto"/>
        </w:rPr>
        <w:t>the Seller Registered IPR to Acquiror as of the Closing Date, duly executed by an authorized officer of Seller;</w:t>
      </w:r>
    </w:p>
    <w:p>
      <w:pPr>
        <w:spacing w:after="0" w:line="199" w:lineRule="exact"/>
        <w:rPr>
          <w:rFonts w:ascii="Arial" w:cs="Arial" w:eastAsia="Arial" w:hAnsi="Arial"/>
          <w:sz w:val="18"/>
          <w:szCs w:val="18"/>
          <w:color w:val="auto"/>
        </w:rPr>
      </w:pPr>
    </w:p>
    <w:p>
      <w:pPr>
        <w:jc w:val="both"/>
        <w:ind w:right="80" w:firstLine="2544"/>
        <w:spacing w:after="0" w:line="250" w:lineRule="auto"/>
        <w:tabs>
          <w:tab w:leader="none" w:pos="3464" w:val="left"/>
        </w:tabs>
        <w:numPr>
          <w:ilvl w:val="0"/>
          <w:numId w:val="76"/>
        </w:numPr>
        <w:rPr>
          <w:rFonts w:ascii="Arial" w:cs="Arial" w:eastAsia="Arial" w:hAnsi="Arial"/>
          <w:sz w:val="20"/>
          <w:szCs w:val="20"/>
          <w:color w:val="auto"/>
        </w:rPr>
      </w:pPr>
      <w:r>
        <w:rPr>
          <w:rFonts w:ascii="Arial" w:cs="Arial" w:eastAsia="Arial" w:hAnsi="Arial"/>
          <w:sz w:val="20"/>
          <w:szCs w:val="20"/>
          <w:color w:val="auto"/>
        </w:rPr>
        <w:t>Such other and further certificates, assurances and documents as Acquiror may reasonably request in order to evidence the accuracy of Seller’s representations and warranties, the performance of covenants to be performed by Seller at or prior to the Closing and the fulfillment of the conditions to Seller’s obligations hereunder.</w:t>
      </w:r>
    </w:p>
    <w:p>
      <w:pPr>
        <w:spacing w:after="0" w:line="186" w:lineRule="exact"/>
        <w:rPr>
          <w:sz w:val="20"/>
          <w:szCs w:val="20"/>
          <w:color w:val="auto"/>
        </w:rPr>
      </w:pPr>
    </w:p>
    <w:p>
      <w:pPr>
        <w:ind w:left="860"/>
        <w:spacing w:after="0"/>
        <w:tabs>
          <w:tab w:leader="none" w:pos="1820" w:val="left"/>
        </w:tabs>
        <w:rPr>
          <w:sz w:val="20"/>
          <w:szCs w:val="20"/>
          <w:color w:val="auto"/>
        </w:rPr>
      </w:pPr>
      <w:r>
        <w:rPr>
          <w:rFonts w:ascii="Arial" w:cs="Arial" w:eastAsia="Arial" w:hAnsi="Arial"/>
          <w:sz w:val="20"/>
          <w:szCs w:val="20"/>
          <w:color w:val="auto"/>
        </w:rPr>
        <w:t>3.3</w:t>
      </w:r>
      <w:r>
        <w:rPr>
          <w:sz w:val="20"/>
          <w:szCs w:val="20"/>
          <w:color w:val="auto"/>
        </w:rPr>
        <w:tab/>
      </w:r>
      <w:r>
        <w:rPr>
          <w:rFonts w:ascii="Arial" w:cs="Arial" w:eastAsia="Arial" w:hAnsi="Arial"/>
          <w:sz w:val="18"/>
          <w:szCs w:val="18"/>
          <w:u w:val="single" w:color="auto"/>
          <w:color w:val="auto"/>
        </w:rPr>
        <w:t>Termination</w:t>
      </w:r>
      <w:r>
        <w:rPr>
          <w:rFonts w:ascii="Arial" w:cs="Arial" w:eastAsia="Arial" w:hAnsi="Arial"/>
          <w:sz w:val="18"/>
          <w:szCs w:val="18"/>
          <w:color w:val="auto"/>
        </w:rPr>
        <w:t>.</w:t>
      </w:r>
    </w:p>
    <w:p>
      <w:pPr>
        <w:spacing w:after="0" w:line="216" w:lineRule="exact"/>
        <w:rPr>
          <w:sz w:val="20"/>
          <w:szCs w:val="20"/>
          <w:color w:val="auto"/>
        </w:rPr>
      </w:pPr>
    </w:p>
    <w:p>
      <w:pPr>
        <w:ind w:left="2560" w:hanging="862"/>
        <w:spacing w:after="0"/>
        <w:tabs>
          <w:tab w:leader="none" w:pos="2560" w:val="left"/>
        </w:tabs>
        <w:numPr>
          <w:ilvl w:val="0"/>
          <w:numId w:val="77"/>
        </w:numPr>
        <w:rPr>
          <w:rFonts w:ascii="Arial" w:cs="Arial" w:eastAsia="Arial" w:hAnsi="Arial"/>
          <w:sz w:val="20"/>
          <w:szCs w:val="20"/>
          <w:color w:val="auto"/>
        </w:rPr>
      </w:pPr>
      <w:r>
        <w:rPr>
          <w:rFonts w:ascii="Arial" w:cs="Arial" w:eastAsia="Arial" w:hAnsi="Arial"/>
          <w:sz w:val="20"/>
          <w:szCs w:val="20"/>
          <w:color w:val="auto"/>
        </w:rPr>
        <w:t>This Agreement may be terminated on or prior to the Closing Date only as follows:</w:t>
      </w:r>
    </w:p>
    <w:p>
      <w:pPr>
        <w:spacing w:after="0" w:line="215" w:lineRule="exact"/>
        <w:rPr>
          <w:rFonts w:ascii="Arial" w:cs="Arial" w:eastAsia="Arial" w:hAnsi="Arial"/>
          <w:sz w:val="20"/>
          <w:szCs w:val="20"/>
          <w:color w:val="auto"/>
        </w:rPr>
      </w:pPr>
    </w:p>
    <w:p>
      <w:pPr>
        <w:ind w:left="3480" w:hanging="936"/>
        <w:spacing w:after="0"/>
        <w:tabs>
          <w:tab w:leader="none" w:pos="3480" w:val="left"/>
        </w:tabs>
        <w:numPr>
          <w:ilvl w:val="1"/>
          <w:numId w:val="77"/>
        </w:numPr>
        <w:rPr>
          <w:rFonts w:ascii="Arial" w:cs="Arial" w:eastAsia="Arial" w:hAnsi="Arial"/>
          <w:sz w:val="20"/>
          <w:szCs w:val="20"/>
          <w:color w:val="auto"/>
        </w:rPr>
      </w:pPr>
      <w:r>
        <w:rPr>
          <w:rFonts w:ascii="Arial" w:cs="Arial" w:eastAsia="Arial" w:hAnsi="Arial"/>
          <w:sz w:val="20"/>
          <w:szCs w:val="20"/>
          <w:color w:val="auto"/>
        </w:rPr>
        <w:t>by mutual written consent of Acquiror and Seller;</w:t>
      </w:r>
    </w:p>
    <w:p>
      <w:pPr>
        <w:spacing w:after="0" w:line="215" w:lineRule="exact"/>
        <w:rPr>
          <w:rFonts w:ascii="Arial" w:cs="Arial" w:eastAsia="Arial" w:hAnsi="Arial"/>
          <w:sz w:val="20"/>
          <w:szCs w:val="20"/>
          <w:color w:val="auto"/>
        </w:rPr>
      </w:pPr>
    </w:p>
    <w:p>
      <w:pPr>
        <w:ind w:firstLine="2544"/>
        <w:spacing w:after="0" w:line="282" w:lineRule="auto"/>
        <w:tabs>
          <w:tab w:leader="none" w:pos="3475" w:val="left"/>
        </w:tabs>
        <w:numPr>
          <w:ilvl w:val="1"/>
          <w:numId w:val="77"/>
        </w:numPr>
        <w:rPr>
          <w:rFonts w:ascii="Arial" w:cs="Arial" w:eastAsia="Arial" w:hAnsi="Arial"/>
          <w:sz w:val="18"/>
          <w:szCs w:val="18"/>
          <w:color w:val="auto"/>
        </w:rPr>
      </w:pPr>
      <w:r>
        <w:rPr>
          <w:rFonts w:ascii="Arial" w:cs="Arial" w:eastAsia="Arial" w:hAnsi="Arial"/>
          <w:sz w:val="18"/>
          <w:szCs w:val="18"/>
          <w:color w:val="auto"/>
        </w:rPr>
        <w:t xml:space="preserve">by either Acquiror or Seller if a court of competent jurisdiction shall have issued an order, decree or ruling permanently restraining, enjoining or otherwise prohibiting the Transactions, and such order, decree or ruling shall have become final and nonappealable;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xml:space="preserve">, that the right to terminate this Agreement under this </w:t>
      </w:r>
      <w:r>
        <w:rPr>
          <w:rFonts w:ascii="Arial" w:cs="Arial" w:eastAsia="Arial" w:hAnsi="Arial"/>
          <w:sz w:val="18"/>
          <w:szCs w:val="18"/>
          <w:u w:val="single" w:color="auto"/>
          <w:color w:val="auto"/>
        </w:rPr>
        <w:t>Section 3.3(a)(ii)</w:t>
      </w:r>
      <w:r>
        <w:rPr>
          <w:rFonts w:ascii="Arial" w:cs="Arial" w:eastAsia="Arial" w:hAnsi="Arial"/>
          <w:sz w:val="18"/>
          <w:szCs w:val="18"/>
          <w:color w:val="auto"/>
        </w:rPr>
        <w:t xml:space="preserve"> shall not be available to a party if such order, decree or ruling was primarily due to the failure of such party to perform any of its obligations under this Agreement;</w:t>
      </w:r>
    </w:p>
    <w:p>
      <w:pPr>
        <w:spacing w:after="0" w:line="161" w:lineRule="exact"/>
        <w:rPr>
          <w:rFonts w:ascii="Arial" w:cs="Arial" w:eastAsia="Arial" w:hAnsi="Arial"/>
          <w:sz w:val="18"/>
          <w:szCs w:val="18"/>
          <w:color w:val="auto"/>
        </w:rPr>
      </w:pPr>
    </w:p>
    <w:p>
      <w:pPr>
        <w:ind w:firstLine="2544"/>
        <w:spacing w:after="0" w:line="263" w:lineRule="auto"/>
        <w:tabs>
          <w:tab w:leader="none" w:pos="3481" w:val="left"/>
        </w:tabs>
        <w:numPr>
          <w:ilvl w:val="1"/>
          <w:numId w:val="77"/>
        </w:numPr>
        <w:rPr>
          <w:rFonts w:ascii="Arial" w:cs="Arial" w:eastAsia="Arial" w:hAnsi="Arial"/>
          <w:sz w:val="19"/>
          <w:szCs w:val="19"/>
          <w:color w:val="auto"/>
        </w:rPr>
      </w:pPr>
      <w:r>
        <w:rPr>
          <w:rFonts w:ascii="Arial" w:cs="Arial" w:eastAsia="Arial" w:hAnsi="Arial"/>
          <w:sz w:val="19"/>
          <w:szCs w:val="19"/>
          <w:color w:val="auto"/>
        </w:rPr>
        <w:t>by the Seller if Seller is not in material breach of its obligations under this Agreement and there has been a material breach of any representation, warranty, covenant, or agreement of Acquiror contained in this Agreement such that the conditions set forth in Section 8.3 would not be satisfied and such breach has not been cured within [†] ([†]) [†] after written notice thereof to Acquiror; provided that no cure period shall be required for a breach which by its nature cannot be cured; or</w:t>
      </w:r>
    </w:p>
    <w:p>
      <w:pPr>
        <w:spacing w:after="0" w:line="176" w:lineRule="exact"/>
        <w:rPr>
          <w:rFonts w:ascii="Arial" w:cs="Arial" w:eastAsia="Arial" w:hAnsi="Arial"/>
          <w:sz w:val="19"/>
          <w:szCs w:val="19"/>
          <w:color w:val="auto"/>
        </w:rPr>
      </w:pPr>
    </w:p>
    <w:p>
      <w:pPr>
        <w:ind w:right="120" w:firstLine="2544"/>
        <w:spacing w:after="0" w:line="282" w:lineRule="auto"/>
        <w:tabs>
          <w:tab w:leader="none" w:pos="3470" w:val="left"/>
        </w:tabs>
        <w:numPr>
          <w:ilvl w:val="1"/>
          <w:numId w:val="77"/>
        </w:numPr>
        <w:rPr>
          <w:rFonts w:ascii="Arial" w:cs="Arial" w:eastAsia="Arial" w:hAnsi="Arial"/>
          <w:sz w:val="18"/>
          <w:szCs w:val="18"/>
          <w:color w:val="auto"/>
        </w:rPr>
      </w:pPr>
      <w:r>
        <w:rPr>
          <w:rFonts w:ascii="Arial" w:cs="Arial" w:eastAsia="Arial" w:hAnsi="Arial"/>
          <w:sz w:val="18"/>
          <w:szCs w:val="18"/>
          <w:color w:val="auto"/>
        </w:rPr>
        <w:t xml:space="preserve">by Acquiror if Acquiror is not in material breach of its obligations under this Agreement and there has been a material breach of any representation, warranty, covenant, or agreement of the Seller contained in this Agreement such that the conditions set forth in </w:t>
      </w:r>
      <w:r>
        <w:rPr>
          <w:rFonts w:ascii="Arial" w:cs="Arial" w:eastAsia="Arial" w:hAnsi="Arial"/>
          <w:sz w:val="18"/>
          <w:szCs w:val="18"/>
          <w:u w:val="single" w:color="auto"/>
          <w:color w:val="auto"/>
        </w:rPr>
        <w:t>Section 8.2</w:t>
      </w:r>
      <w:r>
        <w:rPr>
          <w:rFonts w:ascii="Arial" w:cs="Arial" w:eastAsia="Arial" w:hAnsi="Arial"/>
          <w:sz w:val="18"/>
          <w:szCs w:val="18"/>
          <w:color w:val="auto"/>
        </w:rPr>
        <w:t xml:space="preserve"> would not be satisfied and such breach has not been cured within [†] ([†]) [†] after written notice thereof to the Seller in accordance with </w:t>
      </w:r>
      <w:r>
        <w:rPr>
          <w:rFonts w:ascii="Arial" w:cs="Arial" w:eastAsia="Arial" w:hAnsi="Arial"/>
          <w:sz w:val="18"/>
          <w:szCs w:val="18"/>
          <w:u w:val="single" w:color="auto"/>
          <w:color w:val="auto"/>
        </w:rPr>
        <w:t>Section 10.1</w:t>
      </w:r>
      <w:r>
        <w:rPr>
          <w:rFonts w:ascii="Arial" w:cs="Arial" w:eastAsia="Arial" w:hAnsi="Arial"/>
          <w:sz w:val="18"/>
          <w:szCs w:val="18"/>
          <w:color w:val="auto"/>
        </w:rPr>
        <w:t>; provided that no cure period shall be required for a breach which by its nature cannot be cured.</w:t>
      </w:r>
    </w:p>
    <w:p>
      <w:pPr>
        <w:spacing w:after="0" w:line="161" w:lineRule="exact"/>
        <w:rPr>
          <w:rFonts w:ascii="Arial" w:cs="Arial" w:eastAsia="Arial" w:hAnsi="Arial"/>
          <w:sz w:val="18"/>
          <w:szCs w:val="18"/>
          <w:color w:val="auto"/>
        </w:rPr>
      </w:pPr>
    </w:p>
    <w:p>
      <w:pPr>
        <w:ind w:firstLine="1698"/>
        <w:spacing w:after="0" w:line="269" w:lineRule="auto"/>
        <w:tabs>
          <w:tab w:leader="none" w:pos="2569" w:val="left"/>
        </w:tabs>
        <w:numPr>
          <w:ilvl w:val="0"/>
          <w:numId w:val="77"/>
        </w:numPr>
        <w:rPr>
          <w:rFonts w:ascii="Arial" w:cs="Arial" w:eastAsia="Arial" w:hAnsi="Arial"/>
          <w:sz w:val="19"/>
          <w:szCs w:val="19"/>
          <w:color w:val="auto"/>
        </w:rPr>
      </w:pPr>
      <w:r>
        <w:rPr>
          <w:rFonts w:ascii="Arial" w:cs="Arial" w:eastAsia="Arial" w:hAnsi="Arial"/>
          <w:sz w:val="19"/>
          <w:szCs w:val="19"/>
          <w:color w:val="auto"/>
        </w:rPr>
        <w:t xml:space="preserve">The termination of this Agreement by Acquiror shall be effectuated by the delivery by Acquiror to the Seller of a written notice of such termination, in accordance with </w:t>
      </w:r>
      <w:r>
        <w:rPr>
          <w:rFonts w:ascii="Arial" w:cs="Arial" w:eastAsia="Arial" w:hAnsi="Arial"/>
          <w:sz w:val="19"/>
          <w:szCs w:val="19"/>
          <w:u w:val="single" w:color="auto"/>
          <w:color w:val="auto"/>
        </w:rPr>
        <w:t>Section 10.1</w:t>
      </w:r>
      <w:r>
        <w:rPr>
          <w:rFonts w:ascii="Arial" w:cs="Arial" w:eastAsia="Arial" w:hAnsi="Arial"/>
          <w:sz w:val="19"/>
          <w:szCs w:val="19"/>
          <w:color w:val="auto"/>
        </w:rPr>
        <w:t xml:space="preserve">. The termination of this Agreement by the Seller shall be effectuated by the delivery by the Seller to Acquiror of a written notice of such termination, in accordance with </w:t>
      </w:r>
      <w:r>
        <w:rPr>
          <w:rFonts w:ascii="Arial" w:cs="Arial" w:eastAsia="Arial" w:hAnsi="Arial"/>
          <w:sz w:val="19"/>
          <w:szCs w:val="19"/>
          <w:u w:val="single" w:color="auto"/>
          <w:color w:val="auto"/>
        </w:rPr>
        <w:t>Section 10.1</w:t>
      </w:r>
      <w:r>
        <w:rPr>
          <w:rFonts w:ascii="Arial" w:cs="Arial" w:eastAsia="Arial" w:hAnsi="Arial"/>
          <w:sz w:val="19"/>
          <w:szCs w:val="19"/>
          <w:color w:val="auto"/>
        </w:rPr>
        <w:t>.</w:t>
      </w:r>
    </w:p>
    <w:p>
      <w:pPr>
        <w:spacing w:after="0" w:line="170" w:lineRule="exact"/>
        <w:rPr>
          <w:rFonts w:ascii="Arial" w:cs="Arial" w:eastAsia="Arial" w:hAnsi="Arial"/>
          <w:sz w:val="19"/>
          <w:szCs w:val="19"/>
          <w:color w:val="auto"/>
        </w:rPr>
      </w:pPr>
    </w:p>
    <w:p>
      <w:pPr>
        <w:ind w:right="200" w:firstLine="1698"/>
        <w:spacing w:after="0" w:line="274" w:lineRule="auto"/>
        <w:tabs>
          <w:tab w:leader="none" w:pos="2558" w:val="left"/>
        </w:tabs>
        <w:numPr>
          <w:ilvl w:val="0"/>
          <w:numId w:val="77"/>
        </w:numPr>
        <w:rPr>
          <w:rFonts w:ascii="Arial" w:cs="Arial" w:eastAsia="Arial" w:hAnsi="Arial"/>
          <w:sz w:val="18"/>
          <w:szCs w:val="18"/>
          <w:color w:val="auto"/>
        </w:rPr>
      </w:pPr>
      <w:r>
        <w:rPr>
          <w:rFonts w:ascii="Arial" w:cs="Arial" w:eastAsia="Arial" w:hAnsi="Arial"/>
          <w:sz w:val="18"/>
          <w:szCs w:val="18"/>
          <w:color w:val="auto"/>
        </w:rPr>
        <w:t xml:space="preserve">In the event of the termination of this Agreement pursuant to this </w:t>
      </w:r>
      <w:r>
        <w:rPr>
          <w:rFonts w:ascii="Arial" w:cs="Arial" w:eastAsia="Arial" w:hAnsi="Arial"/>
          <w:sz w:val="18"/>
          <w:szCs w:val="18"/>
          <w:u w:val="single" w:color="auto"/>
          <w:color w:val="auto"/>
        </w:rPr>
        <w:t>Section 3.3</w:t>
      </w:r>
      <w:r>
        <w:rPr>
          <w:rFonts w:ascii="Arial" w:cs="Arial" w:eastAsia="Arial" w:hAnsi="Arial"/>
          <w:sz w:val="18"/>
          <w:szCs w:val="18"/>
          <w:color w:val="auto"/>
        </w:rPr>
        <w:t xml:space="preserve">, this Agreement shall forthwith become void, and there shall be no liability on the part of any party hereto (except that </w:t>
      </w:r>
      <w:r>
        <w:rPr>
          <w:rFonts w:ascii="Arial" w:cs="Arial" w:eastAsia="Arial" w:hAnsi="Arial"/>
          <w:sz w:val="18"/>
          <w:szCs w:val="18"/>
          <w:u w:val="single" w:color="auto"/>
          <w:color w:val="auto"/>
        </w:rPr>
        <w:t>Section 3.3(c)</w:t>
      </w:r>
      <w:r>
        <w:rPr>
          <w:rFonts w:ascii="Arial" w:cs="Arial" w:eastAsia="Arial" w:hAnsi="Arial"/>
          <w:sz w:val="18"/>
          <w:szCs w:val="18"/>
          <w:color w:val="auto"/>
        </w:rPr>
        <w:t xml:space="preserve">, </w:t>
      </w:r>
      <w:r>
        <w:rPr>
          <w:rFonts w:ascii="Arial" w:cs="Arial" w:eastAsia="Arial" w:hAnsi="Arial"/>
          <w:sz w:val="18"/>
          <w:szCs w:val="18"/>
          <w:u w:val="single" w:color="auto"/>
          <w:color w:val="auto"/>
        </w:rPr>
        <w:t>ARTICLE 10</w:t>
      </w:r>
      <w:r>
        <w:rPr>
          <w:rFonts w:ascii="Arial" w:cs="Arial" w:eastAsia="Arial" w:hAnsi="Arial"/>
          <w:sz w:val="18"/>
          <w:szCs w:val="18"/>
          <w:color w:val="auto"/>
        </w:rPr>
        <w:t xml:space="preserve">, and the Confidentiality Agreement shall survive). Notwithstanding the foregoing, in the event that this Agreement is terminated due to a material breach or material failure to fulfill of any of the representations, warranties, covenants or agreements set forth in this Agreement, nothing in this </w:t>
      </w:r>
      <w:r>
        <w:rPr>
          <w:rFonts w:ascii="Arial" w:cs="Arial" w:eastAsia="Arial" w:hAnsi="Arial"/>
          <w:sz w:val="18"/>
          <w:szCs w:val="18"/>
          <w:u w:val="single" w:color="auto"/>
          <w:color w:val="auto"/>
        </w:rPr>
        <w:t>Section 3.3(c)</w:t>
      </w:r>
      <w:r>
        <w:rPr>
          <w:rFonts w:ascii="Arial" w:cs="Arial" w:eastAsia="Arial" w:hAnsi="Arial"/>
          <w:sz w:val="18"/>
          <w:szCs w:val="18"/>
          <w:color w:val="auto"/>
        </w:rPr>
        <w:t xml:space="preserve"> shall be deemed to release any party from any liability for any willful and intentional breach of any of the representations, warranties, covenants or agreements set forth in this Agreement following such termination. This </w:t>
      </w:r>
      <w:r>
        <w:rPr>
          <w:rFonts w:ascii="Arial" w:cs="Arial" w:eastAsia="Arial" w:hAnsi="Arial"/>
          <w:sz w:val="18"/>
          <w:szCs w:val="18"/>
          <w:u w:val="single" w:color="auto"/>
          <w:color w:val="auto"/>
        </w:rPr>
        <w:t>Section 3.3(c)</w:t>
      </w:r>
      <w:r>
        <w:rPr>
          <w:rFonts w:ascii="Arial" w:cs="Arial" w:eastAsia="Arial" w:hAnsi="Arial"/>
          <w:sz w:val="18"/>
          <w:szCs w:val="18"/>
          <w:color w:val="auto"/>
        </w:rPr>
        <w:t xml:space="preserve"> shall not impair the right of any party to compel specific performance by any other party of its obligations under this Agreement.</w:t>
      </w:r>
    </w:p>
    <w:p>
      <w:pPr>
        <w:spacing w:after="0" w:line="399"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9</w:t>
      </w:r>
    </w:p>
    <w:p>
      <w:pPr>
        <w:spacing w:after="0" w:line="10" w:lineRule="exact"/>
        <w:rPr>
          <w:sz w:val="20"/>
          <w:szCs w:val="20"/>
          <w:color w:val="auto"/>
        </w:rPr>
      </w:pPr>
    </w:p>
    <w:p>
      <w:pPr>
        <w:ind w:firstLine="8"/>
        <w:spacing w:after="0" w:line="237" w:lineRule="auto"/>
        <w:tabs>
          <w:tab w:leader="none" w:pos="204" w:val="left"/>
        </w:tabs>
        <w:numPr>
          <w:ilvl w:val="0"/>
          <w:numId w:val="78"/>
        </w:numPr>
        <w:rPr>
          <w:rFonts w:ascii="Arial" w:cs="Arial" w:eastAsia="Arial" w:hAnsi="Arial"/>
          <w:sz w:val="14"/>
          <w:szCs w:val="14"/>
          <w:color w:val="auto"/>
        </w:rPr>
      </w:pPr>
      <w:r>
        <w:rPr>
          <w:rFonts w:ascii="Arial" w:cs="Arial" w:eastAsia="Arial" w:hAnsi="Arial"/>
          <w:sz w:val="14"/>
          <w:szCs w:val="14"/>
          <w:color w:val="auto"/>
        </w:rPr>
        <w:t>DESIGNATES PORTIONS OF THIS DOCUMENT THAT HAVE BEEN OMITTED PURSUANT TO A REQUEST FOR CONFIDENTIAL TREATMENT FILED SEPARATELY WITH THE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46990</wp:posOffset>
            </wp:positionV>
            <wp:extent cx="7289165"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568" w:right="279" w:bottom="1440" w:gutter="0" w:footer="0" w:header="0"/>
        </w:sectPr>
      </w:pPr>
    </w:p>
    <w:bookmarkStart w:id="73" w:name="page74"/>
    <w:bookmarkEnd w:id="73"/>
    <w:p>
      <w:pPr>
        <w:jc w:val="center"/>
        <w:ind w:right="-39"/>
        <w:spacing w:after="0"/>
        <w:rPr>
          <w:sz w:val="20"/>
          <w:szCs w:val="20"/>
          <w:color w:val="auto"/>
        </w:rPr>
      </w:pPr>
      <w:r>
        <w:rPr>
          <w:rFonts w:ascii="Arial" w:cs="Arial" w:eastAsia="Arial" w:hAnsi="Arial"/>
          <w:sz w:val="20"/>
          <w:szCs w:val="20"/>
          <w:b w:val="1"/>
          <w:bCs w:val="1"/>
          <w:color w:val="auto"/>
        </w:rPr>
        <w:t>ARTICLE 4 REPRESENTATIONS AND WARRANTIES OF THE SELLER</w:t>
      </w:r>
    </w:p>
    <w:p>
      <w:pPr>
        <w:spacing w:after="0" w:line="216" w:lineRule="exact"/>
        <w:rPr>
          <w:sz w:val="20"/>
          <w:szCs w:val="20"/>
          <w:color w:val="auto"/>
        </w:rPr>
      </w:pPr>
    </w:p>
    <w:p>
      <w:pPr>
        <w:ind w:left="860"/>
        <w:spacing w:after="0"/>
        <w:rPr>
          <w:sz w:val="20"/>
          <w:szCs w:val="20"/>
          <w:color w:val="auto"/>
        </w:rPr>
      </w:pPr>
      <w:r>
        <w:rPr>
          <w:rFonts w:ascii="Arial" w:cs="Arial" w:eastAsia="Arial" w:hAnsi="Arial"/>
          <w:sz w:val="16"/>
          <w:szCs w:val="16"/>
          <w:color w:val="auto"/>
        </w:rPr>
        <w:t>Except as set forth on the Seller Disclosure Schedule attached to this Agreement as Schedule 4 (the “</w:t>
      </w:r>
      <w:r>
        <w:rPr>
          <w:rFonts w:ascii="Arial" w:cs="Arial" w:eastAsia="Arial" w:hAnsi="Arial"/>
          <w:sz w:val="16"/>
          <w:szCs w:val="16"/>
          <w:b w:val="1"/>
          <w:bCs w:val="1"/>
          <w:color w:val="auto"/>
        </w:rPr>
        <w:t>Seller Disclosure Schedule</w:t>
      </w:r>
      <w:r>
        <w:rPr>
          <w:rFonts w:ascii="Arial" w:cs="Arial" w:eastAsia="Arial" w:hAnsi="Arial"/>
          <w:sz w:val="16"/>
          <w:szCs w:val="16"/>
          <w:color w:val="auto"/>
        </w:rPr>
        <w:t>”),</w:t>
      </w:r>
    </w:p>
    <w:p>
      <w:pPr>
        <w:spacing w:after="0" w:line="68" w:lineRule="exact"/>
        <w:rPr>
          <w:sz w:val="20"/>
          <w:szCs w:val="20"/>
          <w:color w:val="auto"/>
        </w:rPr>
      </w:pPr>
    </w:p>
    <w:p>
      <w:pPr>
        <w:spacing w:after="0"/>
        <w:rPr>
          <w:sz w:val="20"/>
          <w:szCs w:val="20"/>
          <w:color w:val="auto"/>
        </w:rPr>
      </w:pPr>
      <w:r>
        <w:rPr>
          <w:rFonts w:ascii="Arial" w:cs="Arial" w:eastAsia="Arial" w:hAnsi="Arial"/>
          <w:sz w:val="20"/>
          <w:szCs w:val="20"/>
          <w:color w:val="auto"/>
        </w:rPr>
        <w:t>Seller represents and warrants to Acquiror as of the date hereof and as of the Closing Date as to the following:</w:t>
      </w:r>
    </w:p>
    <w:p>
      <w:pPr>
        <w:spacing w:after="0" w:line="200" w:lineRule="exact"/>
        <w:rPr>
          <w:sz w:val="20"/>
          <w:szCs w:val="20"/>
          <w:color w:val="auto"/>
        </w:rPr>
      </w:pPr>
    </w:p>
    <w:p>
      <w:pPr>
        <w:ind w:right="40" w:firstLine="846"/>
        <w:spacing w:after="0" w:line="269" w:lineRule="auto"/>
        <w:rPr>
          <w:sz w:val="20"/>
          <w:szCs w:val="20"/>
          <w:color w:val="auto"/>
        </w:rPr>
      </w:pPr>
      <w:r>
        <w:rPr>
          <w:rFonts w:ascii="Arial" w:cs="Arial" w:eastAsia="Arial" w:hAnsi="Arial"/>
          <w:sz w:val="19"/>
          <w:szCs w:val="19"/>
          <w:color w:val="auto"/>
        </w:rPr>
        <w:t xml:space="preserve">4.1 </w:t>
      </w:r>
      <w:r>
        <w:rPr>
          <w:rFonts w:ascii="Arial" w:cs="Arial" w:eastAsia="Arial" w:hAnsi="Arial"/>
          <w:sz w:val="19"/>
          <w:szCs w:val="19"/>
          <w:u w:val="single" w:color="auto"/>
          <w:color w:val="auto"/>
        </w:rPr>
        <w:t>Organization and Good Standing</w:t>
      </w:r>
      <w:r>
        <w:rPr>
          <w:rFonts w:ascii="Arial" w:cs="Arial" w:eastAsia="Arial" w:hAnsi="Arial"/>
          <w:sz w:val="19"/>
          <w:szCs w:val="19"/>
          <w:color w:val="auto"/>
        </w:rPr>
        <w:t>. Seller is a corporation duly organized, validly existing and in good standing under the Laws of the jurisdiction of its incorporation, has all requisite power to carry on its business as now being conducted, and is duly qualified or licensed and in good standing to do business in each jurisdiction in which such qualification or licensing is necessary.</w:t>
      </w:r>
    </w:p>
    <w:p>
      <w:pPr>
        <w:spacing w:after="0" w:line="170" w:lineRule="exact"/>
        <w:rPr>
          <w:sz w:val="20"/>
          <w:szCs w:val="20"/>
          <w:color w:val="auto"/>
        </w:rPr>
      </w:pPr>
    </w:p>
    <w:p>
      <w:pPr>
        <w:ind w:right="120" w:firstLine="846"/>
        <w:spacing w:after="0" w:line="242" w:lineRule="auto"/>
        <w:rPr>
          <w:sz w:val="20"/>
          <w:szCs w:val="20"/>
          <w:color w:val="auto"/>
        </w:rPr>
      </w:pPr>
      <w:r>
        <w:rPr>
          <w:rFonts w:ascii="Arial" w:cs="Arial" w:eastAsia="Arial" w:hAnsi="Arial"/>
          <w:sz w:val="20"/>
          <w:szCs w:val="20"/>
          <w:color w:val="auto"/>
        </w:rPr>
        <w:t xml:space="preserve">4.2 </w:t>
      </w:r>
      <w:r>
        <w:rPr>
          <w:rFonts w:ascii="Arial" w:cs="Arial" w:eastAsia="Arial" w:hAnsi="Arial"/>
          <w:sz w:val="20"/>
          <w:szCs w:val="20"/>
          <w:u w:val="single" w:color="auto"/>
          <w:color w:val="auto"/>
        </w:rPr>
        <w:t>Authority and Enforceability</w:t>
      </w:r>
      <w:r>
        <w:rPr>
          <w:rFonts w:ascii="Arial" w:cs="Arial" w:eastAsia="Arial" w:hAnsi="Arial"/>
          <w:sz w:val="20"/>
          <w:szCs w:val="20"/>
          <w:color w:val="auto"/>
        </w:rPr>
        <w:t>. Seller has the requisite power and authority to enter into each of the Transaction Documents, to perform its obligations under each of the Transaction Documents and to consummate the Transactions. The execution and delivery of the Transaction Documents by Seller and the consummation of the Transactions have been duly authorized by all necessary corporate action on the part of Seller. Each of the Transaction Documents has been duly authorized, executed and delivered by Seller and, assuming due authorization, execution and delivery by the Acquiror, constitute the valid and binding obligations of Seller, enforceable against each of them in accordance with its terms, except as such enforceability may be limited by (a) bankruptcy, insolvency, reorganization, moratorium or other similar Laws affecting or relating to creditors’ rights generally, and (b) the availability of injunctive relief and other equitable remedies.</w:t>
      </w:r>
    </w:p>
    <w:p>
      <w:pPr>
        <w:spacing w:after="0" w:line="198" w:lineRule="exact"/>
        <w:rPr>
          <w:sz w:val="20"/>
          <w:szCs w:val="20"/>
          <w:color w:val="auto"/>
        </w:rPr>
      </w:pPr>
    </w:p>
    <w:p>
      <w:pPr>
        <w:ind w:left="860"/>
        <w:spacing w:after="0"/>
        <w:tabs>
          <w:tab w:leader="none" w:pos="1820" w:val="left"/>
        </w:tabs>
        <w:rPr>
          <w:sz w:val="20"/>
          <w:szCs w:val="20"/>
          <w:color w:val="auto"/>
        </w:rPr>
      </w:pPr>
      <w:r>
        <w:rPr>
          <w:rFonts w:ascii="Arial" w:cs="Arial" w:eastAsia="Arial" w:hAnsi="Arial"/>
          <w:sz w:val="20"/>
          <w:szCs w:val="20"/>
          <w:color w:val="auto"/>
        </w:rPr>
        <w:t>4.3</w:t>
      </w:r>
      <w:r>
        <w:rPr>
          <w:sz w:val="20"/>
          <w:szCs w:val="20"/>
          <w:color w:val="auto"/>
        </w:rPr>
        <w:tab/>
      </w:r>
      <w:r>
        <w:rPr>
          <w:rFonts w:ascii="Arial" w:cs="Arial" w:eastAsia="Arial" w:hAnsi="Arial"/>
          <w:sz w:val="18"/>
          <w:szCs w:val="18"/>
          <w:u w:val="single" w:color="auto"/>
          <w:color w:val="auto"/>
        </w:rPr>
        <w:t>No Conflict; Authorizations</w:t>
      </w:r>
      <w:r>
        <w:rPr>
          <w:rFonts w:ascii="Arial" w:cs="Arial" w:eastAsia="Arial" w:hAnsi="Arial"/>
          <w:sz w:val="18"/>
          <w:szCs w:val="18"/>
          <w:color w:val="auto"/>
        </w:rPr>
        <w:t>.</w:t>
      </w:r>
    </w:p>
    <w:p>
      <w:pPr>
        <w:spacing w:after="0" w:line="216" w:lineRule="exact"/>
        <w:rPr>
          <w:sz w:val="20"/>
          <w:szCs w:val="20"/>
          <w:color w:val="auto"/>
        </w:rPr>
      </w:pPr>
    </w:p>
    <w:p>
      <w:pPr>
        <w:ind w:right="120" w:firstLine="1690"/>
        <w:spacing w:after="0" w:line="260" w:lineRule="auto"/>
        <w:rPr>
          <w:sz w:val="20"/>
          <w:szCs w:val="20"/>
          <w:color w:val="auto"/>
        </w:rPr>
      </w:pPr>
      <w:r>
        <w:rPr>
          <w:rFonts w:ascii="Arial" w:cs="Arial" w:eastAsia="Arial" w:hAnsi="Arial"/>
          <w:sz w:val="19"/>
          <w:szCs w:val="19"/>
          <w:color w:val="auto"/>
        </w:rPr>
        <w:t>4.3.1 No Authorization or Order of, or notice to, any domestic or foreign Governmental Entity, is required to be made or obtained by Seller at or prior to the Closing in connection with the execution and delivery of this Agreement or the consummation by the Seller of the Transactions or compliance by the Seller with the provisions hereof and thereof other than such customary filings regarding any change of beneficial ownership or similar filings in foreign jurisdictions that would not reasonably be expected to preclude or impede the Seller’s ability to consummate the transactions contemplated by this Agreement.</w:t>
      </w:r>
    </w:p>
    <w:p>
      <w:pPr>
        <w:spacing w:after="0" w:line="181" w:lineRule="exact"/>
        <w:rPr>
          <w:sz w:val="20"/>
          <w:szCs w:val="20"/>
          <w:color w:val="auto"/>
        </w:rPr>
      </w:pPr>
    </w:p>
    <w:p>
      <w:pPr>
        <w:ind w:right="260" w:firstLine="1690"/>
        <w:spacing w:after="0" w:line="269" w:lineRule="auto"/>
        <w:rPr>
          <w:sz w:val="20"/>
          <w:szCs w:val="20"/>
          <w:color w:val="auto"/>
        </w:rPr>
      </w:pPr>
      <w:r>
        <w:rPr>
          <w:rFonts w:ascii="Arial" w:cs="Arial" w:eastAsia="Arial" w:hAnsi="Arial"/>
          <w:sz w:val="19"/>
          <w:szCs w:val="19"/>
          <w:color w:val="auto"/>
        </w:rPr>
        <w:t>4.3.2 Neither the execution and delivery of this Agreement nor the performance hereof by Seller will result in the breach of or give rise to any right of termination, rescission, renegotiation or acceleration under, or trigger any other rights under, any agreement or contract to which Seller is a party or to which it may be subject that relates to any of the Purchased Assets.</w:t>
      </w:r>
    </w:p>
    <w:p>
      <w:pPr>
        <w:spacing w:after="0" w:line="170" w:lineRule="exact"/>
        <w:rPr>
          <w:sz w:val="20"/>
          <w:szCs w:val="20"/>
          <w:color w:val="auto"/>
        </w:rPr>
      </w:pPr>
    </w:p>
    <w:p>
      <w:pPr>
        <w:ind w:right="100" w:firstLine="1690"/>
        <w:spacing w:after="0" w:line="260" w:lineRule="auto"/>
        <w:rPr>
          <w:sz w:val="20"/>
          <w:szCs w:val="20"/>
          <w:color w:val="auto"/>
        </w:rPr>
      </w:pPr>
      <w:r>
        <w:rPr>
          <w:rFonts w:ascii="Arial" w:cs="Arial" w:eastAsia="Arial" w:hAnsi="Arial"/>
          <w:sz w:val="20"/>
          <w:szCs w:val="20"/>
          <w:color w:val="auto"/>
        </w:rPr>
        <w:t>4.3.3 Neither the execution and delivery of this Agreement nor the performance hereof by Seller will conflict with or violate any provision of the certificate of incorporation or bylaws of Seller.</w:t>
      </w:r>
    </w:p>
    <w:p>
      <w:pPr>
        <w:spacing w:after="0" w:line="177" w:lineRule="exact"/>
        <w:rPr>
          <w:sz w:val="20"/>
          <w:szCs w:val="20"/>
          <w:color w:val="auto"/>
        </w:rPr>
      </w:pPr>
    </w:p>
    <w:p>
      <w:pPr>
        <w:ind w:left="860"/>
        <w:spacing w:after="0"/>
        <w:tabs>
          <w:tab w:leader="none" w:pos="1820" w:val="left"/>
        </w:tabs>
        <w:rPr>
          <w:sz w:val="20"/>
          <w:szCs w:val="20"/>
          <w:color w:val="auto"/>
        </w:rPr>
      </w:pPr>
      <w:r>
        <w:rPr>
          <w:rFonts w:ascii="Arial" w:cs="Arial" w:eastAsia="Arial" w:hAnsi="Arial"/>
          <w:sz w:val="20"/>
          <w:szCs w:val="20"/>
          <w:color w:val="auto"/>
        </w:rPr>
        <w:t>4.4</w:t>
      </w:r>
      <w:r>
        <w:rPr>
          <w:sz w:val="20"/>
          <w:szCs w:val="20"/>
          <w:color w:val="auto"/>
        </w:rPr>
        <w:tab/>
      </w:r>
      <w:r>
        <w:rPr>
          <w:rFonts w:ascii="Arial" w:cs="Arial" w:eastAsia="Arial" w:hAnsi="Arial"/>
          <w:sz w:val="18"/>
          <w:szCs w:val="18"/>
          <w:u w:val="single" w:color="auto"/>
          <w:color w:val="auto"/>
        </w:rPr>
        <w:t>Notice to Valeant</w:t>
      </w:r>
      <w:r>
        <w:rPr>
          <w:rFonts w:ascii="Arial" w:cs="Arial" w:eastAsia="Arial" w:hAnsi="Arial"/>
          <w:sz w:val="18"/>
          <w:szCs w:val="18"/>
          <w:color w:val="auto"/>
        </w:rPr>
        <w:t>.</w:t>
      </w:r>
    </w:p>
    <w:p>
      <w:pPr>
        <w:spacing w:after="0" w:line="216" w:lineRule="exact"/>
        <w:rPr>
          <w:sz w:val="20"/>
          <w:szCs w:val="20"/>
          <w:color w:val="auto"/>
        </w:rPr>
      </w:pPr>
    </w:p>
    <w:p>
      <w:pPr>
        <w:ind w:right="40" w:firstLine="1690"/>
        <w:spacing w:after="0" w:line="244" w:lineRule="auto"/>
        <w:rPr>
          <w:sz w:val="20"/>
          <w:szCs w:val="20"/>
          <w:color w:val="auto"/>
        </w:rPr>
      </w:pPr>
      <w:r>
        <w:rPr>
          <w:rFonts w:ascii="Arial" w:cs="Arial" w:eastAsia="Arial" w:hAnsi="Arial"/>
          <w:sz w:val="20"/>
          <w:szCs w:val="20"/>
          <w:color w:val="auto"/>
        </w:rPr>
        <w:t xml:space="preserve">4.4.1 Pursuant to </w:t>
      </w:r>
      <w:r>
        <w:rPr>
          <w:rFonts w:ascii="Arial" w:cs="Arial" w:eastAsia="Arial" w:hAnsi="Arial"/>
          <w:sz w:val="20"/>
          <w:szCs w:val="20"/>
          <w:u w:val="single" w:color="auto"/>
          <w:color w:val="auto"/>
        </w:rPr>
        <w:t>Section 5.1</w:t>
      </w:r>
      <w:r>
        <w:rPr>
          <w:rFonts w:ascii="Arial" w:cs="Arial" w:eastAsia="Arial" w:hAnsi="Arial"/>
          <w:sz w:val="20"/>
          <w:szCs w:val="20"/>
          <w:color w:val="auto"/>
        </w:rPr>
        <w:t xml:space="preserve"> of the Valeant APA, Seller has notified Valeant that Acquiror has made an offer to Seller to purchase the Purchased Assets and, prior to the Closing Date, Seller has fulfilled its notice and designation obligations to Valeant, and Valeant has expressly waived or failed to timely exercise its rights under </w:t>
      </w:r>
      <w:r>
        <w:rPr>
          <w:rFonts w:ascii="Arial" w:cs="Arial" w:eastAsia="Arial" w:hAnsi="Arial"/>
          <w:sz w:val="20"/>
          <w:szCs w:val="20"/>
          <w:u w:val="single" w:color="auto"/>
          <w:color w:val="auto"/>
        </w:rPr>
        <w:t>Section 5.1</w:t>
      </w:r>
      <w:r>
        <w:rPr>
          <w:rFonts w:ascii="Arial" w:cs="Arial" w:eastAsia="Arial" w:hAnsi="Arial"/>
          <w:sz w:val="20"/>
          <w:szCs w:val="20"/>
          <w:color w:val="auto"/>
        </w:rPr>
        <w:t xml:space="preserve"> of the Valeant APA such that Seller may enter into this Agreement on the Closing Date with Acquiror without further discussions with, or obligations (in respect of entering into this Agreement) to, Valeant.</w:t>
      </w:r>
    </w:p>
    <w:p>
      <w:pPr>
        <w:spacing w:after="0" w:line="195" w:lineRule="exact"/>
        <w:rPr>
          <w:sz w:val="20"/>
          <w:szCs w:val="20"/>
          <w:color w:val="auto"/>
        </w:rPr>
      </w:pPr>
    </w:p>
    <w:p>
      <w:pPr>
        <w:ind w:left="1700"/>
        <w:spacing w:after="0"/>
        <w:tabs>
          <w:tab w:leader="none" w:pos="2560" w:val="left"/>
        </w:tabs>
        <w:rPr>
          <w:sz w:val="20"/>
          <w:szCs w:val="20"/>
          <w:color w:val="auto"/>
        </w:rPr>
      </w:pPr>
      <w:r>
        <w:rPr>
          <w:rFonts w:ascii="Arial" w:cs="Arial" w:eastAsia="Arial" w:hAnsi="Arial"/>
          <w:sz w:val="20"/>
          <w:szCs w:val="20"/>
          <w:color w:val="auto"/>
        </w:rPr>
        <w:t>4.4.2</w:t>
      </w:r>
      <w:r>
        <w:rPr>
          <w:sz w:val="20"/>
          <w:szCs w:val="20"/>
          <w:color w:val="auto"/>
        </w:rPr>
        <w:tab/>
      </w:r>
      <w:r>
        <w:rPr>
          <w:rFonts w:ascii="Arial" w:cs="Arial" w:eastAsia="Arial" w:hAnsi="Arial"/>
          <w:sz w:val="18"/>
          <w:szCs w:val="18"/>
          <w:color w:val="auto"/>
        </w:rPr>
        <w:t>The sale contemplated by this Agreement qualifies as [†].</w:t>
      </w:r>
    </w:p>
    <w:p>
      <w:pPr>
        <w:spacing w:after="0" w:line="200" w:lineRule="exact"/>
        <w:rPr>
          <w:sz w:val="20"/>
          <w:szCs w:val="20"/>
          <w:color w:val="auto"/>
        </w:rPr>
      </w:pPr>
    </w:p>
    <w:p>
      <w:pPr>
        <w:spacing w:after="0" w:line="245"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10</w:t>
      </w:r>
    </w:p>
    <w:p>
      <w:pPr>
        <w:spacing w:after="0" w:line="10" w:lineRule="exact"/>
        <w:rPr>
          <w:sz w:val="20"/>
          <w:szCs w:val="20"/>
          <w:color w:val="auto"/>
        </w:rPr>
      </w:pPr>
    </w:p>
    <w:p>
      <w:pPr>
        <w:ind w:firstLine="8"/>
        <w:spacing w:after="0" w:line="237" w:lineRule="auto"/>
        <w:tabs>
          <w:tab w:leader="none" w:pos="204" w:val="left"/>
        </w:tabs>
        <w:numPr>
          <w:ilvl w:val="0"/>
          <w:numId w:val="79"/>
        </w:numPr>
        <w:rPr>
          <w:rFonts w:ascii="Arial" w:cs="Arial" w:eastAsia="Arial" w:hAnsi="Arial"/>
          <w:sz w:val="14"/>
          <w:szCs w:val="14"/>
          <w:color w:val="auto"/>
        </w:rPr>
      </w:pPr>
      <w:r>
        <w:rPr>
          <w:rFonts w:ascii="Arial" w:cs="Arial" w:eastAsia="Arial" w:hAnsi="Arial"/>
          <w:sz w:val="14"/>
          <w:szCs w:val="14"/>
          <w:color w:val="auto"/>
        </w:rPr>
        <w:t>DESIGNATES PORTIONS OF THIS DOCUMENT THAT HAVE BEEN OMITTED PURSUANT TO A REQUEST FOR CONFIDENTIAL TREATMENT FILED SEPARATELY WITH THE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46990</wp:posOffset>
            </wp:positionV>
            <wp:extent cx="7289165"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562" w:right="279" w:bottom="1440" w:gutter="0" w:footer="0" w:header="0"/>
        </w:sectPr>
      </w:pPr>
    </w:p>
    <w:bookmarkStart w:id="74" w:name="page75"/>
    <w:bookmarkEnd w:id="74"/>
    <w:p>
      <w:pPr>
        <w:ind w:left="860"/>
        <w:spacing w:after="0"/>
        <w:tabs>
          <w:tab w:leader="none" w:pos="1820" w:val="left"/>
        </w:tabs>
        <w:rPr>
          <w:sz w:val="20"/>
          <w:szCs w:val="20"/>
          <w:color w:val="auto"/>
        </w:rPr>
      </w:pPr>
      <w:r>
        <w:rPr>
          <w:rFonts w:ascii="Arial" w:cs="Arial" w:eastAsia="Arial" w:hAnsi="Arial"/>
          <w:sz w:val="20"/>
          <w:szCs w:val="20"/>
          <w:color w:val="auto"/>
        </w:rPr>
        <w:t>4.5</w:t>
      </w:r>
      <w:r>
        <w:rPr>
          <w:sz w:val="20"/>
          <w:szCs w:val="20"/>
          <w:color w:val="auto"/>
        </w:rPr>
        <w:tab/>
      </w:r>
      <w:r>
        <w:rPr>
          <w:rFonts w:ascii="Arial" w:cs="Arial" w:eastAsia="Arial" w:hAnsi="Arial"/>
          <w:sz w:val="18"/>
          <w:szCs w:val="18"/>
          <w:u w:val="single" w:color="auto"/>
          <w:color w:val="auto"/>
        </w:rPr>
        <w:t>Compliance with Laws</w:t>
      </w:r>
      <w:r>
        <w:rPr>
          <w:rFonts w:ascii="Arial" w:cs="Arial" w:eastAsia="Arial" w:hAnsi="Arial"/>
          <w:sz w:val="18"/>
          <w:szCs w:val="18"/>
          <w:color w:val="auto"/>
        </w:rPr>
        <w:t>.</w:t>
      </w:r>
    </w:p>
    <w:p>
      <w:pPr>
        <w:spacing w:after="0" w:line="216" w:lineRule="exact"/>
        <w:rPr>
          <w:sz w:val="20"/>
          <w:szCs w:val="20"/>
          <w:color w:val="auto"/>
        </w:rPr>
      </w:pPr>
    </w:p>
    <w:p>
      <w:pPr>
        <w:ind w:firstLine="1690"/>
        <w:spacing w:after="0" w:line="258" w:lineRule="auto"/>
        <w:rPr>
          <w:sz w:val="20"/>
          <w:szCs w:val="20"/>
          <w:color w:val="auto"/>
        </w:rPr>
      </w:pPr>
      <w:r>
        <w:rPr>
          <w:rFonts w:ascii="Arial" w:cs="Arial" w:eastAsia="Arial" w:hAnsi="Arial"/>
          <w:sz w:val="19"/>
          <w:szCs w:val="19"/>
          <w:color w:val="auto"/>
        </w:rPr>
        <w:t>4.5.1 Seller is, and since [†] has been, in compliance in all material respects with each Law that is applicable to its business, any of the Purchased Assets or the Assumed Liabilities. No event has occurred, and no condition or circumstance exists, that will (with or without notice or lapse of time) constitute or result in a violation by Seller of, or a failure on the part of Seller to comply with, any Law that is applicable to its business, any of the Purchased Assets or the Assumed Liabilities, except where the failure to so comply does not have a Compound Material Adverse Effect. Seller has not received any written notice (or, to the [†] Knowledge of Seller, other communication) from any Person regarding any actual or possible violation of, or failure to comply with, any Law that is applicable to its business, any of the Purchased Assets or the Assumed Liabilities.</w:t>
      </w:r>
    </w:p>
    <w:p>
      <w:pPr>
        <w:spacing w:after="0" w:line="179" w:lineRule="exact"/>
        <w:rPr>
          <w:sz w:val="20"/>
          <w:szCs w:val="20"/>
          <w:color w:val="auto"/>
        </w:rPr>
      </w:pPr>
    </w:p>
    <w:p>
      <w:pPr>
        <w:ind w:right="260" w:firstLine="1690"/>
        <w:spacing w:after="0" w:line="246" w:lineRule="auto"/>
        <w:rPr>
          <w:sz w:val="20"/>
          <w:szCs w:val="20"/>
          <w:color w:val="auto"/>
        </w:rPr>
      </w:pPr>
      <w:r>
        <w:rPr>
          <w:rFonts w:ascii="Arial" w:cs="Arial" w:eastAsia="Arial" w:hAnsi="Arial"/>
          <w:sz w:val="20"/>
          <w:szCs w:val="20"/>
          <w:color w:val="auto"/>
        </w:rPr>
        <w:t>4.5.2 To the [†] Knowledge of the Seller, there is no Action, demand, grievance, citation, summons, subpoena, or inquiry of any nature, civil, criminal, regulatory or otherwise, in law or in equity, pending or threatened against Seller, any of its Affiliates or any Third Party, in each case in connection with the Purchased Assets, the Compound or relating to the transactions contemplated by this Agreement.</w:t>
      </w:r>
    </w:p>
    <w:p>
      <w:pPr>
        <w:spacing w:after="0" w:line="192" w:lineRule="exact"/>
        <w:rPr>
          <w:sz w:val="20"/>
          <w:szCs w:val="20"/>
          <w:color w:val="auto"/>
        </w:rPr>
      </w:pPr>
    </w:p>
    <w:p>
      <w:pPr>
        <w:ind w:right="20" w:firstLine="846"/>
        <w:spacing w:after="0" w:line="246" w:lineRule="auto"/>
        <w:rPr>
          <w:sz w:val="20"/>
          <w:szCs w:val="20"/>
          <w:color w:val="auto"/>
        </w:rPr>
      </w:pPr>
      <w:r>
        <w:rPr>
          <w:rFonts w:ascii="Arial" w:cs="Arial" w:eastAsia="Arial" w:hAnsi="Arial"/>
          <w:sz w:val="20"/>
          <w:szCs w:val="20"/>
          <w:color w:val="auto"/>
        </w:rPr>
        <w:t xml:space="preserve">4.6 </w:t>
      </w:r>
      <w:r>
        <w:rPr>
          <w:rFonts w:ascii="Arial" w:cs="Arial" w:eastAsia="Arial" w:hAnsi="Arial"/>
          <w:sz w:val="20"/>
          <w:szCs w:val="20"/>
          <w:u w:val="single" w:color="auto"/>
          <w:color w:val="auto"/>
        </w:rPr>
        <w:t>Regulatory</w:t>
      </w:r>
      <w:r>
        <w:rPr>
          <w:rFonts w:ascii="Arial" w:cs="Arial" w:eastAsia="Arial" w:hAnsi="Arial"/>
          <w:sz w:val="20"/>
          <w:szCs w:val="20"/>
          <w:color w:val="auto"/>
        </w:rPr>
        <w:t>. Seller has made available, or has caused to be made available, to Acquiror all [†]. To Seller’s [†] Knowledge, there is not any Compound Regulatory Documentation other than the Compound Regulatory Documentation in Seller’s possession or control. Except as set forth in Schedule 4.6, all API was manufactured in compliance with Good Manufacturing Practices (“</w:t>
      </w:r>
      <w:r>
        <w:rPr>
          <w:rFonts w:ascii="Arial" w:cs="Arial" w:eastAsia="Arial" w:hAnsi="Arial"/>
          <w:sz w:val="20"/>
          <w:szCs w:val="20"/>
          <w:b w:val="1"/>
          <w:bCs w:val="1"/>
          <w:color w:val="auto"/>
        </w:rPr>
        <w:t>GMPs</w:t>
      </w:r>
      <w:r>
        <w:rPr>
          <w:rFonts w:ascii="Arial" w:cs="Arial" w:eastAsia="Arial" w:hAnsi="Arial"/>
          <w:sz w:val="20"/>
          <w:szCs w:val="20"/>
          <w:color w:val="auto"/>
        </w:rPr>
        <w:t>”) as in effect at the applicable time.</w:t>
      </w:r>
    </w:p>
    <w:p>
      <w:pPr>
        <w:spacing w:after="0" w:line="192" w:lineRule="exact"/>
        <w:rPr>
          <w:sz w:val="20"/>
          <w:szCs w:val="20"/>
          <w:color w:val="auto"/>
        </w:rPr>
      </w:pPr>
    </w:p>
    <w:p>
      <w:pPr>
        <w:ind w:left="860"/>
        <w:spacing w:after="0"/>
        <w:tabs>
          <w:tab w:leader="none" w:pos="1820" w:val="left"/>
        </w:tabs>
        <w:rPr>
          <w:sz w:val="20"/>
          <w:szCs w:val="20"/>
          <w:color w:val="auto"/>
        </w:rPr>
      </w:pPr>
      <w:r>
        <w:rPr>
          <w:rFonts w:ascii="Arial" w:cs="Arial" w:eastAsia="Arial" w:hAnsi="Arial"/>
          <w:sz w:val="20"/>
          <w:szCs w:val="20"/>
          <w:color w:val="auto"/>
        </w:rPr>
        <w:t>4.7</w:t>
      </w:r>
      <w:r>
        <w:rPr>
          <w:sz w:val="20"/>
          <w:szCs w:val="20"/>
          <w:color w:val="auto"/>
        </w:rPr>
        <w:tab/>
      </w:r>
      <w:r>
        <w:rPr>
          <w:rFonts w:ascii="Arial" w:cs="Arial" w:eastAsia="Arial" w:hAnsi="Arial"/>
          <w:sz w:val="18"/>
          <w:szCs w:val="18"/>
          <w:u w:val="single" w:color="auto"/>
          <w:color w:val="auto"/>
        </w:rPr>
        <w:t>Intellectual Property</w:t>
      </w:r>
      <w:r>
        <w:rPr>
          <w:rFonts w:ascii="Arial" w:cs="Arial" w:eastAsia="Arial" w:hAnsi="Arial"/>
          <w:sz w:val="18"/>
          <w:szCs w:val="18"/>
          <w:color w:val="auto"/>
        </w:rPr>
        <w:t>.</w:t>
      </w:r>
    </w:p>
    <w:p>
      <w:pPr>
        <w:spacing w:after="0" w:line="216" w:lineRule="exact"/>
        <w:rPr>
          <w:sz w:val="20"/>
          <w:szCs w:val="20"/>
          <w:color w:val="auto"/>
        </w:rPr>
      </w:pPr>
    </w:p>
    <w:p>
      <w:pPr>
        <w:ind w:right="180" w:firstLine="1698"/>
        <w:spacing w:after="0" w:line="276" w:lineRule="auto"/>
        <w:tabs>
          <w:tab w:leader="none" w:pos="2558" w:val="left"/>
        </w:tabs>
        <w:numPr>
          <w:ilvl w:val="0"/>
          <w:numId w:val="80"/>
        </w:numPr>
        <w:rPr>
          <w:rFonts w:ascii="Arial" w:cs="Arial" w:eastAsia="Arial" w:hAnsi="Arial"/>
          <w:sz w:val="18"/>
          <w:szCs w:val="18"/>
          <w:color w:val="auto"/>
        </w:rPr>
      </w:pPr>
      <w:r>
        <w:rPr>
          <w:rFonts w:ascii="Arial" w:cs="Arial" w:eastAsia="Arial" w:hAnsi="Arial"/>
          <w:sz w:val="18"/>
          <w:szCs w:val="18"/>
          <w:color w:val="auto"/>
        </w:rPr>
        <w:t>Schedule 4.7(a) contains a complete and accurate list (by title, registrant, application or registration number, application or registration date, and jurisdiction) of all Intellectual Property Rights that are owned by, exclusively licensed to, or filed in the name of Seller and registered with any Governmental Entity (“Seller Registered IPR”). All registration, maintenance and renewal fees related to the Seller Registered IPR that are due as of the Closing Date have been paid and all documents and certificates related to such Seller Registered IPR have been filed with the relevant Governmental Entity or other authorities in the United States or foreign jurisdictions, as the case may be, for the purposes of maintaining such Seller Registered IPR and perfecting Seller’s ownership interests therein. [†].</w:t>
      </w:r>
    </w:p>
    <w:p>
      <w:pPr>
        <w:spacing w:after="0" w:line="165" w:lineRule="exact"/>
        <w:rPr>
          <w:rFonts w:ascii="Arial" w:cs="Arial" w:eastAsia="Arial" w:hAnsi="Arial"/>
          <w:sz w:val="18"/>
          <w:szCs w:val="18"/>
          <w:color w:val="auto"/>
        </w:rPr>
      </w:pPr>
    </w:p>
    <w:p>
      <w:pPr>
        <w:ind w:right="60" w:firstLine="1698"/>
        <w:spacing w:after="0" w:line="246" w:lineRule="auto"/>
        <w:tabs>
          <w:tab w:leader="none" w:pos="2569" w:val="left"/>
        </w:tabs>
        <w:numPr>
          <w:ilvl w:val="0"/>
          <w:numId w:val="80"/>
        </w:numPr>
        <w:rPr>
          <w:rFonts w:ascii="Arial" w:cs="Arial" w:eastAsia="Arial" w:hAnsi="Arial"/>
          <w:sz w:val="20"/>
          <w:szCs w:val="20"/>
          <w:color w:val="auto"/>
        </w:rPr>
      </w:pPr>
      <w:r>
        <w:rPr>
          <w:rFonts w:ascii="Arial" w:cs="Arial" w:eastAsia="Arial" w:hAnsi="Arial"/>
          <w:sz w:val="20"/>
          <w:szCs w:val="20"/>
          <w:color w:val="auto"/>
        </w:rPr>
        <w:t>Schedule 4.7(b) lists the status of any Actions (other than ordinary course office actions in connection with the prosecution of applications relating to the Seller Registered IPR) currently pending before the United States Patent and Trademark Office or any other Governmental Entity anywhere in the world related to any of the Seller Registered IPR, and identifies the due date for any outstanding response by Seller in such Actions. [†].</w:t>
      </w:r>
    </w:p>
    <w:p>
      <w:pPr>
        <w:spacing w:after="0" w:line="191" w:lineRule="exact"/>
        <w:rPr>
          <w:rFonts w:ascii="Arial" w:cs="Arial" w:eastAsia="Arial" w:hAnsi="Arial"/>
          <w:sz w:val="20"/>
          <w:szCs w:val="20"/>
          <w:color w:val="auto"/>
        </w:rPr>
      </w:pPr>
    </w:p>
    <w:p>
      <w:pPr>
        <w:ind w:right="80" w:firstLine="1698"/>
        <w:spacing w:after="0" w:line="260" w:lineRule="auto"/>
        <w:tabs>
          <w:tab w:leader="none" w:pos="2558" w:val="left"/>
        </w:tabs>
        <w:numPr>
          <w:ilvl w:val="0"/>
          <w:numId w:val="80"/>
        </w:numPr>
        <w:rPr>
          <w:rFonts w:ascii="Arial" w:cs="Arial" w:eastAsia="Arial" w:hAnsi="Arial"/>
          <w:sz w:val="20"/>
          <w:szCs w:val="20"/>
          <w:color w:val="auto"/>
        </w:rPr>
      </w:pPr>
      <w:r>
        <w:rPr>
          <w:rFonts w:ascii="Arial" w:cs="Arial" w:eastAsia="Arial" w:hAnsi="Arial"/>
          <w:sz w:val="20"/>
          <w:szCs w:val="20"/>
          <w:color w:val="auto"/>
        </w:rPr>
        <w:t>To its [†] Knowledge, Seller has complied with all Applicable Laws, including any disclosure requirements, in connection with the filing, prosecution and maintenance of Seller Registered IPR.</w:t>
      </w:r>
    </w:p>
    <w:p>
      <w:pPr>
        <w:spacing w:after="0" w:line="176" w:lineRule="exact"/>
        <w:rPr>
          <w:rFonts w:ascii="Arial" w:cs="Arial" w:eastAsia="Arial" w:hAnsi="Arial"/>
          <w:sz w:val="20"/>
          <w:szCs w:val="20"/>
          <w:color w:val="auto"/>
        </w:rPr>
      </w:pPr>
    </w:p>
    <w:p>
      <w:pPr>
        <w:ind w:right="220" w:firstLine="1698"/>
        <w:spacing w:after="0" w:line="250" w:lineRule="auto"/>
        <w:tabs>
          <w:tab w:leader="none" w:pos="2569" w:val="left"/>
        </w:tabs>
        <w:numPr>
          <w:ilvl w:val="0"/>
          <w:numId w:val="80"/>
        </w:numPr>
        <w:rPr>
          <w:rFonts w:ascii="Arial" w:cs="Arial" w:eastAsia="Arial" w:hAnsi="Arial"/>
          <w:sz w:val="20"/>
          <w:szCs w:val="20"/>
          <w:color w:val="auto"/>
        </w:rPr>
      </w:pPr>
      <w:r>
        <w:rPr>
          <w:rFonts w:ascii="Arial" w:cs="Arial" w:eastAsia="Arial" w:hAnsi="Arial"/>
          <w:sz w:val="20"/>
          <w:szCs w:val="20"/>
          <w:color w:val="auto"/>
        </w:rPr>
        <w:t>The conception, development and reduction to practice of the Transferred Intellectual Property have not constituted or involved the misappropriation of trade secrets, Patents or other intellectual property rights of any Third Party, since [†], and, to the [†] Knowledge of Seller, prior to [†].</w:t>
      </w:r>
    </w:p>
    <w:p>
      <w:pPr>
        <w:spacing w:after="0" w:line="200" w:lineRule="exact"/>
        <w:rPr>
          <w:sz w:val="20"/>
          <w:szCs w:val="20"/>
          <w:color w:val="auto"/>
        </w:rPr>
      </w:pPr>
    </w:p>
    <w:p>
      <w:pPr>
        <w:spacing w:after="0" w:line="216"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11</w:t>
      </w:r>
    </w:p>
    <w:p>
      <w:pPr>
        <w:spacing w:after="0" w:line="10" w:lineRule="exact"/>
        <w:rPr>
          <w:sz w:val="20"/>
          <w:szCs w:val="20"/>
          <w:color w:val="auto"/>
        </w:rPr>
      </w:pPr>
    </w:p>
    <w:p>
      <w:pPr>
        <w:ind w:right="20" w:firstLine="8"/>
        <w:spacing w:after="0" w:line="237" w:lineRule="auto"/>
        <w:tabs>
          <w:tab w:leader="none" w:pos="204" w:val="left"/>
        </w:tabs>
        <w:numPr>
          <w:ilvl w:val="0"/>
          <w:numId w:val="81"/>
        </w:numPr>
        <w:rPr>
          <w:rFonts w:ascii="Arial" w:cs="Arial" w:eastAsia="Arial" w:hAnsi="Arial"/>
          <w:sz w:val="14"/>
          <w:szCs w:val="14"/>
          <w:color w:val="auto"/>
        </w:rPr>
      </w:pPr>
      <w:r>
        <w:rPr>
          <w:rFonts w:ascii="Arial" w:cs="Arial" w:eastAsia="Arial" w:hAnsi="Arial"/>
          <w:sz w:val="14"/>
          <w:szCs w:val="14"/>
          <w:color w:val="auto"/>
        </w:rPr>
        <w:t>DESIGNATES PORTIONS OF THIS DOCUMENT THAT HAVE BEEN OMITTED PURSUANT TO A REQUEST FOR CONFIDENTIAL TREATMENT FILED SEPARATELY WITH THE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46990</wp:posOffset>
            </wp:positionV>
            <wp:extent cx="7289165"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68" w:right="259" w:bottom="1440" w:gutter="0" w:footer="0" w:header="0"/>
        </w:sectPr>
      </w:pPr>
    </w:p>
    <w:bookmarkStart w:id="75" w:name="page76"/>
    <w:bookmarkEnd w:id="75"/>
    <w:p>
      <w:pPr>
        <w:ind w:left="-8" w:right="200" w:firstLine="1698"/>
        <w:spacing w:after="0" w:line="282" w:lineRule="auto"/>
        <w:tabs>
          <w:tab w:leader="none" w:pos="2550" w:val="left"/>
        </w:tabs>
        <w:numPr>
          <w:ilvl w:val="0"/>
          <w:numId w:val="82"/>
        </w:numPr>
        <w:rPr>
          <w:rFonts w:ascii="Arial" w:cs="Arial" w:eastAsia="Arial" w:hAnsi="Arial"/>
          <w:sz w:val="18"/>
          <w:szCs w:val="18"/>
          <w:color w:val="auto"/>
        </w:rPr>
      </w:pPr>
      <w:r>
        <w:rPr>
          <w:rFonts w:ascii="Arial" w:cs="Arial" w:eastAsia="Arial" w:hAnsi="Arial"/>
          <w:sz w:val="18"/>
          <w:szCs w:val="18"/>
          <w:color w:val="auto"/>
        </w:rPr>
        <w:t>(i) Seller is the sole legal and beneficial owner of all the Transferred Intellectual Property, free of all Encumbrances other than Permitted Encumbrances, and (ii) no person, firm, corporation or other entity (including any Affiliate of Seller) has any right, interest or claim in or to any Purchased Assets, and (iii) neither Seller nor any of its Affiliates has entered into any agreement granting any right, interest or claim in or to, any Purchased Assets to any Third Party (including any academic organization or agency).</w:t>
      </w:r>
    </w:p>
    <w:p>
      <w:pPr>
        <w:spacing w:after="0" w:line="161" w:lineRule="exact"/>
        <w:rPr>
          <w:rFonts w:ascii="Arial" w:cs="Arial" w:eastAsia="Arial" w:hAnsi="Arial"/>
          <w:sz w:val="18"/>
          <w:szCs w:val="18"/>
          <w:color w:val="auto"/>
        </w:rPr>
      </w:pPr>
    </w:p>
    <w:p>
      <w:pPr>
        <w:ind w:left="-8" w:right="260" w:firstLine="1698"/>
        <w:spacing w:after="0" w:line="250" w:lineRule="auto"/>
        <w:tabs>
          <w:tab w:leader="none" w:pos="2528" w:val="left"/>
        </w:tabs>
        <w:numPr>
          <w:ilvl w:val="0"/>
          <w:numId w:val="82"/>
        </w:numPr>
        <w:rPr>
          <w:rFonts w:ascii="Arial" w:cs="Arial" w:eastAsia="Arial" w:hAnsi="Arial"/>
          <w:sz w:val="20"/>
          <w:szCs w:val="20"/>
          <w:color w:val="auto"/>
        </w:rPr>
      </w:pPr>
      <w:r>
        <w:rPr>
          <w:rFonts w:ascii="Arial" w:cs="Arial" w:eastAsia="Arial" w:hAnsi="Arial"/>
          <w:sz w:val="20"/>
          <w:szCs w:val="20"/>
          <w:color w:val="auto"/>
        </w:rPr>
        <w:t>Seller has not received any written or oral claim of ownership or inventorship of any Transferred Intellectual Property from any Third Party (including without limitation by current or former officers, directors, employees, consultants or personnel of Seller or Valeant Pharmaceuticals Luxembourg).</w:t>
      </w:r>
    </w:p>
    <w:p>
      <w:pPr>
        <w:spacing w:after="0" w:line="186" w:lineRule="exact"/>
        <w:rPr>
          <w:rFonts w:ascii="Arial" w:cs="Arial" w:eastAsia="Arial" w:hAnsi="Arial"/>
          <w:sz w:val="20"/>
          <w:szCs w:val="20"/>
          <w:color w:val="auto"/>
        </w:rPr>
      </w:pPr>
    </w:p>
    <w:p>
      <w:pPr>
        <w:jc w:val="both"/>
        <w:ind w:left="-8" w:right="240" w:firstLine="1698"/>
        <w:spacing w:after="0" w:line="246" w:lineRule="auto"/>
        <w:tabs>
          <w:tab w:leader="none" w:pos="2561" w:val="left"/>
        </w:tabs>
        <w:numPr>
          <w:ilvl w:val="0"/>
          <w:numId w:val="82"/>
        </w:numPr>
        <w:rPr>
          <w:rFonts w:ascii="Arial" w:cs="Arial" w:eastAsia="Arial" w:hAnsi="Arial"/>
          <w:sz w:val="20"/>
          <w:szCs w:val="20"/>
          <w:color w:val="auto"/>
        </w:rPr>
      </w:pPr>
      <w:r>
        <w:rPr>
          <w:rFonts w:ascii="Arial" w:cs="Arial" w:eastAsia="Arial" w:hAnsi="Arial"/>
          <w:sz w:val="20"/>
          <w:szCs w:val="20"/>
          <w:color w:val="auto"/>
        </w:rPr>
        <w:t>Except as set forth on Schedule 4.7(g), all assignments of Seller Registered IPR to Seller have been properly executed and recorded. To the [†] Knowledge of Seller, each of the patents and patent applications included within the Seller Registered IPR properly identifies each and every inventor of the claims thereof as determined in accordance with the laws of the jurisdiction in which such patent is issued or such patent application is pending.</w:t>
      </w:r>
    </w:p>
    <w:p>
      <w:pPr>
        <w:spacing w:after="0" w:line="191" w:lineRule="exact"/>
        <w:rPr>
          <w:rFonts w:ascii="Arial" w:cs="Arial" w:eastAsia="Arial" w:hAnsi="Arial"/>
          <w:sz w:val="20"/>
          <w:szCs w:val="20"/>
          <w:color w:val="auto"/>
        </w:rPr>
      </w:pPr>
    </w:p>
    <w:p>
      <w:pPr>
        <w:ind w:left="-8" w:right="60" w:firstLine="1698"/>
        <w:spacing w:after="0" w:line="316" w:lineRule="auto"/>
        <w:tabs>
          <w:tab w:leader="none" w:pos="2561" w:val="left"/>
        </w:tabs>
        <w:numPr>
          <w:ilvl w:val="0"/>
          <w:numId w:val="82"/>
        </w:numPr>
        <w:rPr>
          <w:rFonts w:ascii="Arial" w:cs="Arial" w:eastAsia="Arial" w:hAnsi="Arial"/>
          <w:sz w:val="18"/>
          <w:szCs w:val="18"/>
          <w:color w:val="auto"/>
        </w:rPr>
      </w:pPr>
      <w:r>
        <w:rPr>
          <w:rFonts w:ascii="Arial" w:cs="Arial" w:eastAsia="Arial" w:hAnsi="Arial"/>
          <w:sz w:val="18"/>
          <w:szCs w:val="18"/>
          <w:color w:val="auto"/>
        </w:rPr>
        <w:t>Seller has heretofore (i) made available to Acquiror for review all material scientific and technical information in its possession or control with respect to the Compound, and (ii) made available to Acquiror for review all data in its possession or control [†].</w:t>
      </w:r>
    </w:p>
    <w:p>
      <w:pPr>
        <w:spacing w:after="0" w:line="130" w:lineRule="exact"/>
        <w:rPr>
          <w:rFonts w:ascii="Arial" w:cs="Arial" w:eastAsia="Arial" w:hAnsi="Arial"/>
          <w:sz w:val="18"/>
          <w:szCs w:val="18"/>
          <w:color w:val="auto"/>
        </w:rPr>
      </w:pPr>
    </w:p>
    <w:p>
      <w:pPr>
        <w:ind w:left="-8" w:right="200" w:firstLine="1698"/>
        <w:spacing w:after="0" w:line="269" w:lineRule="auto"/>
        <w:tabs>
          <w:tab w:leader="none" w:pos="2517" w:val="left"/>
        </w:tabs>
        <w:numPr>
          <w:ilvl w:val="0"/>
          <w:numId w:val="82"/>
        </w:numPr>
        <w:rPr>
          <w:rFonts w:ascii="Arial" w:cs="Arial" w:eastAsia="Arial" w:hAnsi="Arial"/>
          <w:sz w:val="19"/>
          <w:szCs w:val="19"/>
          <w:color w:val="auto"/>
        </w:rPr>
      </w:pPr>
      <w:r>
        <w:rPr>
          <w:rFonts w:ascii="Arial" w:cs="Arial" w:eastAsia="Arial" w:hAnsi="Arial"/>
          <w:sz w:val="19"/>
          <w:szCs w:val="19"/>
          <w:color w:val="auto"/>
        </w:rPr>
        <w:t>No item of Transferred Intellectual Property is subject to any Action or outstanding Order or settlement agreement or stipulation in litigation that restricts in any manner the use, provision, transfer, assignment or licensing thereof by Seller or may affect the validity, use, ownership, registrability or enforceability of such Transferred Intellectual Property.</w:t>
      </w:r>
    </w:p>
    <w:p>
      <w:pPr>
        <w:spacing w:after="0" w:line="170" w:lineRule="exact"/>
        <w:rPr>
          <w:rFonts w:ascii="Arial" w:cs="Arial" w:eastAsia="Arial" w:hAnsi="Arial"/>
          <w:sz w:val="19"/>
          <w:szCs w:val="19"/>
          <w:color w:val="auto"/>
        </w:rPr>
      </w:pPr>
    </w:p>
    <w:p>
      <w:pPr>
        <w:ind w:left="-8" w:right="40" w:firstLine="1698"/>
        <w:spacing w:after="0" w:line="244" w:lineRule="auto"/>
        <w:tabs>
          <w:tab w:leader="none" w:pos="2517" w:val="left"/>
        </w:tabs>
        <w:numPr>
          <w:ilvl w:val="0"/>
          <w:numId w:val="82"/>
        </w:numPr>
        <w:rPr>
          <w:rFonts w:ascii="Arial" w:cs="Arial" w:eastAsia="Arial" w:hAnsi="Arial"/>
          <w:sz w:val="20"/>
          <w:szCs w:val="20"/>
          <w:color w:val="auto"/>
        </w:rPr>
      </w:pPr>
      <w:r>
        <w:rPr>
          <w:rFonts w:ascii="Arial" w:cs="Arial" w:eastAsia="Arial" w:hAnsi="Arial"/>
          <w:sz w:val="20"/>
          <w:szCs w:val="20"/>
          <w:color w:val="auto"/>
        </w:rPr>
        <w:t>Except as specifically identified and described on Schedule 4.7(j), there are no licenses, sublicenses and other contracts pursuant to which Seller is authorized to use, practice any rights under, or grant sublicenses with respect to, any Intellectual Property Rights owned by a Third Party, including any such Intellectual Property Rights which are embodied by any Transferred Intellectual Property or any Technology incorporated into any Transferred Intellectual Property (“</w:t>
      </w:r>
      <w:r>
        <w:rPr>
          <w:rFonts w:ascii="Arial" w:cs="Arial" w:eastAsia="Arial" w:hAnsi="Arial"/>
          <w:sz w:val="20"/>
          <w:szCs w:val="20"/>
          <w:b w:val="1"/>
          <w:bCs w:val="1"/>
          <w:color w:val="auto"/>
        </w:rPr>
        <w:t>Inbound Licenses</w:t>
      </w:r>
      <w:r>
        <w:rPr>
          <w:rFonts w:ascii="Arial" w:cs="Arial" w:eastAsia="Arial" w:hAnsi="Arial"/>
          <w:sz w:val="20"/>
          <w:szCs w:val="20"/>
          <w:color w:val="auto"/>
        </w:rPr>
        <w:t>”) and, with respect to each Inbound License, whether the Inbound License is exclusive or non-exclusive.</w:t>
      </w:r>
    </w:p>
    <w:p>
      <w:pPr>
        <w:spacing w:after="0" w:line="194" w:lineRule="exact"/>
        <w:rPr>
          <w:rFonts w:ascii="Arial" w:cs="Arial" w:eastAsia="Arial" w:hAnsi="Arial"/>
          <w:sz w:val="20"/>
          <w:szCs w:val="20"/>
          <w:color w:val="auto"/>
        </w:rPr>
      </w:pPr>
    </w:p>
    <w:p>
      <w:pPr>
        <w:jc w:val="both"/>
        <w:ind w:left="-8" w:right="220" w:firstLine="1698"/>
        <w:spacing w:after="0" w:line="246" w:lineRule="auto"/>
        <w:tabs>
          <w:tab w:leader="none" w:pos="2561" w:val="left"/>
        </w:tabs>
        <w:numPr>
          <w:ilvl w:val="0"/>
          <w:numId w:val="82"/>
        </w:numPr>
        <w:rPr>
          <w:rFonts w:ascii="Arial" w:cs="Arial" w:eastAsia="Arial" w:hAnsi="Arial"/>
          <w:sz w:val="20"/>
          <w:szCs w:val="20"/>
          <w:color w:val="auto"/>
        </w:rPr>
      </w:pPr>
      <w:r>
        <w:rPr>
          <w:rFonts w:ascii="Arial" w:cs="Arial" w:eastAsia="Arial" w:hAnsi="Arial"/>
          <w:sz w:val="20"/>
          <w:szCs w:val="20"/>
          <w:color w:val="auto"/>
        </w:rPr>
        <w:t>Except as specifically identified and described on Schedule 4.7(k), there are no currently in-force licenses, sublicenses and other contracts pursuant to which Seller authorizes a third party to use, practice any rights under, or grant sublicenses with respect to, any Transferred Intellectual Property (“</w:t>
      </w:r>
      <w:r>
        <w:rPr>
          <w:rFonts w:ascii="Arial" w:cs="Arial" w:eastAsia="Arial" w:hAnsi="Arial"/>
          <w:sz w:val="20"/>
          <w:szCs w:val="20"/>
          <w:b w:val="1"/>
          <w:bCs w:val="1"/>
          <w:color w:val="auto"/>
        </w:rPr>
        <w:t>Outbound Licenses</w:t>
      </w:r>
      <w:r>
        <w:rPr>
          <w:rFonts w:ascii="Arial" w:cs="Arial" w:eastAsia="Arial" w:hAnsi="Arial"/>
          <w:sz w:val="20"/>
          <w:szCs w:val="20"/>
          <w:color w:val="auto"/>
        </w:rPr>
        <w:t>”) and, with respect to each Outbound License, whether the Outbound License is exclusive or non-exclusive.</w:t>
      </w:r>
    </w:p>
    <w:p>
      <w:pPr>
        <w:spacing w:after="0" w:line="191" w:lineRule="exact"/>
        <w:rPr>
          <w:rFonts w:ascii="Arial" w:cs="Arial" w:eastAsia="Arial" w:hAnsi="Arial"/>
          <w:sz w:val="20"/>
          <w:szCs w:val="20"/>
          <w:color w:val="auto"/>
        </w:rPr>
      </w:pPr>
    </w:p>
    <w:p>
      <w:pPr>
        <w:jc w:val="both"/>
        <w:ind w:left="-8" w:firstLine="1698"/>
        <w:spacing w:after="0" w:line="246" w:lineRule="auto"/>
        <w:tabs>
          <w:tab w:leader="none" w:pos="2517" w:val="left"/>
        </w:tabs>
        <w:numPr>
          <w:ilvl w:val="0"/>
          <w:numId w:val="82"/>
        </w:numPr>
        <w:rPr>
          <w:rFonts w:ascii="Arial" w:cs="Arial" w:eastAsia="Arial" w:hAnsi="Arial"/>
          <w:sz w:val="20"/>
          <w:szCs w:val="20"/>
          <w:color w:val="auto"/>
        </w:rPr>
      </w:pPr>
      <w:r>
        <w:rPr>
          <w:rFonts w:ascii="Arial" w:cs="Arial" w:eastAsia="Arial" w:hAnsi="Arial"/>
          <w:sz w:val="20"/>
          <w:szCs w:val="20"/>
          <w:color w:val="auto"/>
        </w:rPr>
        <w:t>Except as specifically identified and described in Schedule 4.7(l), neither this Agreement nor the consummation of the Transactions will result in (i) the Acquiror being bound by, or subject to, any non-compete or other material restriction on the Compound or Acquiror’s business, or (ii) the Acquiror being obligated to pay any [†] to any Third Party in excess of those that the Seller would have been required to pay had the Transactions not occurred.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11"/>
        <w:spacing w:after="0"/>
        <w:rPr>
          <w:sz w:val="20"/>
          <w:szCs w:val="20"/>
          <w:color w:val="auto"/>
        </w:rPr>
      </w:pPr>
      <w:r>
        <w:rPr>
          <w:rFonts w:ascii="Arial" w:cs="Arial" w:eastAsia="Arial" w:hAnsi="Arial"/>
          <w:sz w:val="20"/>
          <w:szCs w:val="20"/>
          <w:color w:val="auto"/>
        </w:rPr>
        <w:t>12</w:t>
      </w:r>
    </w:p>
    <w:p>
      <w:pPr>
        <w:spacing w:after="0" w:line="10" w:lineRule="exact"/>
        <w:rPr>
          <w:sz w:val="20"/>
          <w:szCs w:val="20"/>
          <w:color w:val="auto"/>
        </w:rPr>
      </w:pPr>
    </w:p>
    <w:p>
      <w:pPr>
        <w:ind w:left="-8" w:right="20" w:firstLine="8"/>
        <w:spacing w:after="0" w:line="237" w:lineRule="auto"/>
        <w:tabs>
          <w:tab w:leader="none" w:pos="196" w:val="left"/>
        </w:tabs>
        <w:numPr>
          <w:ilvl w:val="0"/>
          <w:numId w:val="83"/>
        </w:numPr>
        <w:rPr>
          <w:rFonts w:ascii="Arial" w:cs="Arial" w:eastAsia="Arial" w:hAnsi="Arial"/>
          <w:sz w:val="14"/>
          <w:szCs w:val="14"/>
          <w:color w:val="auto"/>
        </w:rPr>
      </w:pPr>
      <w:r>
        <w:rPr>
          <w:rFonts w:ascii="Arial" w:cs="Arial" w:eastAsia="Arial" w:hAnsi="Arial"/>
          <w:sz w:val="14"/>
          <w:szCs w:val="14"/>
          <w:color w:val="auto"/>
        </w:rPr>
        <w:t>DESIGNATES PORTIONS OF THIS DOCUMENT THAT HAVE BEEN OMITTED PURSUANT TO A REQUEST FOR CONFIDENTIAL TREATMENT FILED SEPARATELY WITH THE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46990</wp:posOffset>
            </wp:positionV>
            <wp:extent cx="7289165"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92"/>
          </w:cols>
          <w:pgMar w:left="248" w:top="568" w:right="259" w:bottom="1440" w:gutter="0" w:footer="0" w:header="0"/>
        </w:sectPr>
      </w:pPr>
    </w:p>
    <w:bookmarkStart w:id="76" w:name="page77"/>
    <w:bookmarkEnd w:id="76"/>
    <w:p>
      <w:pPr>
        <w:ind w:left="-8" w:right="100" w:firstLine="1698"/>
        <w:spacing w:after="0" w:line="269" w:lineRule="auto"/>
        <w:tabs>
          <w:tab w:leader="none" w:pos="2512" w:val="left"/>
        </w:tabs>
        <w:numPr>
          <w:ilvl w:val="1"/>
          <w:numId w:val="84"/>
        </w:numPr>
        <w:rPr>
          <w:rFonts w:ascii="Arial" w:cs="Arial" w:eastAsia="Arial" w:hAnsi="Arial"/>
          <w:sz w:val="18"/>
          <w:szCs w:val="18"/>
          <w:color w:val="auto"/>
        </w:rPr>
      </w:pPr>
      <w:r>
        <w:rPr>
          <w:rFonts w:ascii="Arial" w:cs="Arial" w:eastAsia="Arial" w:hAnsi="Arial"/>
          <w:sz w:val="18"/>
          <w:szCs w:val="18"/>
          <w:color w:val="auto"/>
        </w:rPr>
        <w:t>Neither the operation of Seller’s business, nor the use, sale, import, export, and manufacture of the Compound or the Transferred Technology (A) have infringed, misappropriated or otherwise violated or constituted the unauthorized use of, and as currently conducted do not infringe, misappropriate or otherwise violate or constitute the unauthorized use of, any Intellectual Property Rights owned by any Person, and, to the [†] Knowledge of Seller, such conduct will not constitute misappropriation or other violation of the Intellectual Property Rights of any Person when conducted by Acquiror in substantially the same manner, and (B) does not constitute and has not constituted unfair competition or trade practices under the Laws of any jurisdiction. Seller has not received written notice from any Person</w:t>
      </w:r>
    </w:p>
    <w:p>
      <w:pPr>
        <w:spacing w:after="0" w:line="1" w:lineRule="exact"/>
        <w:rPr>
          <w:rFonts w:ascii="Arial" w:cs="Arial" w:eastAsia="Arial" w:hAnsi="Arial"/>
          <w:sz w:val="18"/>
          <w:szCs w:val="18"/>
          <w:color w:val="auto"/>
        </w:rPr>
      </w:pPr>
    </w:p>
    <w:p>
      <w:pPr>
        <w:ind w:left="-8" w:firstLine="8"/>
        <w:spacing w:after="0" w:line="241" w:lineRule="auto"/>
        <w:tabs>
          <w:tab w:leader="none" w:pos="272" w:val="left"/>
        </w:tabs>
        <w:numPr>
          <w:ilvl w:val="0"/>
          <w:numId w:val="85"/>
        </w:numPr>
        <w:rPr>
          <w:rFonts w:ascii="Arial" w:cs="Arial" w:eastAsia="Arial" w:hAnsi="Arial"/>
          <w:sz w:val="20"/>
          <w:szCs w:val="20"/>
          <w:color w:val="auto"/>
        </w:rPr>
      </w:pPr>
      <w:r>
        <w:rPr>
          <w:rFonts w:ascii="Arial" w:cs="Arial" w:eastAsia="Arial" w:hAnsi="Arial"/>
          <w:sz w:val="20"/>
          <w:szCs w:val="20"/>
          <w:color w:val="auto"/>
        </w:rPr>
        <w:t>claiming the operation of Seller’s business, or the Compound or any Transferred Technology infringes, misappropriates or otherwise violates or constitutes the unauthorized use of any Intellectual Property Rights of any Person or constitutes unfair competition or trade practices under the Laws of any jurisdiction (nor does Seller have [†] Knowledge of any basis therefor) or (2) demanding or offering to license to Seller any Intellectual Property Rights in connection with the business.</w:t>
      </w:r>
    </w:p>
    <w:p>
      <w:pPr>
        <w:spacing w:after="0" w:line="194" w:lineRule="exact"/>
        <w:rPr>
          <w:rFonts w:ascii="Arial" w:cs="Arial" w:eastAsia="Arial" w:hAnsi="Arial"/>
          <w:sz w:val="20"/>
          <w:szCs w:val="20"/>
          <w:color w:val="auto"/>
        </w:rPr>
      </w:pPr>
    </w:p>
    <w:p>
      <w:pPr>
        <w:jc w:val="both"/>
        <w:ind w:left="-8" w:firstLine="1698"/>
        <w:spacing w:after="0" w:line="246" w:lineRule="auto"/>
        <w:tabs>
          <w:tab w:leader="none" w:pos="2561" w:val="left"/>
        </w:tabs>
        <w:numPr>
          <w:ilvl w:val="1"/>
          <w:numId w:val="85"/>
        </w:numPr>
        <w:rPr>
          <w:rFonts w:ascii="Arial" w:cs="Arial" w:eastAsia="Arial" w:hAnsi="Arial"/>
          <w:sz w:val="20"/>
          <w:szCs w:val="20"/>
          <w:color w:val="auto"/>
        </w:rPr>
      </w:pPr>
      <w:r>
        <w:rPr>
          <w:rFonts w:ascii="Arial" w:cs="Arial" w:eastAsia="Arial" w:hAnsi="Arial"/>
          <w:sz w:val="20"/>
          <w:szCs w:val="20"/>
          <w:color w:val="auto"/>
        </w:rPr>
        <w:t>To the [†] Knowledge of Seller, no Person is infringing, misappropriating, or otherwise violating or engaged in the unauthorized use of any item of Transferred Intellectual Property. No Actions have been brought or threatened against any Person by Seller, or, to Seller’s [†] Knowledge, by any Third Party, alleging that any Person is infringing, misappropriating or otherwise violating or is engaged in the unauthorized use of, any Transferred Intellectual Property.</w:t>
      </w:r>
    </w:p>
    <w:p>
      <w:pPr>
        <w:spacing w:after="0" w:line="191" w:lineRule="exact"/>
        <w:rPr>
          <w:rFonts w:ascii="Arial" w:cs="Arial" w:eastAsia="Arial" w:hAnsi="Arial"/>
          <w:sz w:val="20"/>
          <w:szCs w:val="20"/>
          <w:color w:val="auto"/>
        </w:rPr>
      </w:pPr>
    </w:p>
    <w:p>
      <w:pPr>
        <w:ind w:left="-8" w:right="60" w:firstLine="1698"/>
        <w:spacing w:after="0" w:line="256" w:lineRule="auto"/>
        <w:tabs>
          <w:tab w:leader="none" w:pos="2561" w:val="left"/>
        </w:tabs>
        <w:numPr>
          <w:ilvl w:val="1"/>
          <w:numId w:val="85"/>
        </w:numPr>
        <w:rPr>
          <w:rFonts w:ascii="Arial" w:cs="Arial" w:eastAsia="Arial" w:hAnsi="Arial"/>
          <w:sz w:val="19"/>
          <w:szCs w:val="19"/>
          <w:color w:val="auto"/>
        </w:rPr>
      </w:pPr>
      <w:r>
        <w:rPr>
          <w:rFonts w:ascii="Arial" w:cs="Arial" w:eastAsia="Arial" w:hAnsi="Arial"/>
          <w:sz w:val="19"/>
          <w:szCs w:val="19"/>
          <w:color w:val="auto"/>
        </w:rPr>
        <w:t>Seller has used [†] to maintain, protect and preserve the confidentiality of all Know-How, trade secrets, and other confidential information relating to Compound, Transferred Intellectual Property, and operation of Seller’s business with respect thereto (collectively, the “</w:t>
      </w:r>
      <w:r>
        <w:rPr>
          <w:rFonts w:ascii="Arial" w:cs="Arial" w:eastAsia="Arial" w:hAnsi="Arial"/>
          <w:sz w:val="19"/>
          <w:szCs w:val="19"/>
          <w:b w:val="1"/>
          <w:bCs w:val="1"/>
          <w:color w:val="auto"/>
        </w:rPr>
        <w:t>Compound Confidential Information</w:t>
      </w:r>
      <w:r>
        <w:rPr>
          <w:rFonts w:ascii="Arial" w:cs="Arial" w:eastAsia="Arial" w:hAnsi="Arial"/>
          <w:sz w:val="19"/>
          <w:szCs w:val="19"/>
          <w:color w:val="auto"/>
        </w:rPr>
        <w:t>”). To the [†] Knowledge of Seller, there has been no unauthorized disclosure by any Person of any such Compound Confidential Information. Without limiting the foregoing, each current and former employee and consultant of Seller who has made any contributions to the development of the Compound or any other Transferred Intellectual Property has executed a proprietary information and inventions agreement or consulting agreement containing proprietary information, confidentiality and assignment provisions that provide for (i) the non-disclosure by such Person of any of confidential information and (ii) the assignment by such Person to Seller of all Intellectual Property Rights arising out of such Person’s employment or engagement by, or contract with, Seller, which forms have been provided to Acquiror.</w:t>
      </w:r>
    </w:p>
    <w:p>
      <w:pPr>
        <w:spacing w:after="0" w:line="184" w:lineRule="exact"/>
        <w:rPr>
          <w:rFonts w:ascii="Arial" w:cs="Arial" w:eastAsia="Arial" w:hAnsi="Arial"/>
          <w:sz w:val="19"/>
          <w:szCs w:val="19"/>
          <w:color w:val="auto"/>
        </w:rPr>
      </w:pPr>
    </w:p>
    <w:p>
      <w:pPr>
        <w:ind w:left="-8" w:right="160" w:firstLine="1698"/>
        <w:spacing w:after="0" w:line="243" w:lineRule="auto"/>
        <w:tabs>
          <w:tab w:leader="none" w:pos="2561" w:val="left"/>
        </w:tabs>
        <w:numPr>
          <w:ilvl w:val="1"/>
          <w:numId w:val="85"/>
        </w:numPr>
        <w:rPr>
          <w:rFonts w:ascii="Arial" w:cs="Arial" w:eastAsia="Arial" w:hAnsi="Arial"/>
          <w:sz w:val="20"/>
          <w:szCs w:val="20"/>
          <w:color w:val="auto"/>
        </w:rPr>
      </w:pPr>
      <w:r>
        <w:rPr>
          <w:rFonts w:ascii="Arial" w:cs="Arial" w:eastAsia="Arial" w:hAnsi="Arial"/>
          <w:sz w:val="20"/>
          <w:szCs w:val="20"/>
          <w:color w:val="auto"/>
        </w:rPr>
        <w:t>Since [†], and to Seller’s [†] Knowledge, prior to [†] no government funding, facilities or resources of a Governmental Entity, university, college, or other educational institution or research center was used in the development of any Transferred Intellectual Property and no Governmental Entity, university, college, or other educational institution or research center has any claim or right in or to any Transferred Intellectual Property. No Person (including any current or former employee of Seller), who was involved in, or who contributed to, the creation or development of any Transferred Intellectual Property, has performed services for any Governmental Entity, university, college, or other educational institution or research center during a period of time during which such Person was also performing services for Seller.</w:t>
      </w:r>
    </w:p>
    <w:p>
      <w:pPr>
        <w:spacing w:after="0" w:line="193" w:lineRule="exact"/>
        <w:rPr>
          <w:rFonts w:ascii="Arial" w:cs="Arial" w:eastAsia="Arial" w:hAnsi="Arial"/>
          <w:sz w:val="20"/>
          <w:szCs w:val="20"/>
          <w:color w:val="auto"/>
        </w:rPr>
      </w:pPr>
    </w:p>
    <w:p>
      <w:pPr>
        <w:ind w:left="-8" w:right="520" w:firstLine="1698"/>
        <w:spacing w:after="0" w:line="269" w:lineRule="auto"/>
        <w:tabs>
          <w:tab w:leader="none" w:pos="2561" w:val="left"/>
        </w:tabs>
        <w:numPr>
          <w:ilvl w:val="1"/>
          <w:numId w:val="85"/>
        </w:numPr>
        <w:rPr>
          <w:rFonts w:ascii="Arial" w:cs="Arial" w:eastAsia="Arial" w:hAnsi="Arial"/>
          <w:sz w:val="19"/>
          <w:szCs w:val="19"/>
          <w:color w:val="auto"/>
        </w:rPr>
      </w:pPr>
      <w:r>
        <w:rPr>
          <w:rFonts w:ascii="Arial" w:cs="Arial" w:eastAsia="Arial" w:hAnsi="Arial"/>
          <w:sz w:val="19"/>
          <w:szCs w:val="19"/>
          <w:color w:val="auto"/>
        </w:rPr>
        <w:t>To Sellers’ [†] Knowledge, Seller is in compliance with all applicable Laws, regulations, and contractual requirements pertaining to privacy, data security, personally identifiable information, and protected health information. To Seller’s [†] Knowledge, Seller has not suffered any security breach with respect to any personally identifiable information.</w:t>
      </w:r>
    </w:p>
    <w:p>
      <w:pPr>
        <w:spacing w:after="0" w:line="400" w:lineRule="exact"/>
        <w:rPr>
          <w:sz w:val="20"/>
          <w:szCs w:val="20"/>
          <w:color w:val="auto"/>
        </w:rPr>
      </w:pPr>
    </w:p>
    <w:p>
      <w:pPr>
        <w:jc w:val="center"/>
        <w:ind w:right="-31"/>
        <w:spacing w:after="0"/>
        <w:rPr>
          <w:sz w:val="20"/>
          <w:szCs w:val="20"/>
          <w:color w:val="auto"/>
        </w:rPr>
      </w:pPr>
      <w:r>
        <w:rPr>
          <w:rFonts w:ascii="Arial" w:cs="Arial" w:eastAsia="Arial" w:hAnsi="Arial"/>
          <w:sz w:val="20"/>
          <w:szCs w:val="20"/>
          <w:color w:val="auto"/>
        </w:rPr>
        <w:t>13</w:t>
      </w:r>
    </w:p>
    <w:p>
      <w:pPr>
        <w:spacing w:after="0" w:line="10" w:lineRule="exact"/>
        <w:rPr>
          <w:sz w:val="20"/>
          <w:szCs w:val="20"/>
          <w:color w:val="auto"/>
        </w:rPr>
      </w:pPr>
    </w:p>
    <w:p>
      <w:pPr>
        <w:ind w:left="-8" w:firstLine="8"/>
        <w:spacing w:after="0" w:line="237" w:lineRule="auto"/>
        <w:tabs>
          <w:tab w:leader="none" w:pos="196" w:val="left"/>
        </w:tabs>
        <w:numPr>
          <w:ilvl w:val="0"/>
          <w:numId w:val="86"/>
        </w:numPr>
        <w:rPr>
          <w:rFonts w:ascii="Arial" w:cs="Arial" w:eastAsia="Arial" w:hAnsi="Arial"/>
          <w:sz w:val="14"/>
          <w:szCs w:val="14"/>
          <w:color w:val="auto"/>
        </w:rPr>
      </w:pPr>
      <w:r>
        <w:rPr>
          <w:rFonts w:ascii="Arial" w:cs="Arial" w:eastAsia="Arial" w:hAnsi="Arial"/>
          <w:sz w:val="14"/>
          <w:szCs w:val="14"/>
          <w:color w:val="auto"/>
        </w:rPr>
        <w:t>DESIGNATES PORTIONS OF THIS DOCUMENT THAT HAVE BEEN OMITTED PURSUANT TO A REQUEST FOR CONFIDENTIAL TREATMENT FILED SEPARATELY WITH THE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46990</wp:posOffset>
            </wp:positionV>
            <wp:extent cx="7289165"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72"/>
          </w:cols>
          <w:pgMar w:left="248" w:top="568" w:right="279" w:bottom="1440" w:gutter="0" w:footer="0" w:header="0"/>
        </w:sectPr>
      </w:pPr>
    </w:p>
    <w:bookmarkStart w:id="77" w:name="page78"/>
    <w:bookmarkEnd w:id="77"/>
    <w:p>
      <w:pPr>
        <w:ind w:left="860"/>
        <w:spacing w:after="0"/>
        <w:tabs>
          <w:tab w:leader="none" w:pos="1820" w:val="left"/>
        </w:tabs>
        <w:rPr>
          <w:sz w:val="20"/>
          <w:szCs w:val="20"/>
          <w:color w:val="auto"/>
        </w:rPr>
      </w:pPr>
      <w:r>
        <w:rPr>
          <w:rFonts w:ascii="Arial" w:cs="Arial" w:eastAsia="Arial" w:hAnsi="Arial"/>
          <w:sz w:val="20"/>
          <w:szCs w:val="20"/>
          <w:color w:val="auto"/>
        </w:rPr>
        <w:t>4.8</w:t>
      </w:r>
      <w:r>
        <w:rPr>
          <w:sz w:val="20"/>
          <w:szCs w:val="20"/>
          <w:color w:val="auto"/>
        </w:rPr>
        <w:tab/>
      </w:r>
      <w:r>
        <w:rPr>
          <w:rFonts w:ascii="Arial" w:cs="Arial" w:eastAsia="Arial" w:hAnsi="Arial"/>
          <w:sz w:val="16"/>
          <w:szCs w:val="16"/>
          <w:u w:val="single" w:color="auto"/>
          <w:color w:val="auto"/>
        </w:rPr>
        <w:t>Contracts</w:t>
      </w:r>
      <w:r>
        <w:rPr>
          <w:rFonts w:ascii="Arial" w:cs="Arial" w:eastAsia="Arial" w:hAnsi="Arial"/>
          <w:sz w:val="16"/>
          <w:szCs w:val="16"/>
          <w:color w:val="auto"/>
        </w:rPr>
        <w:t>.</w:t>
      </w:r>
    </w:p>
    <w:p>
      <w:pPr>
        <w:spacing w:after="0" w:line="216" w:lineRule="exact"/>
        <w:rPr>
          <w:sz w:val="20"/>
          <w:szCs w:val="20"/>
          <w:color w:val="auto"/>
        </w:rPr>
      </w:pPr>
    </w:p>
    <w:p>
      <w:pPr>
        <w:ind w:right="200" w:firstLine="1698"/>
        <w:spacing w:after="0" w:line="250" w:lineRule="auto"/>
        <w:tabs>
          <w:tab w:leader="none" w:pos="2558" w:val="left"/>
        </w:tabs>
        <w:numPr>
          <w:ilvl w:val="0"/>
          <w:numId w:val="87"/>
        </w:numPr>
        <w:rPr>
          <w:rFonts w:ascii="Arial" w:cs="Arial" w:eastAsia="Arial" w:hAnsi="Arial"/>
          <w:sz w:val="20"/>
          <w:szCs w:val="20"/>
          <w:color w:val="auto"/>
        </w:rPr>
      </w:pPr>
      <w:r>
        <w:rPr>
          <w:rFonts w:ascii="Arial" w:cs="Arial" w:eastAsia="Arial" w:hAnsi="Arial"/>
          <w:sz w:val="20"/>
          <w:szCs w:val="20"/>
          <w:color w:val="auto"/>
        </w:rPr>
        <w:t>Schedule 4.8(a) contains a complete and accurate list of all contracts to which Seller is a party, other than the Inbound Licenses and Outbound Licenses (such contracts, together with the Inbound Licenses and Outbound Licenses, the “</w:t>
      </w:r>
      <w:r>
        <w:rPr>
          <w:rFonts w:ascii="Arial" w:cs="Arial" w:eastAsia="Arial" w:hAnsi="Arial"/>
          <w:sz w:val="20"/>
          <w:szCs w:val="20"/>
          <w:b w:val="1"/>
          <w:bCs w:val="1"/>
          <w:color w:val="auto"/>
        </w:rPr>
        <w:t>Seller</w:t>
      </w:r>
      <w:r>
        <w:rPr>
          <w:rFonts w:ascii="Arial" w:cs="Arial" w:eastAsia="Arial" w:hAnsi="Arial"/>
          <w:sz w:val="20"/>
          <w:szCs w:val="20"/>
          <w:color w:val="auto"/>
        </w:rPr>
        <w:t xml:space="preserve"> </w:t>
      </w:r>
      <w:r>
        <w:rPr>
          <w:rFonts w:ascii="Arial" w:cs="Arial" w:eastAsia="Arial" w:hAnsi="Arial"/>
          <w:sz w:val="20"/>
          <w:szCs w:val="20"/>
          <w:b w:val="1"/>
          <w:bCs w:val="1"/>
          <w:color w:val="auto"/>
        </w:rPr>
        <w:t>Contracts</w:t>
      </w:r>
      <w:r>
        <w:rPr>
          <w:rFonts w:ascii="Arial" w:cs="Arial" w:eastAsia="Arial" w:hAnsi="Arial"/>
          <w:sz w:val="20"/>
          <w:szCs w:val="20"/>
          <w:color w:val="auto"/>
        </w:rPr>
        <w:t>”).</w:t>
      </w:r>
    </w:p>
    <w:p>
      <w:pPr>
        <w:spacing w:after="0" w:line="186" w:lineRule="exact"/>
        <w:rPr>
          <w:rFonts w:ascii="Arial" w:cs="Arial" w:eastAsia="Arial" w:hAnsi="Arial"/>
          <w:sz w:val="20"/>
          <w:szCs w:val="20"/>
          <w:color w:val="auto"/>
        </w:rPr>
      </w:pPr>
    </w:p>
    <w:p>
      <w:pPr>
        <w:ind w:firstLine="1698"/>
        <w:spacing w:after="0" w:line="243" w:lineRule="auto"/>
        <w:tabs>
          <w:tab w:leader="none" w:pos="2569" w:val="left"/>
        </w:tabs>
        <w:numPr>
          <w:ilvl w:val="0"/>
          <w:numId w:val="87"/>
        </w:numPr>
        <w:rPr>
          <w:rFonts w:ascii="Arial" w:cs="Arial" w:eastAsia="Arial" w:hAnsi="Arial"/>
          <w:sz w:val="20"/>
          <w:szCs w:val="20"/>
          <w:color w:val="auto"/>
        </w:rPr>
      </w:pPr>
      <w:r>
        <w:rPr>
          <w:rFonts w:ascii="Arial" w:cs="Arial" w:eastAsia="Arial" w:hAnsi="Arial"/>
          <w:sz w:val="20"/>
          <w:szCs w:val="20"/>
          <w:color w:val="auto"/>
        </w:rPr>
        <w:t>Seller has not violated or breached in any material respect, and has not committed any material default under, any Seller Contract, which remains uncured, and, to the [†] Knowledge of Seller, no other Person has violated or breached in any material respect, or committed any material default under, any Seller Contract which remains uncured. To the [†] Knowledge of Seller no event has occurred, and no circumstance or condition exists, that (with or without notice or lapse of time) will, or could reasonably be expected to: (i) result in a material violation or material breach of any of the provisions of any Seller Contract; (ii) give any Person the right to declare a default or exercise any remedy under any Seller Contract; or (iii) give any Person the right to accelerate the maturity or performance of any Seller Contract.</w:t>
      </w:r>
    </w:p>
    <w:p>
      <w:pPr>
        <w:spacing w:after="0" w:line="193" w:lineRule="exact"/>
        <w:rPr>
          <w:rFonts w:ascii="Arial" w:cs="Arial" w:eastAsia="Arial" w:hAnsi="Arial"/>
          <w:sz w:val="20"/>
          <w:szCs w:val="20"/>
          <w:color w:val="auto"/>
        </w:rPr>
      </w:pPr>
    </w:p>
    <w:p>
      <w:pPr>
        <w:ind w:right="80" w:firstLine="1698"/>
        <w:spacing w:after="0" w:line="243" w:lineRule="auto"/>
        <w:tabs>
          <w:tab w:leader="none" w:pos="2558" w:val="left"/>
        </w:tabs>
        <w:numPr>
          <w:ilvl w:val="0"/>
          <w:numId w:val="87"/>
        </w:numPr>
        <w:rPr>
          <w:rFonts w:ascii="Arial" w:cs="Arial" w:eastAsia="Arial" w:hAnsi="Arial"/>
          <w:sz w:val="20"/>
          <w:szCs w:val="20"/>
          <w:color w:val="auto"/>
        </w:rPr>
      </w:pPr>
      <w:r>
        <w:rPr>
          <w:rFonts w:ascii="Arial" w:cs="Arial" w:eastAsia="Arial" w:hAnsi="Arial"/>
          <w:sz w:val="20"/>
          <w:szCs w:val="20"/>
          <w:color w:val="auto"/>
        </w:rPr>
        <w:t>The execution and delivery by Seller of the Transaction Documents, the performance by Seller of its obligations hereunder and thereunder, and the consummation by Seller of the Transactions do not and will not conflict with, result in a breach of, constitute (with or without due notice or lapse of time or both) a default under, result in the acceleration of any obligations under, create in any party the right to accelerate, terminate, modify or cancel, give rise to any obligation under, result in the creation of any Encumbrance upon any of the Purchased Assets pursuant to, require any notice, consent or waiver under, or result in the loss of any benefit under any Seller Contract.</w:t>
      </w:r>
    </w:p>
    <w:p>
      <w:pPr>
        <w:spacing w:after="0" w:line="196" w:lineRule="exact"/>
        <w:rPr>
          <w:rFonts w:ascii="Arial" w:cs="Arial" w:eastAsia="Arial" w:hAnsi="Arial"/>
          <w:sz w:val="20"/>
          <w:szCs w:val="20"/>
          <w:color w:val="auto"/>
        </w:rPr>
      </w:pPr>
    </w:p>
    <w:p>
      <w:pPr>
        <w:ind w:right="140" w:firstLine="1698"/>
        <w:spacing w:after="0" w:line="250" w:lineRule="auto"/>
        <w:tabs>
          <w:tab w:leader="none" w:pos="2569" w:val="left"/>
        </w:tabs>
        <w:numPr>
          <w:ilvl w:val="0"/>
          <w:numId w:val="87"/>
        </w:numPr>
        <w:rPr>
          <w:rFonts w:ascii="Arial" w:cs="Arial" w:eastAsia="Arial" w:hAnsi="Arial"/>
          <w:sz w:val="20"/>
          <w:szCs w:val="20"/>
          <w:color w:val="auto"/>
        </w:rPr>
      </w:pPr>
      <w:r>
        <w:rPr>
          <w:rFonts w:ascii="Arial" w:cs="Arial" w:eastAsia="Arial" w:hAnsi="Arial"/>
          <w:sz w:val="20"/>
          <w:szCs w:val="20"/>
          <w:color w:val="auto"/>
        </w:rPr>
        <w:t>All loan agreements entered into by Seller with any third party that could result in an Encumbrance on any of the Purchased Assets, including the Loan Agreements, have been fully repaid prior to or in connection with the Closing (assuming Acquiror makes the payments as specified in Section 2.3).</w:t>
      </w:r>
    </w:p>
    <w:p>
      <w:pPr>
        <w:spacing w:after="0" w:line="186" w:lineRule="exact"/>
        <w:rPr>
          <w:sz w:val="20"/>
          <w:szCs w:val="20"/>
          <w:color w:val="auto"/>
        </w:rPr>
      </w:pPr>
    </w:p>
    <w:p>
      <w:pPr>
        <w:ind w:left="860"/>
        <w:spacing w:after="0"/>
        <w:tabs>
          <w:tab w:leader="none" w:pos="1820" w:val="left"/>
        </w:tabs>
        <w:rPr>
          <w:sz w:val="20"/>
          <w:szCs w:val="20"/>
          <w:color w:val="auto"/>
        </w:rPr>
      </w:pPr>
      <w:r>
        <w:rPr>
          <w:rFonts w:ascii="Arial" w:cs="Arial" w:eastAsia="Arial" w:hAnsi="Arial"/>
          <w:sz w:val="20"/>
          <w:szCs w:val="20"/>
          <w:color w:val="auto"/>
        </w:rPr>
        <w:t>4.9</w:t>
      </w:r>
      <w:r>
        <w:rPr>
          <w:sz w:val="20"/>
          <w:szCs w:val="20"/>
          <w:color w:val="auto"/>
        </w:rPr>
        <w:tab/>
      </w:r>
      <w:r>
        <w:rPr>
          <w:rFonts w:ascii="Arial" w:cs="Arial" w:eastAsia="Arial" w:hAnsi="Arial"/>
          <w:sz w:val="19"/>
          <w:szCs w:val="19"/>
          <w:u w:val="single" w:color="auto"/>
          <w:color w:val="auto"/>
        </w:rPr>
        <w:t>Litigation</w:t>
      </w:r>
      <w:r>
        <w:rPr>
          <w:rFonts w:ascii="Arial" w:cs="Arial" w:eastAsia="Arial" w:hAnsi="Arial"/>
          <w:sz w:val="19"/>
          <w:szCs w:val="19"/>
          <w:color w:val="auto"/>
        </w:rPr>
        <w:t>.</w:t>
      </w:r>
    </w:p>
    <w:p>
      <w:pPr>
        <w:spacing w:after="0" w:line="216" w:lineRule="exact"/>
        <w:rPr>
          <w:sz w:val="20"/>
          <w:szCs w:val="20"/>
          <w:color w:val="auto"/>
        </w:rPr>
      </w:pPr>
    </w:p>
    <w:p>
      <w:pPr>
        <w:ind w:right="80" w:firstLine="1698"/>
        <w:spacing w:after="0" w:line="250" w:lineRule="auto"/>
        <w:tabs>
          <w:tab w:leader="none" w:pos="2558" w:val="left"/>
        </w:tabs>
        <w:numPr>
          <w:ilvl w:val="0"/>
          <w:numId w:val="88"/>
        </w:numPr>
        <w:rPr>
          <w:rFonts w:ascii="Arial" w:cs="Arial" w:eastAsia="Arial" w:hAnsi="Arial"/>
          <w:sz w:val="20"/>
          <w:szCs w:val="20"/>
          <w:color w:val="auto"/>
        </w:rPr>
      </w:pPr>
      <w:r>
        <w:rPr>
          <w:rFonts w:ascii="Arial" w:cs="Arial" w:eastAsia="Arial" w:hAnsi="Arial"/>
          <w:sz w:val="20"/>
          <w:szCs w:val="20"/>
          <w:color w:val="auto"/>
        </w:rPr>
        <w:t>There is no Action pending or, to the [†] Knowledge of the Seller, threatened (i) against the Seller, (ii) relating to the Compound, or (iii) that challenges or seeks to prevent, enjoin or otherwise delay the Transactions. To the [†] Knowledge of the Seller, [†].</w:t>
      </w:r>
    </w:p>
    <w:p>
      <w:pPr>
        <w:spacing w:after="0" w:line="186" w:lineRule="exact"/>
        <w:rPr>
          <w:rFonts w:ascii="Arial" w:cs="Arial" w:eastAsia="Arial" w:hAnsi="Arial"/>
          <w:sz w:val="20"/>
          <w:szCs w:val="20"/>
          <w:color w:val="auto"/>
        </w:rPr>
      </w:pPr>
    </w:p>
    <w:p>
      <w:pPr>
        <w:ind w:right="60" w:firstLine="1698"/>
        <w:spacing w:after="0" w:line="260" w:lineRule="auto"/>
        <w:tabs>
          <w:tab w:leader="none" w:pos="2569" w:val="left"/>
        </w:tabs>
        <w:numPr>
          <w:ilvl w:val="0"/>
          <w:numId w:val="88"/>
        </w:numPr>
        <w:rPr>
          <w:rFonts w:ascii="Arial" w:cs="Arial" w:eastAsia="Arial" w:hAnsi="Arial"/>
          <w:sz w:val="20"/>
          <w:szCs w:val="20"/>
          <w:color w:val="auto"/>
        </w:rPr>
      </w:pPr>
      <w:r>
        <w:rPr>
          <w:rFonts w:ascii="Arial" w:cs="Arial" w:eastAsia="Arial" w:hAnsi="Arial"/>
          <w:sz w:val="20"/>
          <w:szCs w:val="20"/>
          <w:color w:val="auto"/>
        </w:rPr>
        <w:t>There is no unsatisfied judgment, penalty, award, decree, injunction, rule or order of any Governmental Entity, court or arbitrator, outstanding or pending against the Seller or with respect to the Compound.</w:t>
      </w:r>
    </w:p>
    <w:p>
      <w:pPr>
        <w:spacing w:after="0" w:line="177" w:lineRule="exact"/>
        <w:rPr>
          <w:sz w:val="20"/>
          <w:szCs w:val="20"/>
          <w:color w:val="auto"/>
        </w:rPr>
      </w:pPr>
    </w:p>
    <w:p>
      <w:pPr>
        <w:ind w:right="180" w:firstLine="846"/>
        <w:spacing w:after="0" w:line="250" w:lineRule="auto"/>
        <w:rPr>
          <w:sz w:val="20"/>
          <w:szCs w:val="20"/>
          <w:color w:val="auto"/>
        </w:rPr>
      </w:pPr>
      <w:r>
        <w:rPr>
          <w:rFonts w:ascii="Arial" w:cs="Arial" w:eastAsia="Arial" w:hAnsi="Arial"/>
          <w:sz w:val="20"/>
          <w:szCs w:val="20"/>
          <w:color w:val="auto"/>
        </w:rPr>
        <w:t xml:space="preserve">4.10 </w:t>
      </w:r>
      <w:r>
        <w:rPr>
          <w:rFonts w:ascii="Arial" w:cs="Arial" w:eastAsia="Arial" w:hAnsi="Arial"/>
          <w:sz w:val="20"/>
          <w:szCs w:val="20"/>
          <w:u w:val="single" w:color="auto"/>
          <w:color w:val="auto"/>
        </w:rPr>
        <w:t>Brokerage Fees</w:t>
      </w:r>
      <w:r>
        <w:rPr>
          <w:rFonts w:ascii="Arial" w:cs="Arial" w:eastAsia="Arial" w:hAnsi="Arial"/>
          <w:sz w:val="20"/>
          <w:szCs w:val="20"/>
          <w:color w:val="auto"/>
        </w:rPr>
        <w:t>. Seller has not incurred any liabilities for any brokerage, finder, investment banking or other similar fees, commissions or expenses in connection with the Transactions, except for such fees, commissions and expenses of which will be paid by Seller.</w:t>
      </w:r>
    </w:p>
    <w:p>
      <w:pPr>
        <w:spacing w:after="0" w:line="186" w:lineRule="exact"/>
        <w:rPr>
          <w:sz w:val="20"/>
          <w:szCs w:val="20"/>
          <w:color w:val="auto"/>
        </w:rPr>
      </w:pPr>
    </w:p>
    <w:p>
      <w:pPr>
        <w:jc w:val="both"/>
        <w:ind w:right="40" w:firstLine="846"/>
        <w:spacing w:after="0" w:line="269" w:lineRule="auto"/>
        <w:rPr>
          <w:sz w:val="20"/>
          <w:szCs w:val="20"/>
          <w:color w:val="auto"/>
        </w:rPr>
      </w:pPr>
      <w:r>
        <w:rPr>
          <w:rFonts w:ascii="Arial" w:cs="Arial" w:eastAsia="Arial" w:hAnsi="Arial"/>
          <w:sz w:val="19"/>
          <w:szCs w:val="19"/>
          <w:color w:val="auto"/>
        </w:rPr>
        <w:t xml:space="preserve">4.11 </w:t>
      </w:r>
      <w:r>
        <w:rPr>
          <w:rFonts w:ascii="Arial" w:cs="Arial" w:eastAsia="Arial" w:hAnsi="Arial"/>
          <w:sz w:val="19"/>
          <w:szCs w:val="19"/>
          <w:u w:val="single" w:color="auto"/>
          <w:color w:val="auto"/>
        </w:rPr>
        <w:t>Complete Copies of Materials</w:t>
      </w:r>
      <w:r>
        <w:rPr>
          <w:rFonts w:ascii="Arial" w:cs="Arial" w:eastAsia="Arial" w:hAnsi="Arial"/>
          <w:sz w:val="19"/>
          <w:szCs w:val="19"/>
          <w:color w:val="auto"/>
        </w:rPr>
        <w:t>. Seller has delivered to Acquiror true, correct and complete copies (or with respect to oral agreements, written summaries of the same) of each contract and other document that has been requested by Acquiror or its agents in connection with this Agreement or any of the other Transaction Documents or that is referred to in the Schedules attached hereto.</w:t>
      </w:r>
    </w:p>
    <w:p>
      <w:pPr>
        <w:spacing w:after="0" w:line="170" w:lineRule="exact"/>
        <w:rPr>
          <w:sz w:val="20"/>
          <w:szCs w:val="20"/>
          <w:color w:val="auto"/>
        </w:rPr>
      </w:pPr>
    </w:p>
    <w:p>
      <w:pPr>
        <w:ind w:left="860"/>
        <w:spacing w:after="0"/>
        <w:tabs>
          <w:tab w:leader="none" w:pos="1820" w:val="left"/>
        </w:tabs>
        <w:rPr>
          <w:sz w:val="20"/>
          <w:szCs w:val="20"/>
          <w:color w:val="auto"/>
        </w:rPr>
      </w:pPr>
      <w:r>
        <w:rPr>
          <w:rFonts w:ascii="Arial" w:cs="Arial" w:eastAsia="Arial" w:hAnsi="Arial"/>
          <w:sz w:val="20"/>
          <w:szCs w:val="20"/>
          <w:color w:val="auto"/>
        </w:rPr>
        <w:t>4.12</w:t>
      </w:r>
      <w:r>
        <w:rPr>
          <w:sz w:val="20"/>
          <w:szCs w:val="20"/>
          <w:color w:val="auto"/>
        </w:rPr>
        <w:tab/>
      </w:r>
      <w:r>
        <w:rPr>
          <w:rFonts w:ascii="Arial" w:cs="Arial" w:eastAsia="Arial" w:hAnsi="Arial"/>
          <w:sz w:val="18"/>
          <w:szCs w:val="18"/>
          <w:u w:val="single" w:color="auto"/>
          <w:color w:val="auto"/>
        </w:rPr>
        <w:t>Disclosures</w:t>
      </w:r>
      <w:r>
        <w:rPr>
          <w:rFonts w:ascii="Arial" w:cs="Arial" w:eastAsia="Arial" w:hAnsi="Arial"/>
          <w:sz w:val="18"/>
          <w:szCs w:val="18"/>
          <w:color w:val="auto"/>
        </w:rPr>
        <w:t>. To the [†] Knowledge of Seller, [†].</w:t>
      </w:r>
    </w:p>
    <w:p>
      <w:pPr>
        <w:spacing w:after="0" w:line="200" w:lineRule="exact"/>
        <w:rPr>
          <w:sz w:val="20"/>
          <w:szCs w:val="20"/>
          <w:color w:val="auto"/>
        </w:rPr>
      </w:pPr>
    </w:p>
    <w:p>
      <w:pPr>
        <w:spacing w:after="0" w:line="245"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14</w:t>
      </w:r>
    </w:p>
    <w:p>
      <w:pPr>
        <w:spacing w:after="0" w:line="10" w:lineRule="exact"/>
        <w:rPr>
          <w:sz w:val="20"/>
          <w:szCs w:val="20"/>
          <w:color w:val="auto"/>
        </w:rPr>
      </w:pPr>
    </w:p>
    <w:p>
      <w:pPr>
        <w:ind w:firstLine="8"/>
        <w:spacing w:after="0" w:line="237" w:lineRule="auto"/>
        <w:tabs>
          <w:tab w:leader="none" w:pos="204" w:val="left"/>
        </w:tabs>
        <w:numPr>
          <w:ilvl w:val="0"/>
          <w:numId w:val="89"/>
        </w:numPr>
        <w:rPr>
          <w:rFonts w:ascii="Arial" w:cs="Arial" w:eastAsia="Arial" w:hAnsi="Arial"/>
          <w:sz w:val="14"/>
          <w:szCs w:val="14"/>
          <w:color w:val="auto"/>
        </w:rPr>
      </w:pPr>
      <w:r>
        <w:rPr>
          <w:rFonts w:ascii="Arial" w:cs="Arial" w:eastAsia="Arial" w:hAnsi="Arial"/>
          <w:sz w:val="14"/>
          <w:szCs w:val="14"/>
          <w:color w:val="auto"/>
        </w:rPr>
        <w:t>DESIGNATES PORTIONS OF THIS DOCUMENT THAT HAVE BEEN OMITTED PURSUANT TO A REQUEST FOR CONFIDENTIAL TREATMENT FILED SEPARATELY WITH THE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46990</wp:posOffset>
            </wp:positionV>
            <wp:extent cx="7289165"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568" w:right="279" w:bottom="1440" w:gutter="0" w:footer="0" w:header="0"/>
        </w:sectPr>
      </w:pPr>
    </w:p>
    <w:bookmarkStart w:id="78" w:name="page79"/>
    <w:bookmarkEnd w:id="78"/>
    <w:tbl>
      <w:tblPr>
        <w:tblLayout w:type="fixed"/>
        <w:tblInd w:w="0" w:type="dxa"/>
        <w:tblCellMar>
          <w:top w:w="0" w:type="dxa"/>
          <w:left w:w="0" w:type="dxa"/>
          <w:bottom w:w="0" w:type="dxa"/>
          <w:right w:w="0" w:type="dxa"/>
        </w:tblCellMar>
      </w:tblPr>
      <w:tr>
        <w:trPr>
          <w:trHeight w:val="256"/>
        </w:trPr>
        <w:tc>
          <w:tcPr>
            <w:tcW w:w="1840" w:type="dxa"/>
            <w:vAlign w:val="bottom"/>
          </w:tcPr>
          <w:p>
            <w:pPr>
              <w:spacing w:after="0"/>
              <w:rPr>
                <w:sz w:val="22"/>
                <w:szCs w:val="22"/>
                <w:color w:val="auto"/>
              </w:rPr>
            </w:pPr>
          </w:p>
        </w:tc>
        <w:tc>
          <w:tcPr>
            <w:tcW w:w="9160" w:type="dxa"/>
            <w:vAlign w:val="bottom"/>
            <w:gridSpan w:val="3"/>
          </w:tcPr>
          <w:p>
            <w:pPr>
              <w:ind w:left="700"/>
              <w:spacing w:after="0"/>
              <w:rPr>
                <w:sz w:val="20"/>
                <w:szCs w:val="20"/>
                <w:color w:val="auto"/>
              </w:rPr>
            </w:pPr>
            <w:r>
              <w:rPr>
                <w:rFonts w:ascii="Arial" w:cs="Arial" w:eastAsia="Arial" w:hAnsi="Arial"/>
                <w:sz w:val="20"/>
                <w:szCs w:val="20"/>
                <w:b w:val="1"/>
                <w:bCs w:val="1"/>
                <w:color w:val="auto"/>
              </w:rPr>
              <w:t>ARTICLE 5 REPRESENTATIONS AND WARRANTIES OF ACQUIROR</w:t>
            </w:r>
          </w:p>
        </w:tc>
      </w:tr>
      <w:tr>
        <w:trPr>
          <w:trHeight w:val="446"/>
        </w:trPr>
        <w:tc>
          <w:tcPr>
            <w:tcW w:w="11000" w:type="dxa"/>
            <w:vAlign w:val="bottom"/>
            <w:gridSpan w:val="4"/>
          </w:tcPr>
          <w:p>
            <w:pPr>
              <w:ind w:left="860"/>
              <w:spacing w:after="0"/>
              <w:rPr>
                <w:sz w:val="20"/>
                <w:szCs w:val="20"/>
                <w:color w:val="auto"/>
              </w:rPr>
            </w:pPr>
            <w:r>
              <w:rPr>
                <w:rFonts w:ascii="Arial" w:cs="Arial" w:eastAsia="Arial" w:hAnsi="Arial"/>
                <w:sz w:val="20"/>
                <w:szCs w:val="20"/>
                <w:color w:val="auto"/>
              </w:rPr>
              <w:t>Acquiror hereby represents and warrants to Seller as follows:</w:t>
            </w:r>
          </w:p>
        </w:tc>
      </w:tr>
      <w:tr>
        <w:trPr>
          <w:trHeight w:val="401"/>
        </w:trPr>
        <w:tc>
          <w:tcPr>
            <w:tcW w:w="1840" w:type="dxa"/>
            <w:vAlign w:val="bottom"/>
          </w:tcPr>
          <w:p>
            <w:pPr>
              <w:ind w:left="860"/>
              <w:spacing w:after="0"/>
              <w:rPr>
                <w:sz w:val="20"/>
                <w:szCs w:val="20"/>
                <w:color w:val="auto"/>
              </w:rPr>
            </w:pPr>
            <w:r>
              <w:rPr>
                <w:rFonts w:ascii="Arial" w:cs="Arial" w:eastAsia="Arial" w:hAnsi="Arial"/>
                <w:sz w:val="20"/>
                <w:szCs w:val="20"/>
                <w:color w:val="auto"/>
              </w:rPr>
              <w:t>5.1</w:t>
            </w:r>
          </w:p>
        </w:tc>
        <w:tc>
          <w:tcPr>
            <w:tcW w:w="9160" w:type="dxa"/>
            <w:vAlign w:val="bottom"/>
            <w:gridSpan w:val="3"/>
          </w:tcPr>
          <w:p>
            <w:pPr>
              <w:spacing w:after="0"/>
              <w:rPr>
                <w:sz w:val="20"/>
                <w:szCs w:val="20"/>
                <w:color w:val="auto"/>
              </w:rPr>
            </w:pPr>
            <w:r>
              <w:rPr>
                <w:rFonts w:ascii="Arial" w:cs="Arial" w:eastAsia="Arial" w:hAnsi="Arial"/>
                <w:sz w:val="20"/>
                <w:szCs w:val="20"/>
                <w:color w:val="auto"/>
                <w:w w:val="90"/>
              </w:rPr>
              <w:t>Organization and Good Standing. Acquiror has been duly continued and is validly existing as a corporation in good</w:t>
            </w:r>
          </w:p>
        </w:tc>
      </w:tr>
      <w:tr>
        <w:trPr>
          <w:trHeight w:val="20"/>
        </w:trPr>
        <w:tc>
          <w:tcPr>
            <w:tcW w:w="1840" w:type="dxa"/>
            <w:vAlign w:val="bottom"/>
          </w:tcPr>
          <w:p>
            <w:pPr>
              <w:spacing w:after="0" w:line="20" w:lineRule="exact"/>
              <w:rPr>
                <w:sz w:val="1"/>
                <w:szCs w:val="1"/>
                <w:color w:val="auto"/>
              </w:rPr>
            </w:pPr>
          </w:p>
        </w:tc>
        <w:tc>
          <w:tcPr>
            <w:tcW w:w="23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6540" w:type="dxa"/>
            <w:vAlign w:val="bottom"/>
          </w:tcPr>
          <w:p>
            <w:pPr>
              <w:spacing w:after="0" w:line="20" w:lineRule="exact"/>
              <w:rPr>
                <w:sz w:val="1"/>
                <w:szCs w:val="1"/>
                <w:color w:val="auto"/>
              </w:rPr>
            </w:pPr>
          </w:p>
        </w:tc>
      </w:tr>
      <w:tr>
        <w:trPr>
          <w:trHeight w:val="254"/>
        </w:trPr>
        <w:tc>
          <w:tcPr>
            <w:tcW w:w="11000" w:type="dxa"/>
            <w:vAlign w:val="bottom"/>
            <w:gridSpan w:val="4"/>
          </w:tcPr>
          <w:p>
            <w:pPr>
              <w:spacing w:after="0"/>
              <w:rPr>
                <w:sz w:val="20"/>
                <w:szCs w:val="20"/>
                <w:color w:val="auto"/>
              </w:rPr>
            </w:pPr>
            <w:r>
              <w:rPr>
                <w:rFonts w:ascii="Arial" w:cs="Arial" w:eastAsia="Arial" w:hAnsi="Arial"/>
                <w:sz w:val="20"/>
                <w:szCs w:val="20"/>
                <w:color w:val="auto"/>
              </w:rPr>
              <w:t>standing under the Canada Business Corporations Act and is up-to-date in all material corporate filings.</w:t>
            </w:r>
          </w:p>
        </w:tc>
      </w:tr>
      <w:tr>
        <w:trPr>
          <w:trHeight w:val="401"/>
        </w:trPr>
        <w:tc>
          <w:tcPr>
            <w:tcW w:w="1840" w:type="dxa"/>
            <w:vAlign w:val="bottom"/>
          </w:tcPr>
          <w:p>
            <w:pPr>
              <w:ind w:left="860"/>
              <w:spacing w:after="0"/>
              <w:rPr>
                <w:sz w:val="20"/>
                <w:szCs w:val="20"/>
                <w:color w:val="auto"/>
              </w:rPr>
            </w:pPr>
            <w:r>
              <w:rPr>
                <w:rFonts w:ascii="Arial" w:cs="Arial" w:eastAsia="Arial" w:hAnsi="Arial"/>
                <w:sz w:val="20"/>
                <w:szCs w:val="20"/>
                <w:color w:val="auto"/>
              </w:rPr>
              <w:t>5.2</w:t>
            </w:r>
          </w:p>
        </w:tc>
        <w:tc>
          <w:tcPr>
            <w:tcW w:w="9160" w:type="dxa"/>
            <w:vAlign w:val="bottom"/>
            <w:gridSpan w:val="3"/>
          </w:tcPr>
          <w:p>
            <w:pPr>
              <w:spacing w:after="0"/>
              <w:rPr>
                <w:sz w:val="20"/>
                <w:szCs w:val="20"/>
                <w:color w:val="auto"/>
              </w:rPr>
            </w:pPr>
            <w:r>
              <w:rPr>
                <w:rFonts w:ascii="Arial" w:cs="Arial" w:eastAsia="Arial" w:hAnsi="Arial"/>
                <w:sz w:val="20"/>
                <w:szCs w:val="20"/>
                <w:color w:val="auto"/>
                <w:w w:val="92"/>
              </w:rPr>
              <w:t>Authority and Enforceability. Acquiror has the requisite power and authority to enter into each of the Transaction</w:t>
            </w:r>
          </w:p>
        </w:tc>
      </w:tr>
      <w:tr>
        <w:trPr>
          <w:trHeight w:val="20"/>
        </w:trPr>
        <w:tc>
          <w:tcPr>
            <w:tcW w:w="1840" w:type="dxa"/>
            <w:vAlign w:val="bottom"/>
          </w:tcPr>
          <w:p>
            <w:pPr>
              <w:spacing w:after="0" w:line="20" w:lineRule="exact"/>
              <w:rPr>
                <w:sz w:val="1"/>
                <w:szCs w:val="1"/>
                <w:color w:val="auto"/>
              </w:rPr>
            </w:pPr>
          </w:p>
        </w:tc>
        <w:tc>
          <w:tcPr>
            <w:tcW w:w="23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540" w:type="dxa"/>
            <w:vAlign w:val="bottom"/>
          </w:tcPr>
          <w:p>
            <w:pPr>
              <w:spacing w:after="0" w:line="20" w:lineRule="exact"/>
              <w:rPr>
                <w:sz w:val="1"/>
                <w:szCs w:val="1"/>
                <w:color w:val="auto"/>
              </w:rPr>
            </w:pPr>
          </w:p>
        </w:tc>
      </w:tr>
    </w:tbl>
    <w:p>
      <w:pPr>
        <w:spacing w:after="0" w:line="10" w:lineRule="exact"/>
        <w:rPr>
          <w:sz w:val="20"/>
          <w:szCs w:val="20"/>
          <w:color w:val="auto"/>
        </w:rPr>
      </w:pPr>
    </w:p>
    <w:p>
      <w:pPr>
        <w:ind w:right="200"/>
        <w:spacing w:after="0" w:line="243" w:lineRule="auto"/>
        <w:rPr>
          <w:sz w:val="20"/>
          <w:szCs w:val="20"/>
          <w:color w:val="auto"/>
        </w:rPr>
      </w:pPr>
      <w:r>
        <w:rPr>
          <w:rFonts w:ascii="Arial" w:cs="Arial" w:eastAsia="Arial" w:hAnsi="Arial"/>
          <w:sz w:val="20"/>
          <w:szCs w:val="20"/>
          <w:color w:val="auto"/>
        </w:rPr>
        <w:t>Documents, to perform its obligations under each of the Transaction Documents and to consummate the Transactions. The execution and delivery of the Transaction Documents by Acquiror and the consummation of the Transactions have been duly authorized by all necessary corporate action on the part of Acquiror. Each of the Transaction Documents has been duly authorized, executed and delivered by Acquiror and, assuming due authorization, execution and delivery by the Seller, constitute the valid and binding obligations of Acquiror, enforceable against each of them in accordance with its terms, except as such enforceability may be limited by (a) bankruptcy, insolvency, reorganization, moratorium or other similar Laws affecting or relating to creditors’ rights generally, and (b) the availability of injunctive relief and other equitable remedies.</w:t>
      </w:r>
    </w:p>
    <w:p>
      <w:pPr>
        <w:spacing w:after="0" w:line="193" w:lineRule="exact"/>
        <w:rPr>
          <w:sz w:val="20"/>
          <w:szCs w:val="20"/>
          <w:color w:val="auto"/>
        </w:rPr>
      </w:pPr>
    </w:p>
    <w:p>
      <w:pPr>
        <w:ind w:right="40" w:firstLine="846"/>
        <w:spacing w:after="0" w:line="250" w:lineRule="auto"/>
        <w:rPr>
          <w:sz w:val="20"/>
          <w:szCs w:val="20"/>
          <w:color w:val="auto"/>
        </w:rPr>
      </w:pPr>
      <w:r>
        <w:rPr>
          <w:rFonts w:ascii="Arial" w:cs="Arial" w:eastAsia="Arial" w:hAnsi="Arial"/>
          <w:sz w:val="20"/>
          <w:szCs w:val="20"/>
          <w:color w:val="auto"/>
        </w:rPr>
        <w:t xml:space="preserve">5.3 </w:t>
      </w:r>
      <w:r>
        <w:rPr>
          <w:rFonts w:ascii="Arial" w:cs="Arial" w:eastAsia="Arial" w:hAnsi="Arial"/>
          <w:sz w:val="20"/>
          <w:szCs w:val="20"/>
          <w:u w:val="single" w:color="auto"/>
          <w:color w:val="auto"/>
        </w:rPr>
        <w:t>Financial Capability</w:t>
      </w:r>
      <w:r>
        <w:rPr>
          <w:rFonts w:ascii="Arial" w:cs="Arial" w:eastAsia="Arial" w:hAnsi="Arial"/>
          <w:sz w:val="20"/>
          <w:szCs w:val="20"/>
          <w:color w:val="auto"/>
        </w:rPr>
        <w:t>. Acquiror has, and at the Closing will have, sufficient internal funds (without giving effect to any unfunded financing regardless of whether any such financing is committed) available to pay the Base Purchase Price and any expenses incurred by Acquiror in connection with the Transactions.</w:t>
      </w:r>
    </w:p>
    <w:p>
      <w:pPr>
        <w:spacing w:after="0" w:line="186" w:lineRule="exact"/>
        <w:rPr>
          <w:sz w:val="20"/>
          <w:szCs w:val="20"/>
          <w:color w:val="auto"/>
        </w:rPr>
      </w:pPr>
    </w:p>
    <w:p>
      <w:pPr>
        <w:ind w:right="100" w:firstLine="846"/>
        <w:spacing w:after="0" w:line="250" w:lineRule="auto"/>
        <w:rPr>
          <w:sz w:val="20"/>
          <w:szCs w:val="20"/>
          <w:color w:val="auto"/>
        </w:rPr>
      </w:pPr>
      <w:r>
        <w:rPr>
          <w:rFonts w:ascii="Arial" w:cs="Arial" w:eastAsia="Arial" w:hAnsi="Arial"/>
          <w:sz w:val="20"/>
          <w:szCs w:val="20"/>
          <w:color w:val="auto"/>
        </w:rPr>
        <w:t xml:space="preserve">5.4 </w:t>
      </w:r>
      <w:r>
        <w:rPr>
          <w:rFonts w:ascii="Arial" w:cs="Arial" w:eastAsia="Arial" w:hAnsi="Arial"/>
          <w:sz w:val="20"/>
          <w:szCs w:val="20"/>
          <w:u w:val="single" w:color="auto"/>
          <w:color w:val="auto"/>
        </w:rPr>
        <w:t>Litigation</w:t>
      </w:r>
      <w:r>
        <w:rPr>
          <w:rFonts w:ascii="Arial" w:cs="Arial" w:eastAsia="Arial" w:hAnsi="Arial"/>
          <w:sz w:val="20"/>
          <w:szCs w:val="20"/>
          <w:color w:val="auto"/>
        </w:rPr>
        <w:t>. There is no Action pending or, to the knowledge of Acquiror, threatened against Acquiror, that challenges or seeks to prevent, enjoin or otherwise delay the Transactions. To the knowledge of Acquiror, no event has occurred or circumstances exist that may give rise or serve as a basis for any such Action.</w:t>
      </w:r>
    </w:p>
    <w:p>
      <w:pPr>
        <w:spacing w:after="0" w:line="180" w:lineRule="exact"/>
        <w:rPr>
          <w:sz w:val="20"/>
          <w:szCs w:val="20"/>
          <w:color w:val="auto"/>
        </w:rPr>
      </w:pPr>
    </w:p>
    <w:tbl>
      <w:tblPr>
        <w:tblLayout w:type="fixed"/>
        <w:tblInd w:w="860" w:type="dxa"/>
        <w:tblCellMar>
          <w:top w:w="0" w:type="dxa"/>
          <w:left w:w="0" w:type="dxa"/>
          <w:bottom w:w="0" w:type="dxa"/>
          <w:right w:w="0" w:type="dxa"/>
        </w:tblCellMar>
      </w:tblPr>
      <w:tr>
        <w:trPr>
          <w:trHeight w:val="256"/>
        </w:trPr>
        <w:tc>
          <w:tcPr>
            <w:tcW w:w="620" w:type="dxa"/>
            <w:vAlign w:val="bottom"/>
          </w:tcPr>
          <w:p>
            <w:pPr>
              <w:spacing w:after="0"/>
              <w:rPr>
                <w:sz w:val="22"/>
                <w:szCs w:val="22"/>
                <w:color w:val="auto"/>
              </w:rPr>
            </w:pPr>
          </w:p>
        </w:tc>
        <w:tc>
          <w:tcPr>
            <w:tcW w:w="9900" w:type="dxa"/>
            <w:vAlign w:val="bottom"/>
          </w:tcPr>
          <w:p>
            <w:pPr>
              <w:ind w:left="2260"/>
              <w:spacing w:after="0"/>
              <w:rPr>
                <w:sz w:val="20"/>
                <w:szCs w:val="20"/>
                <w:color w:val="auto"/>
              </w:rPr>
            </w:pPr>
            <w:r>
              <w:rPr>
                <w:rFonts w:ascii="Arial" w:cs="Arial" w:eastAsia="Arial" w:hAnsi="Arial"/>
                <w:sz w:val="20"/>
                <w:szCs w:val="20"/>
                <w:b w:val="1"/>
                <w:bCs w:val="1"/>
                <w:color w:val="auto"/>
              </w:rPr>
              <w:t>ARTICLE 6 COVENANTS OF THE SELLER</w:t>
            </w:r>
          </w:p>
        </w:tc>
      </w:tr>
      <w:tr>
        <w:trPr>
          <w:trHeight w:val="441"/>
        </w:trPr>
        <w:tc>
          <w:tcPr>
            <w:tcW w:w="620" w:type="dxa"/>
            <w:vAlign w:val="bottom"/>
          </w:tcPr>
          <w:p>
            <w:pPr>
              <w:jc w:val="right"/>
              <w:ind w:right="281"/>
              <w:spacing w:after="0"/>
              <w:rPr>
                <w:sz w:val="20"/>
                <w:szCs w:val="20"/>
                <w:color w:val="auto"/>
              </w:rPr>
            </w:pPr>
            <w:r>
              <w:rPr>
                <w:rFonts w:ascii="Arial" w:cs="Arial" w:eastAsia="Arial" w:hAnsi="Arial"/>
                <w:sz w:val="20"/>
                <w:szCs w:val="20"/>
                <w:color w:val="auto"/>
                <w:w w:val="78"/>
              </w:rPr>
              <w:t>6.1</w:t>
            </w:r>
          </w:p>
        </w:tc>
        <w:tc>
          <w:tcPr>
            <w:tcW w:w="9900" w:type="dxa"/>
            <w:vAlign w:val="bottom"/>
          </w:tcPr>
          <w:p>
            <w:pPr>
              <w:ind w:left="360"/>
              <w:spacing w:after="0"/>
              <w:rPr>
                <w:sz w:val="20"/>
                <w:szCs w:val="20"/>
                <w:color w:val="auto"/>
              </w:rPr>
            </w:pPr>
            <w:r>
              <w:rPr>
                <w:rFonts w:ascii="Arial" w:cs="Arial" w:eastAsia="Arial" w:hAnsi="Arial"/>
                <w:sz w:val="20"/>
                <w:szCs w:val="20"/>
                <w:u w:val="single" w:color="auto"/>
                <w:color w:val="auto"/>
                <w:w w:val="90"/>
              </w:rPr>
              <w:t>Access to Information</w:t>
            </w:r>
            <w:r>
              <w:rPr>
                <w:rFonts w:ascii="Arial" w:cs="Arial" w:eastAsia="Arial" w:hAnsi="Arial"/>
                <w:sz w:val="20"/>
                <w:szCs w:val="20"/>
                <w:color w:val="auto"/>
                <w:w w:val="90"/>
              </w:rPr>
              <w:t>. Prior to the Closing and subject to the terms of the Confidentiality Agreement, Seller shall afford</w:t>
            </w:r>
          </w:p>
        </w:tc>
      </w:tr>
    </w:tbl>
    <w:p>
      <w:pPr>
        <w:spacing w:after="0"/>
        <w:rPr>
          <w:sz w:val="20"/>
          <w:szCs w:val="20"/>
          <w:color w:val="auto"/>
        </w:rPr>
      </w:pPr>
      <w:r>
        <w:rPr>
          <w:rFonts w:ascii="Arial" w:cs="Arial" w:eastAsia="Arial" w:hAnsi="Arial"/>
          <w:sz w:val="20"/>
          <w:szCs w:val="20"/>
          <w:color w:val="auto"/>
        </w:rPr>
        <w:t>to Acquiror’s officers, directors, employees, accountants, counsel, consultants, advisors and agents (“</w:t>
      </w:r>
      <w:r>
        <w:rPr>
          <w:rFonts w:ascii="Arial" w:cs="Arial" w:eastAsia="Arial" w:hAnsi="Arial"/>
          <w:sz w:val="20"/>
          <w:szCs w:val="20"/>
          <w:b w:val="1"/>
          <w:bCs w:val="1"/>
          <w:color w:val="auto"/>
        </w:rPr>
        <w:t>Representatives</w:t>
      </w:r>
      <w:r>
        <w:rPr>
          <w:rFonts w:ascii="Arial" w:cs="Arial" w:eastAsia="Arial" w:hAnsi="Arial"/>
          <w:sz w:val="20"/>
          <w:szCs w:val="20"/>
          <w:color w:val="auto"/>
        </w:rPr>
        <w:t>”) reasonable access, during normal business hours and upon reasonable advance notice, to all of the assets and records, reports, contracts and other documents related to the Purchased Assets as the Acquiror and its Representatives may reasonably request, and shall permit them to consult with Seller’s officers, employees, accountants, counsel and agents for the purpose of making such investigation of the acquired Purchased Assets as Acquiror shall desire to make.</w:t>
      </w: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15</w:t>
      </w:r>
    </w:p>
    <w:p>
      <w:pPr>
        <w:spacing w:after="0" w:line="10" w:lineRule="exact"/>
        <w:rPr>
          <w:sz w:val="20"/>
          <w:szCs w:val="20"/>
          <w:color w:val="auto"/>
        </w:rPr>
      </w:pPr>
    </w:p>
    <w:p>
      <w:pPr>
        <w:ind w:right="40" w:firstLine="8"/>
        <w:spacing w:after="0" w:line="237" w:lineRule="auto"/>
        <w:tabs>
          <w:tab w:leader="none" w:pos="204" w:val="left"/>
        </w:tabs>
        <w:numPr>
          <w:ilvl w:val="0"/>
          <w:numId w:val="90"/>
        </w:numPr>
        <w:rPr>
          <w:rFonts w:ascii="Arial" w:cs="Arial" w:eastAsia="Arial" w:hAnsi="Arial"/>
          <w:sz w:val="14"/>
          <w:szCs w:val="14"/>
          <w:color w:val="auto"/>
        </w:rPr>
      </w:pPr>
      <w:r>
        <w:rPr>
          <w:rFonts w:ascii="Arial" w:cs="Arial" w:eastAsia="Arial" w:hAnsi="Arial"/>
          <w:sz w:val="14"/>
          <w:szCs w:val="14"/>
          <w:color w:val="auto"/>
        </w:rPr>
        <w:t>DESIGNATES PORTIONS OF THIS DOCUMENT THAT HAVE BEEN OMITTED PURSUANT TO A REQUEST FOR CONFIDENTIAL TREATMENT FILED SEPARATELY WITH THE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46990</wp:posOffset>
            </wp:positionV>
            <wp:extent cx="7289165"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62" w:right="239" w:bottom="1440" w:gutter="0" w:footer="0" w:header="0"/>
        </w:sectPr>
      </w:pPr>
    </w:p>
    <w:bookmarkStart w:id="79" w:name="page80"/>
    <w:bookmarkEnd w:id="79"/>
    <w:p>
      <w:pPr>
        <w:ind w:right="40" w:firstLine="846"/>
        <w:spacing w:after="0" w:line="271" w:lineRule="auto"/>
        <w:rPr>
          <w:sz w:val="20"/>
          <w:szCs w:val="20"/>
          <w:color w:val="auto"/>
        </w:rPr>
      </w:pPr>
      <w:r>
        <w:rPr>
          <w:rFonts w:ascii="Arial" w:cs="Arial" w:eastAsia="Arial" w:hAnsi="Arial"/>
          <w:sz w:val="18"/>
          <w:szCs w:val="18"/>
          <w:color w:val="auto"/>
        </w:rPr>
        <w:t xml:space="preserve">6.2 </w:t>
      </w:r>
      <w:r>
        <w:rPr>
          <w:rFonts w:ascii="Arial" w:cs="Arial" w:eastAsia="Arial" w:hAnsi="Arial"/>
          <w:sz w:val="18"/>
          <w:szCs w:val="18"/>
          <w:u w:val="single" w:color="auto"/>
          <w:color w:val="auto"/>
        </w:rPr>
        <w:t>Notification of Certain Matters</w:t>
      </w:r>
      <w:r>
        <w:rPr>
          <w:rFonts w:ascii="Arial" w:cs="Arial" w:eastAsia="Arial" w:hAnsi="Arial"/>
          <w:sz w:val="18"/>
          <w:szCs w:val="18"/>
          <w:color w:val="auto"/>
        </w:rPr>
        <w:t xml:space="preserve">. Prior to the Closing, Seller shall give prompt notice to Acquiror of any fact, event or circumstance known to it that (a) individually or taken together with all other facts, events and circumstances known to it, has had or would reasonably be expected to have, individually or in the aggregate, a Compound Material Adverse Effect, or (b) would cause or constitute a failure of any condition precedent to Acquiror’s obligations set forth in this agreement. Seller shall give prompt notice to Acquiror of: (i) any notice or other communication from any Third Party alleging that the consent of such Third Party is or may be required in connection with the Transactions, or (ii) any written notice or other written communication received by the Seller from any Governmental Entity in connection with the Transactions. The delivery of any notice pursuant to this </w:t>
      </w:r>
      <w:r>
        <w:rPr>
          <w:rFonts w:ascii="Arial" w:cs="Arial" w:eastAsia="Arial" w:hAnsi="Arial"/>
          <w:sz w:val="18"/>
          <w:szCs w:val="18"/>
          <w:u w:val="single" w:color="auto"/>
          <w:color w:val="auto"/>
        </w:rPr>
        <w:t>Section 6.2</w:t>
      </w:r>
      <w:r>
        <w:rPr>
          <w:rFonts w:ascii="Arial" w:cs="Arial" w:eastAsia="Arial" w:hAnsi="Arial"/>
          <w:sz w:val="18"/>
          <w:szCs w:val="18"/>
          <w:color w:val="auto"/>
        </w:rPr>
        <w:t xml:space="preserve"> shall not be considered an admission that any representation or warranty is untrue or that any covenant has been breached and shall not limit or otherwise affect any remedies available to Acquiror or prevent or cure any misrepresentations, breach of warranty or breach of covenant, and disclosure by the Seller shall not be deemed to amend or supplement the schedules hereto or constitute an exception to any representation or warranty.</w:t>
      </w:r>
    </w:p>
    <w:p>
      <w:pPr>
        <w:spacing w:after="0" w:line="175" w:lineRule="exact"/>
        <w:rPr>
          <w:sz w:val="20"/>
          <w:szCs w:val="20"/>
          <w:color w:val="auto"/>
        </w:rPr>
      </w:pPr>
    </w:p>
    <w:p>
      <w:pPr>
        <w:ind w:left="860"/>
        <w:spacing w:after="0"/>
        <w:tabs>
          <w:tab w:leader="none" w:pos="1820" w:val="left"/>
        </w:tabs>
        <w:rPr>
          <w:sz w:val="20"/>
          <w:szCs w:val="20"/>
          <w:color w:val="auto"/>
        </w:rPr>
      </w:pPr>
      <w:r>
        <w:rPr>
          <w:rFonts w:ascii="Arial" w:cs="Arial" w:eastAsia="Arial" w:hAnsi="Arial"/>
          <w:sz w:val="20"/>
          <w:szCs w:val="20"/>
          <w:color w:val="auto"/>
        </w:rPr>
        <w:t>6.3</w:t>
      </w:r>
      <w:r>
        <w:rPr>
          <w:sz w:val="20"/>
          <w:szCs w:val="20"/>
          <w:color w:val="auto"/>
        </w:rPr>
        <w:tab/>
      </w:r>
      <w:r>
        <w:rPr>
          <w:rFonts w:ascii="Arial" w:cs="Arial" w:eastAsia="Arial" w:hAnsi="Arial"/>
          <w:sz w:val="18"/>
          <w:szCs w:val="18"/>
          <w:u w:val="single" w:color="auto"/>
          <w:color w:val="auto"/>
        </w:rPr>
        <w:t>Actions Prior to Closing</w:t>
      </w:r>
      <w:r>
        <w:rPr>
          <w:rFonts w:ascii="Arial" w:cs="Arial" w:eastAsia="Arial" w:hAnsi="Arial"/>
          <w:sz w:val="18"/>
          <w:szCs w:val="18"/>
          <w:color w:val="auto"/>
        </w:rPr>
        <w:t>.</w:t>
      </w:r>
    </w:p>
    <w:p>
      <w:pPr>
        <w:spacing w:after="0" w:line="216" w:lineRule="exact"/>
        <w:rPr>
          <w:sz w:val="20"/>
          <w:szCs w:val="20"/>
          <w:color w:val="auto"/>
        </w:rPr>
      </w:pPr>
    </w:p>
    <w:p>
      <w:pPr>
        <w:ind w:firstLine="1690"/>
        <w:spacing w:after="0" w:line="256" w:lineRule="auto"/>
        <w:rPr>
          <w:sz w:val="20"/>
          <w:szCs w:val="20"/>
          <w:color w:val="auto"/>
        </w:rPr>
      </w:pPr>
      <w:r>
        <w:rPr>
          <w:rFonts w:ascii="Arial" w:cs="Arial" w:eastAsia="Arial" w:hAnsi="Arial"/>
          <w:sz w:val="19"/>
          <w:szCs w:val="19"/>
          <w:color w:val="auto"/>
        </w:rPr>
        <w:t xml:space="preserve">6.3.1 </w:t>
      </w:r>
      <w:r>
        <w:rPr>
          <w:rFonts w:ascii="Arial" w:cs="Arial" w:eastAsia="Arial" w:hAnsi="Arial"/>
          <w:sz w:val="19"/>
          <w:szCs w:val="19"/>
          <w:u w:val="single" w:color="auto"/>
          <w:color w:val="auto"/>
        </w:rPr>
        <w:t>Status Quo</w:t>
      </w:r>
      <w:r>
        <w:rPr>
          <w:rFonts w:ascii="Arial" w:cs="Arial" w:eastAsia="Arial" w:hAnsi="Arial"/>
          <w:sz w:val="19"/>
          <w:szCs w:val="19"/>
          <w:color w:val="auto"/>
        </w:rPr>
        <w:t>. Prior to Closing, Seller shall cause all registration, maintenance and renewal fees and any certifications, filings or registrations related to Seller Registered IPR and due prior to Closing to be paid, prepared and/or filed, as the case may be, with the relevant Governmental Entity or other authorities in the United States or foreign jurisdictions, as the case may be, for the purposes of maintaining the Seller Registered IPR and perfecting Seller’s ownership interests therein. Prior to Closing, Seller shall take or cause to be taken at its expense all other [†] actions necessary to maintain the Purchased Assets, and shall continue to conduct its business in the ordinary course, consistent with past practice. Without limiting the generality of the foregoing, prior to Closing, Seller shall not take any of the following actions in connection with the Purchased Assets: (1) sell, lease, license or otherwise dispose of any Purchased Asset; (2) enter into, cancel or modify any Inbound License or Outbound License; (3) grant or permit to exist any Encumbrance on any of the Purchased Assets; or (4) agree to any of the foregoing actions.</w:t>
      </w:r>
    </w:p>
    <w:p>
      <w:pPr>
        <w:spacing w:after="0" w:line="185" w:lineRule="exact"/>
        <w:rPr>
          <w:sz w:val="20"/>
          <w:szCs w:val="20"/>
          <w:color w:val="auto"/>
        </w:rPr>
      </w:pPr>
    </w:p>
    <w:p>
      <w:pPr>
        <w:ind w:left="1700"/>
        <w:spacing w:after="0"/>
        <w:tabs>
          <w:tab w:leader="none" w:pos="2560" w:val="left"/>
        </w:tabs>
        <w:rPr>
          <w:sz w:val="20"/>
          <w:szCs w:val="20"/>
          <w:color w:val="auto"/>
        </w:rPr>
      </w:pPr>
      <w:r>
        <w:rPr>
          <w:rFonts w:ascii="Arial" w:cs="Arial" w:eastAsia="Arial" w:hAnsi="Arial"/>
          <w:sz w:val="20"/>
          <w:szCs w:val="20"/>
          <w:color w:val="auto"/>
        </w:rPr>
        <w:t>6.3.2</w:t>
      </w:r>
      <w:r>
        <w:rPr>
          <w:sz w:val="20"/>
          <w:szCs w:val="20"/>
          <w:color w:val="auto"/>
        </w:rPr>
        <w:tab/>
      </w:r>
      <w:r>
        <w:rPr>
          <w:rFonts w:ascii="Arial" w:cs="Arial" w:eastAsia="Arial" w:hAnsi="Arial"/>
          <w:sz w:val="19"/>
          <w:szCs w:val="19"/>
          <w:u w:val="single" w:color="auto"/>
          <w:color w:val="auto"/>
        </w:rPr>
        <w:t>Exclusivity</w:t>
      </w:r>
      <w:r>
        <w:rPr>
          <w:rFonts w:ascii="Arial" w:cs="Arial" w:eastAsia="Arial" w:hAnsi="Arial"/>
          <w:sz w:val="19"/>
          <w:szCs w:val="19"/>
          <w:color w:val="auto"/>
        </w:rPr>
        <w:t>. [†].</w:t>
      </w:r>
    </w:p>
    <w:p>
      <w:pPr>
        <w:spacing w:after="0" w:line="216" w:lineRule="exact"/>
        <w:rPr>
          <w:sz w:val="20"/>
          <w:szCs w:val="20"/>
          <w:color w:val="auto"/>
        </w:rPr>
      </w:pPr>
    </w:p>
    <w:p>
      <w:pPr>
        <w:ind w:right="100" w:firstLine="846"/>
        <w:spacing w:after="0" w:line="274" w:lineRule="auto"/>
        <w:rPr>
          <w:sz w:val="20"/>
          <w:szCs w:val="20"/>
          <w:color w:val="auto"/>
        </w:rPr>
      </w:pPr>
      <w:r>
        <w:rPr>
          <w:rFonts w:ascii="Arial" w:cs="Arial" w:eastAsia="Arial" w:hAnsi="Arial"/>
          <w:sz w:val="18"/>
          <w:szCs w:val="18"/>
          <w:color w:val="auto"/>
        </w:rPr>
        <w:t xml:space="preserve">6.4 </w:t>
      </w:r>
      <w:r>
        <w:rPr>
          <w:rFonts w:ascii="Arial" w:cs="Arial" w:eastAsia="Arial" w:hAnsi="Arial"/>
          <w:sz w:val="18"/>
          <w:szCs w:val="18"/>
          <w:u w:val="single" w:color="auto"/>
          <w:color w:val="auto"/>
        </w:rPr>
        <w:t>Efforts and Actions to Cause Closing to Occur</w:t>
      </w:r>
      <w:r>
        <w:rPr>
          <w:rFonts w:ascii="Arial" w:cs="Arial" w:eastAsia="Arial" w:hAnsi="Arial"/>
          <w:sz w:val="18"/>
          <w:szCs w:val="18"/>
          <w:color w:val="auto"/>
        </w:rPr>
        <w:t xml:space="preserve">. Prior to the Closing, upon the terms and subject to the conditions of this Agreement, Acquiror and Seller shall use [†] to take, or cause to be taken, all actions, and to do, or cause to be done, and cooperate with each other in order to do, all things necessary, proper or advisable (subject to applicable Law) to consummate the Transactions as promptly as practicable, including the matters described in </w:t>
      </w:r>
      <w:r>
        <w:rPr>
          <w:rFonts w:ascii="Arial" w:cs="Arial" w:eastAsia="Arial" w:hAnsi="Arial"/>
          <w:sz w:val="18"/>
          <w:szCs w:val="18"/>
          <w:u w:val="single" w:color="auto"/>
          <w:color w:val="auto"/>
        </w:rPr>
        <w:t>7.5</w:t>
      </w:r>
      <w:r>
        <w:rPr>
          <w:rFonts w:ascii="Arial" w:cs="Arial" w:eastAsia="Arial" w:hAnsi="Arial"/>
          <w:sz w:val="18"/>
          <w:szCs w:val="18"/>
          <w:color w:val="auto"/>
        </w:rPr>
        <w:t xml:space="preserve"> hereof and the preparation and filing of all forms, registrations and notices required to be filed and the taking of such actions as are necessary to obtain any requisite consents of any Governmental Entity or other Person. In addition, no party hereto shall take any action that could reasonably be expected to materially delay the obtaining of, or result in not obtaining, any consent from any Governmental Entity or other Person required to be obtained prior to the Closing.</w:t>
      </w: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16</w:t>
      </w:r>
    </w:p>
    <w:p>
      <w:pPr>
        <w:spacing w:after="0" w:line="10" w:lineRule="exact"/>
        <w:rPr>
          <w:sz w:val="20"/>
          <w:szCs w:val="20"/>
          <w:color w:val="auto"/>
        </w:rPr>
      </w:pPr>
    </w:p>
    <w:p>
      <w:pPr>
        <w:ind w:right="40" w:firstLine="8"/>
        <w:spacing w:after="0" w:line="237" w:lineRule="auto"/>
        <w:tabs>
          <w:tab w:leader="none" w:pos="204" w:val="left"/>
        </w:tabs>
        <w:numPr>
          <w:ilvl w:val="0"/>
          <w:numId w:val="91"/>
        </w:numPr>
        <w:rPr>
          <w:rFonts w:ascii="Arial" w:cs="Arial" w:eastAsia="Arial" w:hAnsi="Arial"/>
          <w:sz w:val="14"/>
          <w:szCs w:val="14"/>
          <w:color w:val="auto"/>
        </w:rPr>
      </w:pPr>
      <w:r>
        <w:rPr>
          <w:rFonts w:ascii="Arial" w:cs="Arial" w:eastAsia="Arial" w:hAnsi="Arial"/>
          <w:sz w:val="14"/>
          <w:szCs w:val="14"/>
          <w:color w:val="auto"/>
        </w:rPr>
        <w:t>DESIGNATES PORTIONS OF THIS DOCUMENT THAT HAVE BEEN OMITTED PURSUANT TO A REQUEST FOR CONFIDENTIAL TREATMENT FILED SEPARATELY WITH THE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46990</wp:posOffset>
            </wp:positionV>
            <wp:extent cx="7289165"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68" w:right="239" w:bottom="1440" w:gutter="0" w:footer="0" w:header="0"/>
        </w:sectPr>
      </w:pPr>
    </w:p>
    <w:bookmarkStart w:id="80" w:name="page81"/>
    <w:bookmarkEnd w:id="80"/>
    <w:p>
      <w:pPr>
        <w:ind w:firstLine="846"/>
        <w:spacing w:after="0" w:line="268" w:lineRule="auto"/>
        <w:rPr>
          <w:sz w:val="20"/>
          <w:szCs w:val="20"/>
          <w:color w:val="auto"/>
        </w:rPr>
      </w:pPr>
      <w:r>
        <w:rPr>
          <w:rFonts w:ascii="Arial" w:cs="Arial" w:eastAsia="Arial" w:hAnsi="Arial"/>
          <w:sz w:val="18"/>
          <w:szCs w:val="18"/>
          <w:color w:val="auto"/>
        </w:rPr>
        <w:t xml:space="preserve">6.5 </w:t>
      </w:r>
      <w:r>
        <w:rPr>
          <w:rFonts w:ascii="Arial" w:cs="Arial" w:eastAsia="Arial" w:hAnsi="Arial"/>
          <w:sz w:val="18"/>
          <w:szCs w:val="18"/>
          <w:u w:val="single" w:color="auto"/>
          <w:color w:val="auto"/>
        </w:rPr>
        <w:t>Confidentiality</w:t>
      </w:r>
      <w:r>
        <w:rPr>
          <w:rFonts w:ascii="Arial" w:cs="Arial" w:eastAsia="Arial" w:hAnsi="Arial"/>
          <w:sz w:val="18"/>
          <w:szCs w:val="18"/>
          <w:color w:val="auto"/>
        </w:rPr>
        <w:t>. Following the Closing, each party hereto shall, and shall cause its Affiliates and Representatives to, hold in strict confidence and not utilize in its respective business any information and documents concerning any other party hereto or any of its respective Affiliates or its or their businesses or confidential or proprietary information (“</w:t>
      </w:r>
      <w:r>
        <w:rPr>
          <w:rFonts w:ascii="Arial" w:cs="Arial" w:eastAsia="Arial" w:hAnsi="Arial"/>
          <w:sz w:val="18"/>
          <w:szCs w:val="18"/>
          <w:b w:val="1"/>
          <w:bCs w:val="1"/>
          <w:color w:val="auto"/>
        </w:rPr>
        <w:t>Confidential Information</w:t>
      </w:r>
      <w:r>
        <w:rPr>
          <w:rFonts w:ascii="Arial" w:cs="Arial" w:eastAsia="Arial" w:hAnsi="Arial"/>
          <w:sz w:val="18"/>
          <w:szCs w:val="18"/>
          <w:color w:val="auto"/>
        </w:rPr>
        <w:t xml:space="preserve">”). Notwithstanding anything herein or in the Confidentiality Agreement to the contrary, Acquiror’s Confidential Information includes all confidential or proprietary documents or information regarding the Purchased Assets in the possession of Seller and its Affiliates, even though such documents and information were first developed by, made known to, or obtained from, Seller and its Affiliates. In the event a party is required to disclose Confidential Information to comply with any applicable Law, the party proposing to disclose such information shall give the original disclosing party with respect to whom such information is Confidential Information reasonable advance notice of such disclosure (to the extent not prohibited by applicable Law) and to cooperate with such disclosing party in seeking a protective order or other appropriate means for limiting the scope of the disclosure. Notwithstanding the foregoing, the following will not constitute “Confidential Information” for purposes of this Agreement: (a) other than confidential or proprietary documents and information regarding the Purchased Assets, (i) information that is independently developed by the receiving party or any Affiliate thereof without the use of the Confidential Information, as demonstrated by the receiving party’s contemporaneous written records, and (ii) information that the receiving party can demonstrate is obtained or was previously obtained by the receiving party or its Affiliates from a third party who is not known by the receiving party after due inquiry to be subject to obligations of confidentiality with respect thereto, and (b) information that the receiving party can demonstrate is or becomes generally available to the public other than as the result of a disclosure by the receiving party or any Affiliate thereof or their respective agents or employees. Following the Closing, the foregoing restrictions in this </w:t>
      </w:r>
      <w:r>
        <w:rPr>
          <w:rFonts w:ascii="Arial" w:cs="Arial" w:eastAsia="Arial" w:hAnsi="Arial"/>
          <w:sz w:val="18"/>
          <w:szCs w:val="18"/>
          <w:u w:val="single" w:color="auto"/>
          <w:color w:val="auto"/>
        </w:rPr>
        <w:t>Section 6.5</w:t>
      </w:r>
      <w:r>
        <w:rPr>
          <w:rFonts w:ascii="Arial" w:cs="Arial" w:eastAsia="Arial" w:hAnsi="Arial"/>
          <w:sz w:val="18"/>
          <w:szCs w:val="18"/>
          <w:color w:val="auto"/>
        </w:rPr>
        <w:t xml:space="preserve"> shall not apply to the use by Acquiror or its Affiliates and its or their successors, assigns and Representatives, and shall apply to the use by Seller and its Affiliates and its or their successors, assigns and Representatives, of any documents or information concerning the Compound or the Purchased Assets furnished or transferred by Seller or its Affiliates hereunder.</w:t>
      </w:r>
    </w:p>
    <w:p>
      <w:pPr>
        <w:spacing w:after="0" w:line="200" w:lineRule="exact"/>
        <w:rPr>
          <w:sz w:val="20"/>
          <w:szCs w:val="20"/>
          <w:color w:val="auto"/>
        </w:rPr>
      </w:pPr>
    </w:p>
    <w:p>
      <w:pPr>
        <w:spacing w:after="0" w:line="210" w:lineRule="exact"/>
        <w:rPr>
          <w:sz w:val="20"/>
          <w:szCs w:val="20"/>
          <w:color w:val="auto"/>
        </w:rPr>
      </w:pPr>
    </w:p>
    <w:tbl>
      <w:tblPr>
        <w:tblLayout w:type="fixed"/>
        <w:tblInd w:w="860" w:type="dxa"/>
        <w:tblCellMar>
          <w:top w:w="0" w:type="dxa"/>
          <w:left w:w="0" w:type="dxa"/>
          <w:bottom w:w="0" w:type="dxa"/>
          <w:right w:w="0" w:type="dxa"/>
        </w:tblCellMar>
      </w:tblPr>
      <w:tr>
        <w:trPr>
          <w:trHeight w:val="256"/>
        </w:trPr>
        <w:tc>
          <w:tcPr>
            <w:tcW w:w="620" w:type="dxa"/>
            <w:vAlign w:val="bottom"/>
          </w:tcPr>
          <w:p>
            <w:pPr>
              <w:spacing w:after="0"/>
              <w:rPr>
                <w:sz w:val="22"/>
                <w:szCs w:val="22"/>
                <w:color w:val="auto"/>
              </w:rPr>
            </w:pPr>
          </w:p>
        </w:tc>
        <w:tc>
          <w:tcPr>
            <w:tcW w:w="9860" w:type="dxa"/>
            <w:vAlign w:val="bottom"/>
          </w:tcPr>
          <w:p>
            <w:pPr>
              <w:ind w:left="2680"/>
              <w:spacing w:after="0"/>
              <w:rPr>
                <w:sz w:val="20"/>
                <w:szCs w:val="20"/>
                <w:color w:val="auto"/>
              </w:rPr>
            </w:pPr>
            <w:r>
              <w:rPr>
                <w:rFonts w:ascii="Arial" w:cs="Arial" w:eastAsia="Arial" w:hAnsi="Arial"/>
                <w:sz w:val="20"/>
                <w:szCs w:val="20"/>
                <w:b w:val="1"/>
                <w:bCs w:val="1"/>
                <w:color w:val="auto"/>
              </w:rPr>
              <w:t>ARTICLE 7 OTHER COVENANTS</w:t>
            </w:r>
          </w:p>
        </w:tc>
      </w:tr>
      <w:tr>
        <w:trPr>
          <w:trHeight w:val="441"/>
        </w:trPr>
        <w:tc>
          <w:tcPr>
            <w:tcW w:w="620" w:type="dxa"/>
            <w:vAlign w:val="bottom"/>
          </w:tcPr>
          <w:p>
            <w:pPr>
              <w:jc w:val="right"/>
              <w:ind w:right="281"/>
              <w:spacing w:after="0"/>
              <w:rPr>
                <w:sz w:val="20"/>
                <w:szCs w:val="20"/>
                <w:color w:val="auto"/>
              </w:rPr>
            </w:pPr>
            <w:r>
              <w:rPr>
                <w:rFonts w:ascii="Arial" w:cs="Arial" w:eastAsia="Arial" w:hAnsi="Arial"/>
                <w:sz w:val="20"/>
                <w:szCs w:val="20"/>
                <w:color w:val="auto"/>
                <w:w w:val="78"/>
              </w:rPr>
              <w:t>7.1</w:t>
            </w:r>
          </w:p>
        </w:tc>
        <w:tc>
          <w:tcPr>
            <w:tcW w:w="9860" w:type="dxa"/>
            <w:vAlign w:val="bottom"/>
          </w:tcPr>
          <w:p>
            <w:pPr>
              <w:ind w:left="360"/>
              <w:spacing w:after="0"/>
              <w:rPr>
                <w:sz w:val="20"/>
                <w:szCs w:val="20"/>
                <w:color w:val="auto"/>
              </w:rPr>
            </w:pPr>
            <w:r>
              <w:rPr>
                <w:rFonts w:ascii="Arial" w:cs="Arial" w:eastAsia="Arial" w:hAnsi="Arial"/>
                <w:sz w:val="20"/>
                <w:szCs w:val="20"/>
                <w:u w:val="single" w:color="auto"/>
                <w:color w:val="auto"/>
                <w:w w:val="88"/>
              </w:rPr>
              <w:t>Public Announcements</w:t>
            </w:r>
            <w:r>
              <w:rPr>
                <w:rFonts w:ascii="Arial" w:cs="Arial" w:eastAsia="Arial" w:hAnsi="Arial"/>
                <w:sz w:val="20"/>
                <w:szCs w:val="20"/>
                <w:color w:val="auto"/>
                <w:w w:val="88"/>
              </w:rPr>
              <w:t>. Seller shall not issue any press release or make any public statement regarding the Transactions</w:t>
            </w:r>
          </w:p>
        </w:tc>
      </w:tr>
    </w:tbl>
    <w:p>
      <w:pPr>
        <w:ind w:right="20"/>
        <w:spacing w:after="0"/>
        <w:rPr>
          <w:sz w:val="20"/>
          <w:szCs w:val="20"/>
          <w:color w:val="auto"/>
        </w:rPr>
      </w:pPr>
      <w:r>
        <w:rPr>
          <w:rFonts w:ascii="Arial" w:cs="Arial" w:eastAsia="Arial" w:hAnsi="Arial"/>
          <w:sz w:val="20"/>
          <w:szCs w:val="20"/>
          <w:color w:val="auto"/>
        </w:rPr>
        <w:t xml:space="preserve">without the prior written consent of Acquiror. Acquiror and Seller shall not be restricted from making any disclosure it reasonably determines is required by Law, including, without limitation, disclosure required pursuant to the securities laws of the United States and Canada. Either party may make any disclosure, including public statements, consistent with disclosures previously made pursuant to this Section. Nothing in this </w:t>
      </w:r>
      <w:r>
        <w:rPr>
          <w:rFonts w:ascii="Arial" w:cs="Arial" w:eastAsia="Arial" w:hAnsi="Arial"/>
          <w:sz w:val="20"/>
          <w:szCs w:val="20"/>
          <w:u w:val="single" w:color="auto"/>
          <w:color w:val="auto"/>
        </w:rPr>
        <w:t>Section 7.1</w:t>
      </w:r>
      <w:r>
        <w:rPr>
          <w:rFonts w:ascii="Arial" w:cs="Arial" w:eastAsia="Arial" w:hAnsi="Arial"/>
          <w:sz w:val="20"/>
          <w:szCs w:val="20"/>
          <w:color w:val="auto"/>
        </w:rPr>
        <w:t xml:space="preserve"> shall restrict or otherwise limit the Acquiror’s ability or right to issue any press release or make any public statement after Closing regarding its operations or the Purchased Assets, including, among other things, the development and commercialization of the Compound; provided that Acquiror shall provide Seller an opportunity to review and comment on Acquiror’s initial press release announcing the Transaction.</w:t>
      </w:r>
    </w:p>
    <w:p>
      <w:pPr>
        <w:spacing w:after="0" w:line="197" w:lineRule="exact"/>
        <w:rPr>
          <w:sz w:val="20"/>
          <w:szCs w:val="20"/>
          <w:color w:val="auto"/>
        </w:rPr>
      </w:pPr>
    </w:p>
    <w:tbl>
      <w:tblPr>
        <w:tblLayout w:type="fixed"/>
        <w:tblInd w:w="860" w:type="dxa"/>
        <w:tblCellMar>
          <w:top w:w="0" w:type="dxa"/>
          <w:left w:w="0" w:type="dxa"/>
          <w:bottom w:w="0" w:type="dxa"/>
          <w:right w:w="0" w:type="dxa"/>
        </w:tblCellMar>
      </w:tblPr>
      <w:tr>
        <w:trPr>
          <w:trHeight w:val="250"/>
        </w:trPr>
        <w:tc>
          <w:tcPr>
            <w:tcW w:w="980" w:type="dxa"/>
            <w:vAlign w:val="bottom"/>
          </w:tcPr>
          <w:p>
            <w:pPr>
              <w:jc w:val="right"/>
              <w:ind w:right="641"/>
              <w:spacing w:after="0"/>
              <w:rPr>
                <w:sz w:val="20"/>
                <w:szCs w:val="20"/>
                <w:color w:val="auto"/>
              </w:rPr>
            </w:pPr>
            <w:r>
              <w:rPr>
                <w:rFonts w:ascii="Arial" w:cs="Arial" w:eastAsia="Arial" w:hAnsi="Arial"/>
                <w:sz w:val="20"/>
                <w:szCs w:val="20"/>
                <w:color w:val="auto"/>
                <w:w w:val="78"/>
              </w:rPr>
              <w:t>7.2</w:t>
            </w:r>
          </w:p>
        </w:tc>
        <w:tc>
          <w:tcPr>
            <w:tcW w:w="9260" w:type="dxa"/>
            <w:vAlign w:val="bottom"/>
            <w:gridSpan w:val="2"/>
          </w:tcPr>
          <w:p>
            <w:pPr>
              <w:spacing w:after="0"/>
              <w:rPr>
                <w:sz w:val="20"/>
                <w:szCs w:val="20"/>
                <w:color w:val="auto"/>
              </w:rPr>
            </w:pPr>
            <w:r>
              <w:rPr>
                <w:rFonts w:ascii="Arial" w:cs="Arial" w:eastAsia="Arial" w:hAnsi="Arial"/>
                <w:sz w:val="20"/>
                <w:szCs w:val="20"/>
                <w:color w:val="auto"/>
              </w:rPr>
              <w:t>[†]. Acquiror will [†].</w:t>
            </w:r>
          </w:p>
        </w:tc>
      </w:tr>
      <w:tr>
        <w:trPr>
          <w:trHeight w:val="401"/>
        </w:trPr>
        <w:tc>
          <w:tcPr>
            <w:tcW w:w="980" w:type="dxa"/>
            <w:vAlign w:val="bottom"/>
          </w:tcPr>
          <w:p>
            <w:pPr>
              <w:jc w:val="right"/>
              <w:ind w:right="641"/>
              <w:spacing w:after="0"/>
              <w:rPr>
                <w:sz w:val="20"/>
                <w:szCs w:val="20"/>
                <w:color w:val="auto"/>
              </w:rPr>
            </w:pPr>
            <w:r>
              <w:rPr>
                <w:rFonts w:ascii="Arial" w:cs="Arial" w:eastAsia="Arial" w:hAnsi="Arial"/>
                <w:sz w:val="20"/>
                <w:szCs w:val="20"/>
                <w:color w:val="auto"/>
                <w:w w:val="78"/>
              </w:rPr>
              <w:t>7.3</w:t>
            </w:r>
          </w:p>
        </w:tc>
        <w:tc>
          <w:tcPr>
            <w:tcW w:w="9260" w:type="dxa"/>
            <w:vAlign w:val="bottom"/>
            <w:gridSpan w:val="2"/>
          </w:tcPr>
          <w:p>
            <w:pPr>
              <w:spacing w:after="0"/>
              <w:rPr>
                <w:sz w:val="20"/>
                <w:szCs w:val="20"/>
                <w:color w:val="auto"/>
              </w:rPr>
            </w:pPr>
            <w:r>
              <w:rPr>
                <w:rFonts w:ascii="Arial" w:cs="Arial" w:eastAsia="Arial" w:hAnsi="Arial"/>
                <w:sz w:val="20"/>
                <w:szCs w:val="20"/>
                <w:color w:val="auto"/>
                <w:w w:val="88"/>
              </w:rPr>
              <w:t>Further Assurances. Upon the terms and subject to the conditions hereof each of the parties hereto shall execute such</w:t>
            </w:r>
          </w:p>
        </w:tc>
      </w:tr>
      <w:tr>
        <w:trPr>
          <w:trHeight w:val="20"/>
        </w:trPr>
        <w:tc>
          <w:tcPr>
            <w:tcW w:w="980" w:type="dxa"/>
            <w:vAlign w:val="bottom"/>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7720" w:type="dxa"/>
            <w:vAlign w:val="bottom"/>
          </w:tcPr>
          <w:p>
            <w:pPr>
              <w:spacing w:after="0" w:line="20" w:lineRule="exact"/>
              <w:rPr>
                <w:sz w:val="1"/>
                <w:szCs w:val="1"/>
                <w:color w:val="auto"/>
              </w:rPr>
            </w:pPr>
          </w:p>
        </w:tc>
      </w:tr>
    </w:tbl>
    <w:p>
      <w:pPr>
        <w:spacing w:after="0" w:line="10" w:lineRule="exact"/>
        <w:rPr>
          <w:sz w:val="20"/>
          <w:szCs w:val="20"/>
          <w:color w:val="auto"/>
        </w:rPr>
      </w:pPr>
    </w:p>
    <w:p>
      <w:pPr>
        <w:ind w:right="100"/>
        <w:spacing w:after="0" w:line="250" w:lineRule="auto"/>
        <w:rPr>
          <w:sz w:val="20"/>
          <w:szCs w:val="20"/>
          <w:color w:val="auto"/>
        </w:rPr>
      </w:pPr>
      <w:r>
        <w:rPr>
          <w:rFonts w:ascii="Arial" w:cs="Arial" w:eastAsia="Arial" w:hAnsi="Arial"/>
          <w:sz w:val="20"/>
          <w:szCs w:val="20"/>
          <w:color w:val="auto"/>
        </w:rPr>
        <w:t>documents and other instruments and take such further actions as may be reasonably required to carry out the provisions hereof and consummate the Transactions (prior to, at or after the Closing). Each of the parties hereto shall use [†] to consummate the Transactions as soon as practicable following the date hereof.</w:t>
      </w:r>
    </w:p>
    <w:p>
      <w:pPr>
        <w:spacing w:after="0" w:line="186" w:lineRule="exact"/>
        <w:rPr>
          <w:sz w:val="20"/>
          <w:szCs w:val="20"/>
          <w:color w:val="auto"/>
        </w:rPr>
      </w:pPr>
    </w:p>
    <w:p>
      <w:pPr>
        <w:ind w:right="40" w:firstLine="846"/>
        <w:spacing w:after="0" w:line="287" w:lineRule="auto"/>
        <w:rPr>
          <w:sz w:val="20"/>
          <w:szCs w:val="20"/>
          <w:color w:val="auto"/>
        </w:rPr>
      </w:pPr>
      <w:r>
        <w:rPr>
          <w:rFonts w:ascii="Arial" w:cs="Arial" w:eastAsia="Arial" w:hAnsi="Arial"/>
          <w:sz w:val="19"/>
          <w:szCs w:val="19"/>
          <w:color w:val="auto"/>
        </w:rPr>
        <w:t xml:space="preserve">7.4 </w:t>
      </w:r>
      <w:r>
        <w:rPr>
          <w:rFonts w:ascii="Arial" w:cs="Arial" w:eastAsia="Arial" w:hAnsi="Arial"/>
          <w:sz w:val="19"/>
          <w:szCs w:val="19"/>
          <w:u w:val="single" w:color="auto"/>
          <w:color w:val="auto"/>
        </w:rPr>
        <w:t>License by Seller to Valeant</w:t>
      </w:r>
      <w:r>
        <w:rPr>
          <w:rFonts w:ascii="Arial" w:cs="Arial" w:eastAsia="Arial" w:hAnsi="Arial"/>
          <w:sz w:val="19"/>
          <w:szCs w:val="19"/>
          <w:color w:val="auto"/>
        </w:rPr>
        <w:t>. Acquiror acknowledges that, pursuant to the Valeant APA, Valeant has and will continue to have a [†] license under the Patents listed on Part 1 of Schedule 4.3(a) thereto (the “</w:t>
      </w:r>
      <w:r>
        <w:rPr>
          <w:rFonts w:ascii="Arial" w:cs="Arial" w:eastAsia="Arial" w:hAnsi="Arial"/>
          <w:sz w:val="19"/>
          <w:szCs w:val="19"/>
          <w:b w:val="1"/>
          <w:bCs w:val="1"/>
          <w:color w:val="auto"/>
        </w:rPr>
        <w:t>Grant-Back Intellectual Property</w:t>
      </w:r>
      <w:r>
        <w:rPr>
          <w:rFonts w:ascii="Arial" w:cs="Arial" w:eastAsia="Arial" w:hAnsi="Arial"/>
          <w:sz w:val="19"/>
          <w:szCs w:val="19"/>
          <w:color w:val="auto"/>
        </w:rPr>
        <w:t>”), which [†].</w:t>
      </w:r>
    </w:p>
    <w:p>
      <w:pPr>
        <w:spacing w:after="0" w:line="153"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17</w:t>
      </w:r>
    </w:p>
    <w:p>
      <w:pPr>
        <w:spacing w:after="0" w:line="10" w:lineRule="exact"/>
        <w:rPr>
          <w:sz w:val="20"/>
          <w:szCs w:val="20"/>
          <w:color w:val="auto"/>
        </w:rPr>
      </w:pPr>
    </w:p>
    <w:p>
      <w:pPr>
        <w:ind w:right="40" w:firstLine="8"/>
        <w:spacing w:after="0" w:line="237" w:lineRule="auto"/>
        <w:tabs>
          <w:tab w:leader="none" w:pos="204" w:val="left"/>
        </w:tabs>
        <w:numPr>
          <w:ilvl w:val="0"/>
          <w:numId w:val="92"/>
        </w:numPr>
        <w:rPr>
          <w:rFonts w:ascii="Arial" w:cs="Arial" w:eastAsia="Arial" w:hAnsi="Arial"/>
          <w:sz w:val="14"/>
          <w:szCs w:val="14"/>
          <w:color w:val="auto"/>
        </w:rPr>
      </w:pPr>
      <w:r>
        <w:rPr>
          <w:rFonts w:ascii="Arial" w:cs="Arial" w:eastAsia="Arial" w:hAnsi="Arial"/>
          <w:sz w:val="14"/>
          <w:szCs w:val="14"/>
          <w:color w:val="auto"/>
        </w:rPr>
        <w:t>DESIGNATES PORTIONS OF THIS DOCUMENT THAT HAVE BEEN OMITTED PURSUANT TO A REQUEST FOR CONFIDENTIAL TREATMENT FILED SEPARATELY WITH THE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46990</wp:posOffset>
            </wp:positionV>
            <wp:extent cx="7289165"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68" w:right="239" w:bottom="1440" w:gutter="0" w:footer="0" w:header="0"/>
        </w:sectPr>
      </w:pPr>
    </w:p>
    <w:bookmarkStart w:id="81" w:name="page82"/>
    <w:bookmarkEnd w:id="81"/>
    <w:tbl>
      <w:tblPr>
        <w:tblLayout w:type="fixed"/>
        <w:tblInd w:w="0" w:type="dxa"/>
        <w:tblCellMar>
          <w:top w:w="0" w:type="dxa"/>
          <w:left w:w="0" w:type="dxa"/>
          <w:bottom w:w="0" w:type="dxa"/>
          <w:right w:w="0" w:type="dxa"/>
        </w:tblCellMar>
      </w:tblPr>
      <w:tr>
        <w:trPr>
          <w:trHeight w:val="230"/>
        </w:trPr>
        <w:tc>
          <w:tcPr>
            <w:tcW w:w="1840" w:type="dxa"/>
            <w:vAlign w:val="bottom"/>
          </w:tcPr>
          <w:p>
            <w:pPr>
              <w:jc w:val="right"/>
              <w:ind w:right="641"/>
              <w:spacing w:after="0"/>
              <w:rPr>
                <w:sz w:val="20"/>
                <w:szCs w:val="20"/>
                <w:color w:val="auto"/>
              </w:rPr>
            </w:pPr>
            <w:r>
              <w:rPr>
                <w:rFonts w:ascii="Arial" w:cs="Arial" w:eastAsia="Arial" w:hAnsi="Arial"/>
                <w:sz w:val="20"/>
                <w:szCs w:val="20"/>
                <w:color w:val="auto"/>
              </w:rPr>
              <w:t>7.5</w:t>
            </w:r>
          </w:p>
        </w:tc>
        <w:tc>
          <w:tcPr>
            <w:tcW w:w="9560" w:type="dxa"/>
            <w:vAlign w:val="bottom"/>
            <w:gridSpan w:val="3"/>
          </w:tcPr>
          <w:p>
            <w:pPr>
              <w:spacing w:after="0"/>
              <w:rPr>
                <w:sz w:val="20"/>
                <w:szCs w:val="20"/>
                <w:color w:val="auto"/>
              </w:rPr>
            </w:pPr>
            <w:r>
              <w:rPr>
                <w:rFonts w:ascii="Arial" w:cs="Arial" w:eastAsia="Arial" w:hAnsi="Arial"/>
                <w:sz w:val="20"/>
                <w:szCs w:val="20"/>
                <w:color w:val="auto"/>
                <w:w w:val="91"/>
              </w:rPr>
              <w:t>Payoff Letters. Seller shall deliver to Acquiror executed payoff letters, in the form attached hereto as Exhibit B, no later</w:t>
            </w:r>
          </w:p>
        </w:tc>
      </w:tr>
      <w:tr>
        <w:trPr>
          <w:trHeight w:val="20"/>
        </w:trPr>
        <w:tc>
          <w:tcPr>
            <w:tcW w:w="184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60" w:type="dxa"/>
            <w:vAlign w:val="bottom"/>
          </w:tcPr>
          <w:p>
            <w:pPr>
              <w:spacing w:after="0" w:line="20" w:lineRule="exact"/>
              <w:rPr>
                <w:sz w:val="1"/>
                <w:szCs w:val="1"/>
                <w:color w:val="auto"/>
              </w:rPr>
            </w:pPr>
          </w:p>
        </w:tc>
      </w:tr>
      <w:tr>
        <w:trPr>
          <w:trHeight w:val="254"/>
        </w:trPr>
        <w:tc>
          <w:tcPr>
            <w:tcW w:w="11400" w:type="dxa"/>
            <w:vAlign w:val="bottom"/>
            <w:gridSpan w:val="4"/>
          </w:tcPr>
          <w:p>
            <w:pPr>
              <w:spacing w:after="0"/>
              <w:rPr>
                <w:sz w:val="20"/>
                <w:szCs w:val="20"/>
                <w:color w:val="auto"/>
              </w:rPr>
            </w:pPr>
            <w:r>
              <w:rPr>
                <w:rFonts w:ascii="Arial" w:cs="Arial" w:eastAsia="Arial" w:hAnsi="Arial"/>
                <w:sz w:val="20"/>
                <w:szCs w:val="20"/>
                <w:color w:val="auto"/>
              </w:rPr>
              <w:t>than [†] ([†]) [†] prior to the Closing Date.</w:t>
            </w:r>
          </w:p>
        </w:tc>
      </w:tr>
      <w:tr>
        <w:trPr>
          <w:trHeight w:val="401"/>
        </w:trPr>
        <w:tc>
          <w:tcPr>
            <w:tcW w:w="1840" w:type="dxa"/>
            <w:vAlign w:val="bottom"/>
          </w:tcPr>
          <w:p>
            <w:pPr>
              <w:jc w:val="right"/>
              <w:ind w:right="641"/>
              <w:spacing w:after="0"/>
              <w:rPr>
                <w:sz w:val="20"/>
                <w:szCs w:val="20"/>
                <w:color w:val="auto"/>
              </w:rPr>
            </w:pPr>
            <w:r>
              <w:rPr>
                <w:rFonts w:ascii="Arial" w:cs="Arial" w:eastAsia="Arial" w:hAnsi="Arial"/>
                <w:sz w:val="20"/>
                <w:szCs w:val="20"/>
                <w:color w:val="auto"/>
              </w:rPr>
              <w:t>7.6</w:t>
            </w:r>
          </w:p>
        </w:tc>
        <w:tc>
          <w:tcPr>
            <w:tcW w:w="9560" w:type="dxa"/>
            <w:vAlign w:val="bottom"/>
            <w:gridSpan w:val="3"/>
          </w:tcPr>
          <w:p>
            <w:pPr>
              <w:spacing w:after="0"/>
              <w:rPr>
                <w:sz w:val="20"/>
                <w:szCs w:val="20"/>
                <w:color w:val="auto"/>
              </w:rPr>
            </w:pPr>
            <w:r>
              <w:rPr>
                <w:rFonts w:ascii="Arial" w:cs="Arial" w:eastAsia="Arial" w:hAnsi="Arial"/>
                <w:sz w:val="20"/>
                <w:szCs w:val="20"/>
                <w:color w:val="auto"/>
                <w:w w:val="92"/>
              </w:rPr>
              <w:t>Notice and Inquiry. Until the [†] anniversary of the Effective Date, Acquiror will notify Seller annually not later than [†]</w:t>
            </w:r>
          </w:p>
        </w:tc>
      </w:tr>
      <w:tr>
        <w:trPr>
          <w:trHeight w:val="20"/>
        </w:trPr>
        <w:tc>
          <w:tcPr>
            <w:tcW w:w="184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060" w:type="dxa"/>
            <w:vAlign w:val="bottom"/>
          </w:tcPr>
          <w:p>
            <w:pPr>
              <w:spacing w:after="0" w:line="20" w:lineRule="exact"/>
              <w:rPr>
                <w:sz w:val="1"/>
                <w:szCs w:val="1"/>
                <w:color w:val="auto"/>
              </w:rPr>
            </w:pPr>
          </w:p>
        </w:tc>
      </w:tr>
    </w:tbl>
    <w:p>
      <w:pPr>
        <w:spacing w:after="0" w:line="10" w:lineRule="exact"/>
        <w:rPr>
          <w:sz w:val="20"/>
          <w:szCs w:val="20"/>
          <w:color w:val="auto"/>
        </w:rPr>
      </w:pPr>
    </w:p>
    <w:p>
      <w:pPr>
        <w:spacing w:after="0" w:line="246" w:lineRule="auto"/>
        <w:rPr>
          <w:sz w:val="20"/>
          <w:szCs w:val="20"/>
          <w:color w:val="auto"/>
        </w:rPr>
      </w:pPr>
      <w:r>
        <w:rPr>
          <w:rFonts w:ascii="Arial" w:cs="Arial" w:eastAsia="Arial" w:hAnsi="Arial"/>
          <w:sz w:val="20"/>
          <w:szCs w:val="20"/>
          <w:color w:val="auto"/>
        </w:rPr>
        <w:t>of any payments made to Valeant in the prior Calendar Year pursuant to the Valeant APA. In addition, Seller may, with notice, request that Acquiror confirm that appropriate payments have been made to Valeant pursuant to the Valeant APA. Xenon shall respond to such inquiry within [†], but shall not be obligated to disclose the amount of any payment. Any information disclosed by Acquiror to Seller shall be treated as Confidential Information of Acquiror.</w:t>
      </w:r>
    </w:p>
    <w:p>
      <w:pPr>
        <w:spacing w:after="0" w:line="186" w:lineRule="exact"/>
        <w:rPr>
          <w:sz w:val="20"/>
          <w:szCs w:val="20"/>
          <w:color w:val="auto"/>
        </w:rPr>
      </w:pPr>
    </w:p>
    <w:tbl>
      <w:tblPr>
        <w:tblLayout w:type="fixed"/>
        <w:tblInd w:w="860" w:type="dxa"/>
        <w:tblCellMar>
          <w:top w:w="0" w:type="dxa"/>
          <w:left w:w="0" w:type="dxa"/>
          <w:bottom w:w="0" w:type="dxa"/>
          <w:right w:w="0" w:type="dxa"/>
        </w:tblCellMar>
      </w:tblPr>
      <w:tr>
        <w:trPr>
          <w:trHeight w:val="256"/>
        </w:trPr>
        <w:tc>
          <w:tcPr>
            <w:tcW w:w="620" w:type="dxa"/>
            <w:vAlign w:val="bottom"/>
          </w:tcPr>
          <w:p>
            <w:pPr>
              <w:spacing w:after="0"/>
              <w:rPr>
                <w:sz w:val="22"/>
                <w:szCs w:val="22"/>
                <w:color w:val="auto"/>
              </w:rPr>
            </w:pPr>
          </w:p>
        </w:tc>
        <w:tc>
          <w:tcPr>
            <w:tcW w:w="9720" w:type="dxa"/>
            <w:vAlign w:val="bottom"/>
          </w:tcPr>
          <w:p>
            <w:pPr>
              <w:ind w:left="2400"/>
              <w:spacing w:after="0"/>
              <w:rPr>
                <w:sz w:val="20"/>
                <w:szCs w:val="20"/>
                <w:color w:val="auto"/>
              </w:rPr>
            </w:pPr>
            <w:r>
              <w:rPr>
                <w:rFonts w:ascii="Arial" w:cs="Arial" w:eastAsia="Arial" w:hAnsi="Arial"/>
                <w:sz w:val="20"/>
                <w:szCs w:val="20"/>
                <w:b w:val="1"/>
                <w:bCs w:val="1"/>
                <w:color w:val="auto"/>
              </w:rPr>
              <w:t>ARTICLE 8 CONDITIONS TO CLOSING</w:t>
            </w:r>
          </w:p>
        </w:tc>
      </w:tr>
      <w:tr>
        <w:trPr>
          <w:trHeight w:val="441"/>
        </w:trPr>
        <w:tc>
          <w:tcPr>
            <w:tcW w:w="620" w:type="dxa"/>
            <w:vAlign w:val="bottom"/>
          </w:tcPr>
          <w:p>
            <w:pPr>
              <w:jc w:val="right"/>
              <w:ind w:right="281"/>
              <w:spacing w:after="0"/>
              <w:rPr>
                <w:sz w:val="20"/>
                <w:szCs w:val="20"/>
                <w:color w:val="auto"/>
              </w:rPr>
            </w:pPr>
            <w:r>
              <w:rPr>
                <w:rFonts w:ascii="Arial" w:cs="Arial" w:eastAsia="Arial" w:hAnsi="Arial"/>
                <w:sz w:val="20"/>
                <w:szCs w:val="20"/>
                <w:color w:val="auto"/>
                <w:w w:val="78"/>
              </w:rPr>
              <w:t>8.1</w:t>
            </w:r>
          </w:p>
        </w:tc>
        <w:tc>
          <w:tcPr>
            <w:tcW w:w="9720" w:type="dxa"/>
            <w:vAlign w:val="bottom"/>
          </w:tcPr>
          <w:p>
            <w:pPr>
              <w:ind w:left="360"/>
              <w:spacing w:after="0"/>
              <w:rPr>
                <w:sz w:val="20"/>
                <w:szCs w:val="20"/>
                <w:color w:val="auto"/>
              </w:rPr>
            </w:pPr>
            <w:r>
              <w:rPr>
                <w:rFonts w:ascii="Arial" w:cs="Arial" w:eastAsia="Arial" w:hAnsi="Arial"/>
                <w:sz w:val="20"/>
                <w:szCs w:val="20"/>
                <w:u w:val="single" w:color="auto"/>
                <w:color w:val="auto"/>
                <w:w w:val="89"/>
              </w:rPr>
              <w:t>Conditions to Each Party’s Obligation</w:t>
            </w:r>
            <w:r>
              <w:rPr>
                <w:rFonts w:ascii="Arial" w:cs="Arial" w:eastAsia="Arial" w:hAnsi="Arial"/>
                <w:sz w:val="20"/>
                <w:szCs w:val="20"/>
                <w:color w:val="auto"/>
                <w:w w:val="89"/>
              </w:rPr>
              <w:t>. The obligations of Acquiror and the Seller to consummate the Transactions are</w:t>
            </w:r>
          </w:p>
        </w:tc>
      </w:tr>
    </w:tbl>
    <w:p>
      <w:pPr>
        <w:spacing w:after="0"/>
        <w:rPr>
          <w:sz w:val="20"/>
          <w:szCs w:val="20"/>
          <w:color w:val="auto"/>
        </w:rPr>
      </w:pPr>
      <w:r>
        <w:rPr>
          <w:rFonts w:ascii="Arial" w:cs="Arial" w:eastAsia="Arial" w:hAnsi="Arial"/>
          <w:sz w:val="20"/>
          <w:szCs w:val="20"/>
          <w:color w:val="auto"/>
        </w:rPr>
        <w:t>subject to the satisfaction on or prior to the Closing Date of the following conditions:</w:t>
      </w:r>
    </w:p>
    <w:p>
      <w:pPr>
        <w:spacing w:after="0" w:line="200" w:lineRule="exact"/>
        <w:rPr>
          <w:sz w:val="20"/>
          <w:szCs w:val="20"/>
          <w:color w:val="auto"/>
        </w:rPr>
      </w:pPr>
    </w:p>
    <w:p>
      <w:pPr>
        <w:ind w:right="620" w:firstLine="1698"/>
        <w:spacing w:after="0" w:line="316" w:lineRule="auto"/>
        <w:tabs>
          <w:tab w:leader="none" w:pos="2558" w:val="left"/>
        </w:tabs>
        <w:numPr>
          <w:ilvl w:val="0"/>
          <w:numId w:val="93"/>
        </w:numPr>
        <w:rPr>
          <w:rFonts w:ascii="Arial" w:cs="Arial" w:eastAsia="Arial" w:hAnsi="Arial"/>
          <w:sz w:val="18"/>
          <w:szCs w:val="18"/>
          <w:color w:val="auto"/>
        </w:rPr>
      </w:pPr>
      <w:r>
        <w:rPr>
          <w:rFonts w:ascii="Arial" w:cs="Arial" w:eastAsia="Arial" w:hAnsi="Arial"/>
          <w:sz w:val="18"/>
          <w:szCs w:val="18"/>
          <w:color w:val="auto"/>
        </w:rPr>
        <w:t>All Authorizations and Orders of, declarations and filings with, and notices to any Governmental Entity required to permit the consummation of the Transactions shall have been obtained or made and shall be in full force and effect.</w:t>
      </w:r>
    </w:p>
    <w:p>
      <w:pPr>
        <w:spacing w:after="0" w:line="130" w:lineRule="exact"/>
        <w:rPr>
          <w:rFonts w:ascii="Arial" w:cs="Arial" w:eastAsia="Arial" w:hAnsi="Arial"/>
          <w:sz w:val="18"/>
          <w:szCs w:val="18"/>
          <w:color w:val="auto"/>
        </w:rPr>
      </w:pPr>
    </w:p>
    <w:p>
      <w:pPr>
        <w:ind w:right="260" w:firstLine="1698"/>
        <w:spacing w:after="0" w:line="250" w:lineRule="auto"/>
        <w:tabs>
          <w:tab w:leader="none" w:pos="2569" w:val="left"/>
        </w:tabs>
        <w:numPr>
          <w:ilvl w:val="0"/>
          <w:numId w:val="93"/>
        </w:numPr>
        <w:rPr>
          <w:rFonts w:ascii="Arial" w:cs="Arial" w:eastAsia="Arial" w:hAnsi="Arial"/>
          <w:sz w:val="20"/>
          <w:szCs w:val="20"/>
          <w:color w:val="auto"/>
        </w:rPr>
      </w:pPr>
      <w:r>
        <w:rPr>
          <w:rFonts w:ascii="Arial" w:cs="Arial" w:eastAsia="Arial" w:hAnsi="Arial"/>
          <w:sz w:val="20"/>
          <w:szCs w:val="20"/>
          <w:color w:val="auto"/>
        </w:rPr>
        <w:t>No temporary restraining order, preliminary or permanent injunction or other order preventing the consummation of the Transactions shall be issued by any Governmental Entity of competent jurisdiction and shall be in effect. No Law shall have been enacted which makes the consummation of the Transactions illegal.</w:t>
      </w:r>
    </w:p>
    <w:p>
      <w:pPr>
        <w:spacing w:after="0" w:line="186" w:lineRule="exact"/>
        <w:rPr>
          <w:sz w:val="20"/>
          <w:szCs w:val="20"/>
          <w:color w:val="auto"/>
        </w:rPr>
      </w:pPr>
    </w:p>
    <w:p>
      <w:pPr>
        <w:ind w:right="780" w:firstLine="846"/>
        <w:spacing w:after="0" w:line="260" w:lineRule="auto"/>
        <w:rPr>
          <w:sz w:val="20"/>
          <w:szCs w:val="20"/>
          <w:color w:val="auto"/>
        </w:rPr>
      </w:pPr>
      <w:r>
        <w:rPr>
          <w:rFonts w:ascii="Arial" w:cs="Arial" w:eastAsia="Arial" w:hAnsi="Arial"/>
          <w:sz w:val="20"/>
          <w:szCs w:val="20"/>
          <w:color w:val="auto"/>
        </w:rPr>
        <w:t xml:space="preserve">8.2 </w:t>
      </w:r>
      <w:r>
        <w:rPr>
          <w:rFonts w:ascii="Arial" w:cs="Arial" w:eastAsia="Arial" w:hAnsi="Arial"/>
          <w:sz w:val="20"/>
          <w:szCs w:val="20"/>
          <w:u w:val="single" w:color="auto"/>
          <w:color w:val="auto"/>
        </w:rPr>
        <w:t>Conditions to Obligations of Acquiror</w:t>
      </w:r>
      <w:r>
        <w:rPr>
          <w:rFonts w:ascii="Arial" w:cs="Arial" w:eastAsia="Arial" w:hAnsi="Arial"/>
          <w:sz w:val="20"/>
          <w:szCs w:val="20"/>
          <w:color w:val="auto"/>
        </w:rPr>
        <w:t>. The obligations of Acquiror to effect the Transactions are subject to the satisfaction (or waiver by Acquiror in its sole discretion) of the following further conditions:</w:t>
      </w:r>
    </w:p>
    <w:p>
      <w:pPr>
        <w:spacing w:after="0" w:line="177" w:lineRule="exact"/>
        <w:rPr>
          <w:sz w:val="20"/>
          <w:szCs w:val="20"/>
          <w:color w:val="auto"/>
        </w:rPr>
      </w:pPr>
    </w:p>
    <w:p>
      <w:pPr>
        <w:ind w:right="120" w:firstLine="1698"/>
        <w:spacing w:after="0" w:line="316" w:lineRule="auto"/>
        <w:tabs>
          <w:tab w:leader="none" w:pos="2558" w:val="left"/>
        </w:tabs>
        <w:numPr>
          <w:ilvl w:val="0"/>
          <w:numId w:val="94"/>
        </w:numPr>
        <w:rPr>
          <w:rFonts w:ascii="Arial" w:cs="Arial" w:eastAsia="Arial" w:hAnsi="Arial"/>
          <w:sz w:val="18"/>
          <w:szCs w:val="18"/>
          <w:color w:val="auto"/>
        </w:rPr>
      </w:pPr>
      <w:r>
        <w:rPr>
          <w:rFonts w:ascii="Arial" w:cs="Arial" w:eastAsia="Arial" w:hAnsi="Arial"/>
          <w:sz w:val="18"/>
          <w:szCs w:val="18"/>
          <w:color w:val="auto"/>
        </w:rPr>
        <w:t>The representations and warranties of the Seller set forth in this Agreement shall have been true and correct at and as of the date hereof and shall be true and correct at and as of the Closing Date as if made at and as of the Closing Date.</w:t>
      </w:r>
    </w:p>
    <w:p>
      <w:pPr>
        <w:spacing w:after="0" w:line="130" w:lineRule="exact"/>
        <w:rPr>
          <w:rFonts w:ascii="Arial" w:cs="Arial" w:eastAsia="Arial" w:hAnsi="Arial"/>
          <w:sz w:val="18"/>
          <w:szCs w:val="18"/>
          <w:color w:val="auto"/>
        </w:rPr>
      </w:pPr>
    </w:p>
    <w:p>
      <w:pPr>
        <w:ind w:right="60" w:firstLine="1698"/>
        <w:spacing w:after="0" w:line="260" w:lineRule="auto"/>
        <w:tabs>
          <w:tab w:leader="none" w:pos="2569" w:val="left"/>
        </w:tabs>
        <w:numPr>
          <w:ilvl w:val="0"/>
          <w:numId w:val="94"/>
        </w:numPr>
        <w:rPr>
          <w:rFonts w:ascii="Arial" w:cs="Arial" w:eastAsia="Arial" w:hAnsi="Arial"/>
          <w:sz w:val="20"/>
          <w:szCs w:val="20"/>
          <w:color w:val="auto"/>
        </w:rPr>
      </w:pPr>
      <w:r>
        <w:rPr>
          <w:rFonts w:ascii="Arial" w:cs="Arial" w:eastAsia="Arial" w:hAnsi="Arial"/>
          <w:sz w:val="20"/>
          <w:szCs w:val="20"/>
          <w:color w:val="auto"/>
        </w:rPr>
        <w:t>There shall not have occurred since the date of this Agreement any event, occurrence or change that has had or would reasonably be expected to have, individually or in the aggregate, a Compound Material Adverse Effect.</w:t>
      </w:r>
    </w:p>
    <w:p>
      <w:pPr>
        <w:spacing w:after="0" w:line="176" w:lineRule="exact"/>
        <w:rPr>
          <w:rFonts w:ascii="Arial" w:cs="Arial" w:eastAsia="Arial" w:hAnsi="Arial"/>
          <w:sz w:val="20"/>
          <w:szCs w:val="20"/>
          <w:color w:val="auto"/>
        </w:rPr>
      </w:pPr>
    </w:p>
    <w:p>
      <w:pPr>
        <w:ind w:right="300" w:firstLine="1698"/>
        <w:spacing w:after="0" w:line="246" w:lineRule="auto"/>
        <w:tabs>
          <w:tab w:leader="none" w:pos="2558" w:val="left"/>
        </w:tabs>
        <w:numPr>
          <w:ilvl w:val="0"/>
          <w:numId w:val="94"/>
        </w:numPr>
        <w:rPr>
          <w:rFonts w:ascii="Arial" w:cs="Arial" w:eastAsia="Arial" w:hAnsi="Arial"/>
          <w:sz w:val="20"/>
          <w:szCs w:val="20"/>
          <w:color w:val="auto"/>
        </w:rPr>
      </w:pPr>
      <w:r>
        <w:rPr>
          <w:rFonts w:ascii="Arial" w:cs="Arial" w:eastAsia="Arial" w:hAnsi="Arial"/>
          <w:sz w:val="20"/>
          <w:szCs w:val="20"/>
          <w:color w:val="auto"/>
        </w:rPr>
        <w:t>No action, proceeding or litigation brought by any Governmental Entity of competent jurisdiction shall be pending or threatened before any court or other Governmental Entity seeking to (i) prevent consummation of the Transactions, (ii) affect adversely the right of Acquiror to control the Compound; or (iii) restrain or prohibit Acquiror’s ownership of the Purchased Assets. No such Order shall be in effect.</w:t>
      </w:r>
    </w:p>
    <w:p>
      <w:pPr>
        <w:spacing w:after="0" w:line="185" w:lineRule="exact"/>
        <w:rPr>
          <w:rFonts w:ascii="Arial" w:cs="Arial" w:eastAsia="Arial" w:hAnsi="Arial"/>
          <w:sz w:val="20"/>
          <w:szCs w:val="20"/>
          <w:color w:val="auto"/>
        </w:rPr>
      </w:pPr>
    </w:p>
    <w:p>
      <w:pPr>
        <w:jc w:val="both"/>
        <w:ind w:right="540" w:firstLine="1698"/>
        <w:spacing w:after="0" w:line="253" w:lineRule="auto"/>
        <w:tabs>
          <w:tab w:leader="none" w:pos="2569" w:val="left"/>
        </w:tabs>
        <w:numPr>
          <w:ilvl w:val="0"/>
          <w:numId w:val="94"/>
        </w:numPr>
        <w:rPr>
          <w:rFonts w:ascii="Arial" w:cs="Arial" w:eastAsia="Arial" w:hAnsi="Arial"/>
          <w:sz w:val="20"/>
          <w:szCs w:val="20"/>
          <w:color w:val="auto"/>
        </w:rPr>
      </w:pPr>
      <w:r>
        <w:rPr>
          <w:rFonts w:ascii="Arial" w:cs="Arial" w:eastAsia="Arial" w:hAnsi="Arial"/>
          <w:sz w:val="20"/>
          <w:szCs w:val="20"/>
          <w:color w:val="auto"/>
        </w:rPr>
        <w:t>Seller shall have delivered to Acquiror a certificate executed by an authorized officer of Seller (the “</w:t>
      </w:r>
      <w:r>
        <w:rPr>
          <w:rFonts w:ascii="Arial" w:cs="Arial" w:eastAsia="Arial" w:hAnsi="Arial"/>
          <w:sz w:val="20"/>
          <w:szCs w:val="20"/>
          <w:b w:val="1"/>
          <w:bCs w:val="1"/>
          <w:color w:val="auto"/>
        </w:rPr>
        <w:t>Seller</w:t>
      </w:r>
      <w:r>
        <w:rPr>
          <w:rFonts w:ascii="Arial" w:cs="Arial" w:eastAsia="Arial" w:hAnsi="Arial"/>
          <w:sz w:val="20"/>
          <w:szCs w:val="20"/>
          <w:color w:val="auto"/>
        </w:rPr>
        <w:t xml:space="preserve"> </w:t>
      </w:r>
      <w:r>
        <w:rPr>
          <w:rFonts w:ascii="Arial" w:cs="Arial" w:eastAsia="Arial" w:hAnsi="Arial"/>
          <w:sz w:val="20"/>
          <w:szCs w:val="20"/>
          <w:b w:val="1"/>
          <w:bCs w:val="1"/>
          <w:color w:val="auto"/>
        </w:rPr>
        <w:t>Certificate</w:t>
      </w:r>
      <w:r>
        <w:rPr>
          <w:rFonts w:ascii="Arial" w:cs="Arial" w:eastAsia="Arial" w:hAnsi="Arial"/>
          <w:sz w:val="20"/>
          <w:szCs w:val="20"/>
          <w:color w:val="auto"/>
        </w:rPr>
        <w:t>”) to the effect that each of the conditions specified in clauses (a)-(c) of this</w:t>
      </w:r>
      <w:r>
        <w:rPr>
          <w:rFonts w:ascii="Arial" w:cs="Arial" w:eastAsia="Arial" w:hAnsi="Arial"/>
          <w:sz w:val="20"/>
          <w:szCs w:val="20"/>
          <w:b w:val="1"/>
          <w:bCs w:val="1"/>
          <w:color w:val="auto"/>
        </w:rPr>
        <w:t xml:space="preserve"> </w:t>
      </w:r>
      <w:r>
        <w:rPr>
          <w:rFonts w:ascii="Arial" w:cs="Arial" w:eastAsia="Arial" w:hAnsi="Arial"/>
          <w:sz w:val="20"/>
          <w:szCs w:val="20"/>
          <w:u w:val="single" w:color="auto"/>
          <w:color w:val="auto"/>
        </w:rPr>
        <w:t>Section 8.2</w:t>
      </w:r>
      <w:r>
        <w:rPr>
          <w:rFonts w:ascii="Arial" w:cs="Arial" w:eastAsia="Arial" w:hAnsi="Arial"/>
          <w:sz w:val="20"/>
          <w:szCs w:val="20"/>
          <w:b w:val="1"/>
          <w:bCs w:val="1"/>
          <w:color w:val="auto"/>
        </w:rPr>
        <w:t xml:space="preserve"> </w:t>
      </w:r>
      <w:r>
        <w:rPr>
          <w:rFonts w:ascii="Arial" w:cs="Arial" w:eastAsia="Arial" w:hAnsi="Arial"/>
          <w:sz w:val="20"/>
          <w:szCs w:val="20"/>
          <w:color w:val="auto"/>
        </w:rPr>
        <w:t>with respect to Seller are satisfied in all</w:t>
      </w:r>
      <w:r>
        <w:rPr>
          <w:rFonts w:ascii="Arial" w:cs="Arial" w:eastAsia="Arial" w:hAnsi="Arial"/>
          <w:sz w:val="20"/>
          <w:szCs w:val="20"/>
          <w:b w:val="1"/>
          <w:bCs w:val="1"/>
          <w:color w:val="auto"/>
        </w:rPr>
        <w:t xml:space="preserve"> </w:t>
      </w:r>
      <w:r>
        <w:rPr>
          <w:rFonts w:ascii="Arial" w:cs="Arial" w:eastAsia="Arial" w:hAnsi="Arial"/>
          <w:sz w:val="20"/>
          <w:szCs w:val="20"/>
          <w:color w:val="auto"/>
        </w:rPr>
        <w:t>respects.</w:t>
      </w:r>
    </w:p>
    <w:p>
      <w:pPr>
        <w:spacing w:after="0" w:line="183" w:lineRule="exact"/>
        <w:rPr>
          <w:rFonts w:ascii="Arial" w:cs="Arial" w:eastAsia="Arial" w:hAnsi="Arial"/>
          <w:sz w:val="20"/>
          <w:szCs w:val="20"/>
          <w:color w:val="auto"/>
        </w:rPr>
      </w:pPr>
    </w:p>
    <w:p>
      <w:pPr>
        <w:ind w:right="200" w:firstLine="1698"/>
        <w:spacing w:after="0" w:line="342" w:lineRule="auto"/>
        <w:tabs>
          <w:tab w:leader="none" w:pos="2558" w:val="left"/>
        </w:tabs>
        <w:numPr>
          <w:ilvl w:val="0"/>
          <w:numId w:val="94"/>
        </w:numPr>
        <w:rPr>
          <w:rFonts w:ascii="Arial" w:cs="Arial" w:eastAsia="Arial" w:hAnsi="Arial"/>
          <w:sz w:val="16"/>
          <w:szCs w:val="16"/>
          <w:color w:val="auto"/>
        </w:rPr>
      </w:pPr>
      <w:r>
        <w:rPr>
          <w:rFonts w:ascii="Arial" w:cs="Arial" w:eastAsia="Arial" w:hAnsi="Arial"/>
          <w:sz w:val="16"/>
          <w:szCs w:val="16"/>
          <w:color w:val="auto"/>
        </w:rPr>
        <w:t>Seller shall have delivered to Acquiror written consents signed by each member of Seller’s Board of Directors and each of Seller’s stockholders approving the transactions contemplated by this Agreement under Seller’s constitutive and other documents, in each case to the effect that each such director and such stockholders have approved the transactions contemplated by this Agreement.</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18</w:t>
      </w:r>
    </w:p>
    <w:p>
      <w:pPr>
        <w:spacing w:after="0" w:line="10" w:lineRule="exact"/>
        <w:rPr>
          <w:sz w:val="20"/>
          <w:szCs w:val="20"/>
          <w:color w:val="auto"/>
        </w:rPr>
      </w:pPr>
    </w:p>
    <w:p>
      <w:pPr>
        <w:ind w:right="20" w:firstLine="8"/>
        <w:spacing w:after="0" w:line="237" w:lineRule="auto"/>
        <w:tabs>
          <w:tab w:leader="none" w:pos="204" w:val="left"/>
        </w:tabs>
        <w:numPr>
          <w:ilvl w:val="0"/>
          <w:numId w:val="95"/>
        </w:numPr>
        <w:rPr>
          <w:rFonts w:ascii="Arial" w:cs="Arial" w:eastAsia="Arial" w:hAnsi="Arial"/>
          <w:sz w:val="14"/>
          <w:szCs w:val="14"/>
          <w:color w:val="auto"/>
        </w:rPr>
      </w:pPr>
      <w:r>
        <w:rPr>
          <w:rFonts w:ascii="Arial" w:cs="Arial" w:eastAsia="Arial" w:hAnsi="Arial"/>
          <w:sz w:val="14"/>
          <w:szCs w:val="14"/>
          <w:color w:val="auto"/>
        </w:rPr>
        <w:t>DESIGNATES PORTIONS OF THIS DOCUMENT THAT HAVE BEEN OMITTED PURSUANT TO A REQUEST FOR CONFIDENTIAL TREATMENT FILED SEPARATELY WITH THE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46990</wp:posOffset>
            </wp:positionV>
            <wp:extent cx="7289165"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44" w:right="259" w:bottom="1440" w:gutter="0" w:footer="0" w:header="0"/>
        </w:sectPr>
      </w:pPr>
    </w:p>
    <w:bookmarkStart w:id="82" w:name="page83"/>
    <w:bookmarkEnd w:id="82"/>
    <w:p>
      <w:pPr>
        <w:ind w:left="2540" w:hanging="842"/>
        <w:spacing w:after="0"/>
        <w:tabs>
          <w:tab w:leader="none" w:pos="2540" w:val="left"/>
        </w:tabs>
        <w:numPr>
          <w:ilvl w:val="0"/>
          <w:numId w:val="96"/>
        </w:numPr>
        <w:rPr>
          <w:rFonts w:ascii="Arial" w:cs="Arial" w:eastAsia="Arial" w:hAnsi="Arial"/>
          <w:sz w:val="20"/>
          <w:szCs w:val="20"/>
          <w:color w:val="auto"/>
        </w:rPr>
      </w:pPr>
      <w:r>
        <w:rPr>
          <w:rFonts w:ascii="Arial" w:cs="Arial" w:eastAsia="Arial" w:hAnsi="Arial"/>
          <w:sz w:val="20"/>
          <w:szCs w:val="20"/>
          <w:color w:val="auto"/>
        </w:rPr>
        <w:t>Seller shall have delivered to Acquiror duly executed Transaction Documents.</w:t>
      </w:r>
    </w:p>
    <w:p>
      <w:pPr>
        <w:spacing w:after="0" w:line="215" w:lineRule="exact"/>
        <w:rPr>
          <w:rFonts w:ascii="Arial" w:cs="Arial" w:eastAsia="Arial" w:hAnsi="Arial"/>
          <w:sz w:val="20"/>
          <w:szCs w:val="20"/>
          <w:color w:val="auto"/>
        </w:rPr>
      </w:pPr>
    </w:p>
    <w:p>
      <w:pPr>
        <w:ind w:right="240" w:firstLine="1698"/>
        <w:spacing w:after="0" w:line="316" w:lineRule="auto"/>
        <w:tabs>
          <w:tab w:leader="none" w:pos="2569" w:val="left"/>
        </w:tabs>
        <w:numPr>
          <w:ilvl w:val="0"/>
          <w:numId w:val="96"/>
        </w:numPr>
        <w:rPr>
          <w:rFonts w:ascii="Arial" w:cs="Arial" w:eastAsia="Arial" w:hAnsi="Arial"/>
          <w:sz w:val="18"/>
          <w:szCs w:val="18"/>
          <w:color w:val="auto"/>
        </w:rPr>
      </w:pPr>
      <w:r>
        <w:rPr>
          <w:rFonts w:ascii="Arial" w:cs="Arial" w:eastAsia="Arial" w:hAnsi="Arial"/>
          <w:sz w:val="18"/>
          <w:szCs w:val="18"/>
          <w:color w:val="auto"/>
        </w:rPr>
        <w:t>Seller shall have delivered to Acquiror documents reasonably satisfactory to Acquiror evidencing repayment and release in full with respect to the Loan Agreements, including delivery of the executed Payoff Letters pursuant to Section 7.5.</w:t>
      </w:r>
    </w:p>
    <w:p>
      <w:pPr>
        <w:spacing w:after="0" w:line="130" w:lineRule="exact"/>
        <w:rPr>
          <w:rFonts w:ascii="Arial" w:cs="Arial" w:eastAsia="Arial" w:hAnsi="Arial"/>
          <w:sz w:val="18"/>
          <w:szCs w:val="18"/>
          <w:color w:val="auto"/>
        </w:rPr>
      </w:pPr>
    </w:p>
    <w:p>
      <w:pPr>
        <w:ind w:left="2580" w:hanging="882"/>
        <w:spacing w:after="0"/>
        <w:tabs>
          <w:tab w:leader="none" w:pos="2580" w:val="left"/>
        </w:tabs>
        <w:numPr>
          <w:ilvl w:val="0"/>
          <w:numId w:val="96"/>
        </w:numPr>
        <w:rPr>
          <w:rFonts w:ascii="Arial" w:cs="Arial" w:eastAsia="Arial" w:hAnsi="Arial"/>
          <w:sz w:val="20"/>
          <w:szCs w:val="20"/>
          <w:color w:val="auto"/>
        </w:rPr>
      </w:pPr>
      <w:r>
        <w:rPr>
          <w:rFonts w:ascii="Arial" w:cs="Arial" w:eastAsia="Arial" w:hAnsi="Arial"/>
          <w:sz w:val="20"/>
          <w:szCs w:val="20"/>
          <w:color w:val="auto"/>
        </w:rPr>
        <w:t xml:space="preserve">Seller shall have delivered the items required by it pursuant to </w:t>
      </w:r>
      <w:r>
        <w:rPr>
          <w:rFonts w:ascii="Arial" w:cs="Arial" w:eastAsia="Arial" w:hAnsi="Arial"/>
          <w:sz w:val="20"/>
          <w:szCs w:val="20"/>
          <w:u w:val="single" w:color="auto"/>
          <w:color w:val="auto"/>
        </w:rPr>
        <w:t>Section 3.2</w:t>
      </w:r>
      <w:r>
        <w:rPr>
          <w:rFonts w:ascii="Arial" w:cs="Arial" w:eastAsia="Arial" w:hAnsi="Arial"/>
          <w:sz w:val="20"/>
          <w:szCs w:val="20"/>
          <w:color w:val="auto"/>
        </w:rPr>
        <w:t xml:space="preserve"> hereof.</w:t>
      </w:r>
    </w:p>
    <w:p>
      <w:pPr>
        <w:spacing w:after="0" w:line="216" w:lineRule="exact"/>
        <w:rPr>
          <w:sz w:val="20"/>
          <w:szCs w:val="20"/>
          <w:color w:val="auto"/>
        </w:rPr>
      </w:pPr>
    </w:p>
    <w:p>
      <w:pPr>
        <w:ind w:right="20" w:firstLine="846"/>
        <w:spacing w:after="0" w:line="260" w:lineRule="auto"/>
        <w:rPr>
          <w:sz w:val="20"/>
          <w:szCs w:val="20"/>
          <w:color w:val="auto"/>
        </w:rPr>
      </w:pPr>
      <w:r>
        <w:rPr>
          <w:rFonts w:ascii="Arial" w:cs="Arial" w:eastAsia="Arial" w:hAnsi="Arial"/>
          <w:sz w:val="20"/>
          <w:szCs w:val="20"/>
          <w:color w:val="auto"/>
        </w:rPr>
        <w:t xml:space="preserve">8.3 </w:t>
      </w:r>
      <w:r>
        <w:rPr>
          <w:rFonts w:ascii="Arial" w:cs="Arial" w:eastAsia="Arial" w:hAnsi="Arial"/>
          <w:sz w:val="20"/>
          <w:szCs w:val="20"/>
          <w:u w:val="single" w:color="auto"/>
          <w:color w:val="auto"/>
        </w:rPr>
        <w:t>Conditions to Obligation of the Seller</w:t>
      </w:r>
      <w:r>
        <w:rPr>
          <w:rFonts w:ascii="Arial" w:cs="Arial" w:eastAsia="Arial" w:hAnsi="Arial"/>
          <w:sz w:val="20"/>
          <w:szCs w:val="20"/>
          <w:color w:val="auto"/>
        </w:rPr>
        <w:t>. The obligation of the Seller to effect the Transactions is subject to the satisfaction (or waiver by Seller in its sole discretion) of the following further conditions:</w:t>
      </w:r>
    </w:p>
    <w:p>
      <w:pPr>
        <w:spacing w:after="0" w:line="177" w:lineRule="exact"/>
        <w:rPr>
          <w:sz w:val="20"/>
          <w:szCs w:val="20"/>
          <w:color w:val="auto"/>
        </w:rPr>
      </w:pPr>
    </w:p>
    <w:p>
      <w:pPr>
        <w:ind w:firstLine="1698"/>
        <w:spacing w:after="0" w:line="243" w:lineRule="auto"/>
        <w:tabs>
          <w:tab w:leader="none" w:pos="2558" w:val="left"/>
        </w:tabs>
        <w:numPr>
          <w:ilvl w:val="0"/>
          <w:numId w:val="97"/>
        </w:numPr>
        <w:rPr>
          <w:rFonts w:ascii="Arial" w:cs="Arial" w:eastAsia="Arial" w:hAnsi="Arial"/>
          <w:sz w:val="20"/>
          <w:szCs w:val="20"/>
          <w:color w:val="auto"/>
        </w:rPr>
      </w:pPr>
      <w:r>
        <w:rPr>
          <w:rFonts w:ascii="Arial" w:cs="Arial" w:eastAsia="Arial" w:hAnsi="Arial"/>
          <w:sz w:val="20"/>
          <w:szCs w:val="20"/>
          <w:color w:val="auto"/>
        </w:rPr>
        <w:t>The representations and warranties of Acquiror set forth in this Agreement that are [†] shall have been true and correct at and as of the date hereof and shall be true and correct at and as of the Closing Date as if made at and as of the Closing Date, and the representations and warranties that are [†] shall have been true and correct in all [†] respects at and as of the date hereof and shall be true and correct in all [†] respects at and as of the Closing Date as if made at and as of the Closing Date, except to the extent that such representations and warranties refer specifically to an earlier date, in which case such representations and warranties shall have been true and correct as of such earlier date.</w:t>
      </w:r>
    </w:p>
    <w:p>
      <w:pPr>
        <w:spacing w:after="0" w:line="196" w:lineRule="exact"/>
        <w:rPr>
          <w:rFonts w:ascii="Arial" w:cs="Arial" w:eastAsia="Arial" w:hAnsi="Arial"/>
          <w:sz w:val="20"/>
          <w:szCs w:val="20"/>
          <w:color w:val="auto"/>
        </w:rPr>
      </w:pPr>
    </w:p>
    <w:p>
      <w:pPr>
        <w:ind w:right="540" w:firstLine="1698"/>
        <w:spacing w:after="0" w:line="260" w:lineRule="auto"/>
        <w:tabs>
          <w:tab w:leader="none" w:pos="2569" w:val="left"/>
        </w:tabs>
        <w:numPr>
          <w:ilvl w:val="0"/>
          <w:numId w:val="97"/>
        </w:numPr>
        <w:rPr>
          <w:rFonts w:ascii="Arial" w:cs="Arial" w:eastAsia="Arial" w:hAnsi="Arial"/>
          <w:sz w:val="20"/>
          <w:szCs w:val="20"/>
          <w:color w:val="auto"/>
        </w:rPr>
      </w:pPr>
      <w:r>
        <w:rPr>
          <w:rFonts w:ascii="Arial" w:cs="Arial" w:eastAsia="Arial" w:hAnsi="Arial"/>
          <w:sz w:val="20"/>
          <w:szCs w:val="20"/>
          <w:color w:val="auto"/>
        </w:rPr>
        <w:t>Acquiror shall have performed in all [†] respects all obligations required to be performed by it under this Agreement at or prior to the Closing Date.</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840" w:type="dxa"/>
            <w:vAlign w:val="bottom"/>
          </w:tcPr>
          <w:p>
            <w:pPr>
              <w:jc w:val="right"/>
              <w:ind w:right="641"/>
              <w:spacing w:after="0"/>
              <w:rPr>
                <w:sz w:val="20"/>
                <w:szCs w:val="20"/>
                <w:color w:val="auto"/>
              </w:rPr>
            </w:pPr>
            <w:r>
              <w:rPr>
                <w:rFonts w:ascii="Arial" w:cs="Arial" w:eastAsia="Arial" w:hAnsi="Arial"/>
                <w:sz w:val="20"/>
                <w:szCs w:val="20"/>
                <w:color w:val="auto"/>
              </w:rPr>
              <w:t>8.4</w:t>
            </w:r>
          </w:p>
        </w:tc>
        <w:tc>
          <w:tcPr>
            <w:tcW w:w="9560" w:type="dxa"/>
            <w:vAlign w:val="bottom"/>
            <w:gridSpan w:val="4"/>
          </w:tcPr>
          <w:p>
            <w:pPr>
              <w:spacing w:after="0"/>
              <w:rPr>
                <w:sz w:val="20"/>
                <w:szCs w:val="20"/>
                <w:color w:val="auto"/>
              </w:rPr>
            </w:pPr>
            <w:r>
              <w:rPr>
                <w:rFonts w:ascii="Arial" w:cs="Arial" w:eastAsia="Arial" w:hAnsi="Arial"/>
                <w:sz w:val="20"/>
                <w:szCs w:val="20"/>
                <w:color w:val="auto"/>
                <w:w w:val="90"/>
              </w:rPr>
              <w:t>Frustration of Closing Conditions. None of the parties hereto may rely on the failure of any condition set forth in this 7.5</w:t>
            </w:r>
          </w:p>
        </w:tc>
      </w:tr>
      <w:tr>
        <w:trPr>
          <w:trHeight w:val="20"/>
        </w:trPr>
        <w:tc>
          <w:tcPr>
            <w:tcW w:w="184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920" w:type="dxa"/>
            <w:vAlign w:val="bottom"/>
            <w:shd w:val="clear" w:color="auto" w:fill="000000"/>
          </w:tcPr>
          <w:p>
            <w:pPr>
              <w:spacing w:after="0" w:line="20" w:lineRule="exact"/>
              <w:rPr>
                <w:sz w:val="1"/>
                <w:szCs w:val="1"/>
                <w:color w:val="auto"/>
              </w:rPr>
            </w:pPr>
          </w:p>
        </w:tc>
        <w:tc>
          <w:tcPr>
            <w:tcW w:w="66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r>
      <w:tr>
        <w:trPr>
          <w:trHeight w:val="254"/>
        </w:trPr>
        <w:tc>
          <w:tcPr>
            <w:tcW w:w="11400" w:type="dxa"/>
            <w:vAlign w:val="bottom"/>
            <w:gridSpan w:val="5"/>
          </w:tcPr>
          <w:p>
            <w:pPr>
              <w:spacing w:after="0"/>
              <w:rPr>
                <w:sz w:val="20"/>
                <w:szCs w:val="20"/>
                <w:color w:val="auto"/>
              </w:rPr>
            </w:pPr>
            <w:r>
              <w:rPr>
                <w:rFonts w:ascii="Arial" w:cs="Arial" w:eastAsia="Arial" w:hAnsi="Arial"/>
                <w:sz w:val="20"/>
                <w:szCs w:val="20"/>
                <w:color w:val="auto"/>
              </w:rPr>
              <w:t>to be satisfied if such failure was caused by such party’s failure to act in good faith or to use its [†] to cause the Closing to occur.</w:t>
            </w:r>
          </w:p>
        </w:tc>
      </w:tr>
      <w:tr>
        <w:trPr>
          <w:trHeight w:val="446"/>
        </w:trPr>
        <w:tc>
          <w:tcPr>
            <w:tcW w:w="18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800" w:type="dxa"/>
            <w:vAlign w:val="bottom"/>
            <w:gridSpan w:val="3"/>
          </w:tcPr>
          <w:p>
            <w:pPr>
              <w:ind w:left="1620"/>
              <w:spacing w:after="0"/>
              <w:rPr>
                <w:sz w:val="20"/>
                <w:szCs w:val="20"/>
                <w:color w:val="auto"/>
              </w:rPr>
            </w:pPr>
            <w:r>
              <w:rPr>
                <w:rFonts w:ascii="Arial" w:cs="Arial" w:eastAsia="Arial" w:hAnsi="Arial"/>
                <w:sz w:val="20"/>
                <w:szCs w:val="20"/>
                <w:b w:val="1"/>
                <w:bCs w:val="1"/>
                <w:color w:val="auto"/>
              </w:rPr>
              <w:t>ARTICLE 9 INDEMNIFICATION</w:t>
            </w:r>
          </w:p>
        </w:tc>
      </w:tr>
      <w:tr>
        <w:trPr>
          <w:trHeight w:val="401"/>
        </w:trPr>
        <w:tc>
          <w:tcPr>
            <w:tcW w:w="1840" w:type="dxa"/>
            <w:vAlign w:val="bottom"/>
          </w:tcPr>
          <w:p>
            <w:pPr>
              <w:jc w:val="right"/>
              <w:ind w:right="641"/>
              <w:spacing w:after="0"/>
              <w:rPr>
                <w:sz w:val="20"/>
                <w:szCs w:val="20"/>
                <w:color w:val="auto"/>
              </w:rPr>
            </w:pPr>
            <w:r>
              <w:rPr>
                <w:rFonts w:ascii="Arial" w:cs="Arial" w:eastAsia="Arial" w:hAnsi="Arial"/>
                <w:sz w:val="20"/>
                <w:szCs w:val="20"/>
                <w:color w:val="auto"/>
              </w:rPr>
              <w:t>9.1</w:t>
            </w:r>
          </w:p>
        </w:tc>
        <w:tc>
          <w:tcPr>
            <w:tcW w:w="9560" w:type="dxa"/>
            <w:vAlign w:val="bottom"/>
            <w:gridSpan w:val="4"/>
          </w:tcPr>
          <w:p>
            <w:pPr>
              <w:spacing w:after="0"/>
              <w:rPr>
                <w:sz w:val="20"/>
                <w:szCs w:val="20"/>
                <w:color w:val="auto"/>
              </w:rPr>
            </w:pPr>
            <w:r>
              <w:rPr>
                <w:rFonts w:ascii="Arial" w:cs="Arial" w:eastAsia="Arial" w:hAnsi="Arial"/>
                <w:sz w:val="20"/>
                <w:szCs w:val="20"/>
                <w:color w:val="auto"/>
                <w:w w:val="90"/>
              </w:rPr>
              <w:t>By Seller. From and after the Closing Date, Seller, shall indemnify Acquiror, its successors and assigns, and its officers,</w:t>
            </w:r>
          </w:p>
        </w:tc>
      </w:tr>
      <w:tr>
        <w:trPr>
          <w:trHeight w:val="20"/>
        </w:trPr>
        <w:tc>
          <w:tcPr>
            <w:tcW w:w="184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66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bl>
    <w:p>
      <w:pPr>
        <w:spacing w:after="0" w:line="4" w:lineRule="exact"/>
        <w:rPr>
          <w:sz w:val="20"/>
          <w:szCs w:val="20"/>
          <w:color w:val="auto"/>
        </w:rPr>
      </w:pPr>
    </w:p>
    <w:p>
      <w:pPr>
        <w:jc w:val="both"/>
        <w:ind w:right="20"/>
        <w:spacing w:after="0" w:line="267" w:lineRule="auto"/>
        <w:rPr>
          <w:sz w:val="20"/>
          <w:szCs w:val="20"/>
          <w:color w:val="auto"/>
        </w:rPr>
      </w:pPr>
      <w:r>
        <w:rPr>
          <w:rFonts w:ascii="Arial" w:cs="Arial" w:eastAsia="Arial" w:hAnsi="Arial"/>
          <w:sz w:val="20"/>
          <w:szCs w:val="20"/>
          <w:color w:val="auto"/>
        </w:rPr>
        <w:t>directors, employees, stockholders and agents (each, an “</w:t>
      </w:r>
      <w:r>
        <w:rPr>
          <w:rFonts w:ascii="Arial" w:cs="Arial" w:eastAsia="Arial" w:hAnsi="Arial"/>
          <w:sz w:val="20"/>
          <w:szCs w:val="20"/>
          <w:b w:val="1"/>
          <w:bCs w:val="1"/>
          <w:color w:val="auto"/>
        </w:rPr>
        <w:t>Indemnified Acquiror Party</w:t>
      </w:r>
      <w:r>
        <w:rPr>
          <w:rFonts w:ascii="Arial" w:cs="Arial" w:eastAsia="Arial" w:hAnsi="Arial"/>
          <w:sz w:val="20"/>
          <w:szCs w:val="20"/>
          <w:color w:val="auto"/>
        </w:rPr>
        <w:t>”) and hold each Indemnified Acquiror Party harmless from and against:</w:t>
      </w:r>
    </w:p>
    <w:p>
      <w:pPr>
        <w:spacing w:after="0" w:line="170" w:lineRule="exact"/>
        <w:rPr>
          <w:sz w:val="20"/>
          <w:szCs w:val="20"/>
          <w:color w:val="auto"/>
        </w:rPr>
      </w:pPr>
    </w:p>
    <w:p>
      <w:pPr>
        <w:ind w:right="660" w:firstLine="1698"/>
        <w:spacing w:after="0" w:line="342" w:lineRule="auto"/>
        <w:tabs>
          <w:tab w:leader="none" w:pos="2558" w:val="left"/>
        </w:tabs>
        <w:numPr>
          <w:ilvl w:val="0"/>
          <w:numId w:val="98"/>
        </w:numPr>
        <w:rPr>
          <w:rFonts w:ascii="Arial" w:cs="Arial" w:eastAsia="Arial" w:hAnsi="Arial"/>
          <w:sz w:val="16"/>
          <w:szCs w:val="16"/>
          <w:color w:val="auto"/>
        </w:rPr>
      </w:pPr>
      <w:r>
        <w:rPr>
          <w:rFonts w:ascii="Arial" w:cs="Arial" w:eastAsia="Arial" w:hAnsi="Arial"/>
          <w:sz w:val="16"/>
          <w:szCs w:val="16"/>
          <w:color w:val="auto"/>
        </w:rPr>
        <w:t>any liabilities, claims, demands, judgments, losses, costs, settlements, damages or expenses whatsoever (including reasonable attorneys’, consultants’ and other professional fees and disbursements of every kind, nature and description) (“</w:t>
      </w:r>
      <w:r>
        <w:rPr>
          <w:rFonts w:ascii="Arial" w:cs="Arial" w:eastAsia="Arial" w:hAnsi="Arial"/>
          <w:sz w:val="16"/>
          <w:szCs w:val="16"/>
          <w:b w:val="1"/>
          <w:bCs w:val="1"/>
          <w:color w:val="auto"/>
        </w:rPr>
        <w:t>Damages</w:t>
      </w:r>
      <w:r>
        <w:rPr>
          <w:rFonts w:ascii="Arial" w:cs="Arial" w:eastAsia="Arial" w:hAnsi="Arial"/>
          <w:sz w:val="16"/>
          <w:szCs w:val="16"/>
          <w:color w:val="auto"/>
        </w:rPr>
        <w:t>”) that such Indemnified Acquiror Party, directly or indirectly, sustains, suffers or incurs and that result from or arise out of:</w:t>
      </w:r>
    </w:p>
    <w:p>
      <w:pPr>
        <w:spacing w:after="0" w:line="118" w:lineRule="exact"/>
        <w:rPr>
          <w:rFonts w:ascii="Arial" w:cs="Arial" w:eastAsia="Arial" w:hAnsi="Arial"/>
          <w:sz w:val="16"/>
          <w:szCs w:val="16"/>
          <w:color w:val="auto"/>
        </w:rPr>
      </w:pPr>
    </w:p>
    <w:p>
      <w:pPr>
        <w:ind w:left="3480" w:hanging="768"/>
        <w:spacing w:after="0"/>
        <w:tabs>
          <w:tab w:leader="none" w:pos="3480" w:val="left"/>
        </w:tabs>
        <w:numPr>
          <w:ilvl w:val="1"/>
          <w:numId w:val="98"/>
        </w:numPr>
        <w:rPr>
          <w:rFonts w:ascii="Arial" w:cs="Arial" w:eastAsia="Arial" w:hAnsi="Arial"/>
          <w:sz w:val="18"/>
          <w:szCs w:val="18"/>
          <w:color w:val="auto"/>
        </w:rPr>
      </w:pPr>
      <w:r>
        <w:rPr>
          <w:rFonts w:ascii="Arial" w:cs="Arial" w:eastAsia="Arial" w:hAnsi="Arial"/>
          <w:sz w:val="18"/>
          <w:szCs w:val="18"/>
          <w:color w:val="auto"/>
        </w:rPr>
        <w:t>any breach or inaccuracy of any representation or warranty of Seller in the Transaction Documents;</w:t>
      </w:r>
    </w:p>
    <w:p>
      <w:pPr>
        <w:spacing w:after="0" w:line="38"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20"/>
          <w:szCs w:val="20"/>
          <w:color w:val="auto"/>
        </w:rPr>
        <w:t>and</w:t>
      </w:r>
    </w:p>
    <w:p>
      <w:pPr>
        <w:spacing w:after="0" w:line="199" w:lineRule="exact"/>
        <w:rPr>
          <w:rFonts w:ascii="Arial" w:cs="Arial" w:eastAsia="Arial" w:hAnsi="Arial"/>
          <w:sz w:val="18"/>
          <w:szCs w:val="18"/>
          <w:color w:val="auto"/>
        </w:rPr>
      </w:pPr>
    </w:p>
    <w:p>
      <w:pPr>
        <w:ind w:left="3620" w:hanging="908"/>
        <w:spacing w:after="0"/>
        <w:tabs>
          <w:tab w:leader="none" w:pos="3620" w:val="left"/>
        </w:tabs>
        <w:numPr>
          <w:ilvl w:val="1"/>
          <w:numId w:val="98"/>
        </w:numPr>
        <w:rPr>
          <w:rFonts w:ascii="Arial" w:cs="Arial" w:eastAsia="Arial" w:hAnsi="Arial"/>
          <w:sz w:val="18"/>
          <w:szCs w:val="18"/>
          <w:color w:val="auto"/>
        </w:rPr>
      </w:pPr>
      <w:r>
        <w:rPr>
          <w:rFonts w:ascii="Arial" w:cs="Arial" w:eastAsia="Arial" w:hAnsi="Arial"/>
          <w:sz w:val="18"/>
          <w:szCs w:val="18"/>
          <w:color w:val="auto"/>
        </w:rPr>
        <w:t>any breach or nonfulfillment of any covenant or agreement of Seller set forth in any Transaction</w:t>
      </w:r>
    </w:p>
    <w:p>
      <w:pPr>
        <w:spacing w:after="0" w:line="38"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20"/>
          <w:szCs w:val="20"/>
          <w:color w:val="auto"/>
        </w:rPr>
        <w:t>Document;</w:t>
      </w:r>
    </w:p>
    <w:p>
      <w:pPr>
        <w:spacing w:after="0" w:line="199" w:lineRule="exact"/>
        <w:rPr>
          <w:rFonts w:ascii="Arial" w:cs="Arial" w:eastAsia="Arial" w:hAnsi="Arial"/>
          <w:sz w:val="18"/>
          <w:szCs w:val="18"/>
          <w:color w:val="auto"/>
        </w:rPr>
      </w:pPr>
    </w:p>
    <w:p>
      <w:pPr>
        <w:ind w:left="2580" w:hanging="882"/>
        <w:spacing w:after="0"/>
        <w:tabs>
          <w:tab w:leader="none" w:pos="2580" w:val="left"/>
        </w:tabs>
        <w:numPr>
          <w:ilvl w:val="0"/>
          <w:numId w:val="98"/>
        </w:numPr>
        <w:rPr>
          <w:rFonts w:ascii="Arial" w:cs="Arial" w:eastAsia="Arial" w:hAnsi="Arial"/>
          <w:sz w:val="20"/>
          <w:szCs w:val="20"/>
          <w:color w:val="auto"/>
        </w:rPr>
      </w:pPr>
      <w:r>
        <w:rPr>
          <w:rFonts w:ascii="Arial" w:cs="Arial" w:eastAsia="Arial" w:hAnsi="Arial"/>
          <w:sz w:val="20"/>
          <w:szCs w:val="20"/>
          <w:color w:val="auto"/>
        </w:rPr>
        <w:t>any Damages arising out of or resulting from any liabilities that are not the Assumed Liabilities; and</w:t>
      </w:r>
    </w:p>
    <w:p>
      <w:pPr>
        <w:spacing w:after="0" w:line="215" w:lineRule="exact"/>
        <w:rPr>
          <w:rFonts w:ascii="Arial" w:cs="Arial" w:eastAsia="Arial" w:hAnsi="Arial"/>
          <w:sz w:val="20"/>
          <w:szCs w:val="20"/>
          <w:color w:val="auto"/>
        </w:rPr>
      </w:pPr>
    </w:p>
    <w:p>
      <w:pPr>
        <w:ind w:right="20" w:firstLine="1698"/>
        <w:spacing w:after="0" w:line="291" w:lineRule="auto"/>
        <w:tabs>
          <w:tab w:leader="none" w:pos="2555" w:val="left"/>
        </w:tabs>
        <w:numPr>
          <w:ilvl w:val="0"/>
          <w:numId w:val="98"/>
        </w:numPr>
        <w:rPr>
          <w:rFonts w:ascii="Arial" w:cs="Arial" w:eastAsia="Arial" w:hAnsi="Arial"/>
          <w:sz w:val="18"/>
          <w:szCs w:val="18"/>
          <w:color w:val="auto"/>
        </w:rPr>
      </w:pPr>
      <w:r>
        <w:rPr>
          <w:rFonts w:ascii="Arial" w:cs="Arial" w:eastAsia="Arial" w:hAnsi="Arial"/>
          <w:sz w:val="18"/>
          <w:szCs w:val="18"/>
          <w:color w:val="auto"/>
        </w:rPr>
        <w:t xml:space="preserve">any and all actions, suits, claims, proceedings, investigations, allegations, demands, assessments, audits, fines, judgments, costs and other expenses (including reasonable attorneys’ fees and expenses) incident to any of the foregoing or to the enforcement of this </w:t>
      </w:r>
      <w:r>
        <w:rPr>
          <w:rFonts w:ascii="Arial" w:cs="Arial" w:eastAsia="Arial" w:hAnsi="Arial"/>
          <w:sz w:val="18"/>
          <w:szCs w:val="18"/>
          <w:u w:val="single" w:color="auto"/>
          <w:color w:val="auto"/>
        </w:rPr>
        <w:t>Section 9.1</w:t>
      </w:r>
      <w:r>
        <w:rPr>
          <w:rFonts w:ascii="Arial" w:cs="Arial" w:eastAsia="Arial" w:hAnsi="Arial"/>
          <w:sz w:val="18"/>
          <w:szCs w:val="18"/>
          <w:color w:val="auto"/>
        </w:rPr>
        <w:t>, but only in connection with a claim for which any Indemnified Acquiror Party is entitled to indemnification.</w:t>
      </w:r>
    </w:p>
    <w:p>
      <w:pPr>
        <w:spacing w:after="0" w:line="152"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19</w:t>
      </w:r>
    </w:p>
    <w:p>
      <w:pPr>
        <w:spacing w:after="0" w:line="10" w:lineRule="exact"/>
        <w:rPr>
          <w:sz w:val="20"/>
          <w:szCs w:val="20"/>
          <w:color w:val="auto"/>
        </w:rPr>
      </w:pPr>
    </w:p>
    <w:p>
      <w:pPr>
        <w:ind w:right="40" w:firstLine="8"/>
        <w:spacing w:after="0" w:line="237" w:lineRule="auto"/>
        <w:tabs>
          <w:tab w:leader="none" w:pos="204" w:val="left"/>
        </w:tabs>
        <w:numPr>
          <w:ilvl w:val="0"/>
          <w:numId w:val="99"/>
        </w:numPr>
        <w:rPr>
          <w:rFonts w:ascii="Arial" w:cs="Arial" w:eastAsia="Arial" w:hAnsi="Arial"/>
          <w:sz w:val="14"/>
          <w:szCs w:val="14"/>
          <w:color w:val="auto"/>
        </w:rPr>
      </w:pPr>
      <w:r>
        <w:rPr>
          <w:rFonts w:ascii="Arial" w:cs="Arial" w:eastAsia="Arial" w:hAnsi="Arial"/>
          <w:sz w:val="14"/>
          <w:szCs w:val="14"/>
          <w:color w:val="auto"/>
        </w:rPr>
        <w:t>DESIGNATES PORTIONS OF THIS DOCUMENT THAT HAVE BEEN OMITTED PURSUANT TO A REQUEST FOR CONFIDENTIAL TREATMENT FILED SEPARATELY WITH THE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46990</wp:posOffset>
            </wp:positionV>
            <wp:extent cx="7289165"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68" w:right="239" w:bottom="1440" w:gutter="0" w:footer="0" w:header="0"/>
        </w:sectPr>
      </w:pPr>
    </w:p>
    <w:bookmarkStart w:id="83" w:name="page84"/>
    <w:bookmarkEnd w:id="83"/>
    <w:p>
      <w:pPr>
        <w:ind w:right="160" w:firstLine="846"/>
        <w:spacing w:after="0" w:line="250" w:lineRule="auto"/>
        <w:rPr>
          <w:sz w:val="20"/>
          <w:szCs w:val="20"/>
          <w:color w:val="auto"/>
        </w:rPr>
      </w:pPr>
      <w:r>
        <w:rPr>
          <w:rFonts w:ascii="Arial" w:cs="Arial" w:eastAsia="Arial" w:hAnsi="Arial"/>
          <w:sz w:val="20"/>
          <w:szCs w:val="20"/>
          <w:color w:val="auto"/>
        </w:rPr>
        <w:t xml:space="preserve">9.2 </w:t>
      </w:r>
      <w:r>
        <w:rPr>
          <w:rFonts w:ascii="Arial" w:cs="Arial" w:eastAsia="Arial" w:hAnsi="Arial"/>
          <w:sz w:val="20"/>
          <w:szCs w:val="20"/>
          <w:u w:val="single" w:color="auto"/>
          <w:color w:val="auto"/>
        </w:rPr>
        <w:t>By Acquiror</w:t>
      </w:r>
      <w:r>
        <w:rPr>
          <w:rFonts w:ascii="Arial" w:cs="Arial" w:eastAsia="Arial" w:hAnsi="Arial"/>
          <w:sz w:val="20"/>
          <w:szCs w:val="20"/>
          <w:color w:val="auto"/>
        </w:rPr>
        <w:t>. From and after the Closing Date, Acquiror shall indemnify the Seller, its successors and assigns, and its officers, directors, employees, stockholders and agents (each, an “</w:t>
      </w:r>
      <w:r>
        <w:rPr>
          <w:rFonts w:ascii="Arial" w:cs="Arial" w:eastAsia="Arial" w:hAnsi="Arial"/>
          <w:sz w:val="20"/>
          <w:szCs w:val="20"/>
          <w:b w:val="1"/>
          <w:bCs w:val="1"/>
          <w:color w:val="auto"/>
        </w:rPr>
        <w:t>Indemnified Seller Party</w:t>
      </w:r>
      <w:r>
        <w:rPr>
          <w:rFonts w:ascii="Arial" w:cs="Arial" w:eastAsia="Arial" w:hAnsi="Arial"/>
          <w:sz w:val="20"/>
          <w:szCs w:val="20"/>
          <w:color w:val="auto"/>
        </w:rPr>
        <w:t>”) and hold each Indemnified Seller Party harmless from and against:</w:t>
      </w:r>
    </w:p>
    <w:p>
      <w:pPr>
        <w:spacing w:after="0" w:line="186" w:lineRule="exact"/>
        <w:rPr>
          <w:sz w:val="20"/>
          <w:szCs w:val="20"/>
          <w:color w:val="auto"/>
        </w:rPr>
      </w:pPr>
    </w:p>
    <w:p>
      <w:pPr>
        <w:ind w:left="2560" w:hanging="862"/>
        <w:spacing w:after="0"/>
        <w:tabs>
          <w:tab w:leader="none" w:pos="256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any Damages that such Indemnified Seller Party, directly or indirectly, sustains, suffers or incurs and that result</w:t>
      </w:r>
    </w:p>
    <w:p>
      <w:pPr>
        <w:spacing w:after="0" w:line="39" w:lineRule="exact"/>
        <w:rPr>
          <w:sz w:val="20"/>
          <w:szCs w:val="20"/>
          <w:color w:val="auto"/>
        </w:rPr>
      </w:pPr>
    </w:p>
    <w:p>
      <w:pPr>
        <w:spacing w:after="0"/>
        <w:rPr>
          <w:sz w:val="20"/>
          <w:szCs w:val="20"/>
          <w:color w:val="auto"/>
        </w:rPr>
      </w:pPr>
      <w:r>
        <w:rPr>
          <w:rFonts w:ascii="Arial" w:cs="Arial" w:eastAsia="Arial" w:hAnsi="Arial"/>
          <w:sz w:val="20"/>
          <w:szCs w:val="20"/>
          <w:color w:val="auto"/>
        </w:rPr>
        <w:t>from or arise out of:</w:t>
      </w:r>
    </w:p>
    <w:p>
      <w:pPr>
        <w:spacing w:after="0" w:line="200" w:lineRule="exact"/>
        <w:rPr>
          <w:sz w:val="20"/>
          <w:szCs w:val="20"/>
          <w:color w:val="auto"/>
        </w:rPr>
      </w:pPr>
    </w:p>
    <w:p>
      <w:pPr>
        <w:ind w:left="2540"/>
        <w:spacing w:after="0"/>
        <w:tabs>
          <w:tab w:leader="none" w:pos="3560" w:val="left"/>
        </w:tabs>
        <w:rPr>
          <w:sz w:val="20"/>
          <w:szCs w:val="20"/>
          <w:color w:val="auto"/>
        </w:rPr>
      </w:pPr>
      <w:r>
        <w:rPr>
          <w:rFonts w:ascii="Arial" w:cs="Arial" w:eastAsia="Arial" w:hAnsi="Arial"/>
          <w:sz w:val="19"/>
          <w:szCs w:val="19"/>
          <w:color w:val="auto"/>
        </w:rPr>
        <w:t>(i)</w:t>
      </w:r>
      <w:r>
        <w:rPr>
          <w:sz w:val="20"/>
          <w:szCs w:val="20"/>
          <w:color w:val="auto"/>
        </w:rPr>
        <w:tab/>
      </w:r>
      <w:r>
        <w:rPr>
          <w:rFonts w:ascii="Arial" w:cs="Arial" w:eastAsia="Arial" w:hAnsi="Arial"/>
          <w:sz w:val="19"/>
          <w:szCs w:val="19"/>
          <w:color w:val="auto"/>
        </w:rPr>
        <w:t>any breach or inaccuracy of any representation or warranty of Acquiror in the Transaction</w:t>
      </w:r>
    </w:p>
    <w:p>
      <w:pPr>
        <w:spacing w:after="0" w:line="27" w:lineRule="exact"/>
        <w:rPr>
          <w:sz w:val="20"/>
          <w:szCs w:val="20"/>
          <w:color w:val="auto"/>
        </w:rPr>
      </w:pPr>
    </w:p>
    <w:p>
      <w:pPr>
        <w:spacing w:after="0"/>
        <w:rPr>
          <w:sz w:val="20"/>
          <w:szCs w:val="20"/>
          <w:color w:val="auto"/>
        </w:rPr>
      </w:pPr>
      <w:r>
        <w:rPr>
          <w:rFonts w:ascii="Arial" w:cs="Arial" w:eastAsia="Arial" w:hAnsi="Arial"/>
          <w:sz w:val="20"/>
          <w:szCs w:val="20"/>
          <w:color w:val="auto"/>
        </w:rPr>
        <w:t>Document; and</w:t>
      </w:r>
    </w:p>
    <w:p>
      <w:pPr>
        <w:spacing w:after="0" w:line="200" w:lineRule="exact"/>
        <w:rPr>
          <w:sz w:val="20"/>
          <w:szCs w:val="20"/>
          <w:color w:val="auto"/>
        </w:rPr>
      </w:pPr>
    </w:p>
    <w:p>
      <w:pPr>
        <w:ind w:left="3480" w:hanging="936"/>
        <w:spacing w:after="0"/>
        <w:tabs>
          <w:tab w:leader="none" w:pos="348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any breach or nonfulfillment of any covenant or agreement of Acquiror set forth in any Transaction</w:t>
      </w:r>
    </w:p>
    <w:p>
      <w:pPr>
        <w:spacing w:after="0" w:line="39" w:lineRule="exact"/>
        <w:rPr>
          <w:sz w:val="20"/>
          <w:szCs w:val="20"/>
          <w:color w:val="auto"/>
        </w:rPr>
      </w:pPr>
    </w:p>
    <w:p>
      <w:pPr>
        <w:spacing w:after="0"/>
        <w:rPr>
          <w:sz w:val="20"/>
          <w:szCs w:val="20"/>
          <w:color w:val="auto"/>
        </w:rPr>
      </w:pPr>
      <w:r>
        <w:rPr>
          <w:rFonts w:ascii="Arial" w:cs="Arial" w:eastAsia="Arial" w:hAnsi="Arial"/>
          <w:sz w:val="20"/>
          <w:szCs w:val="20"/>
          <w:color w:val="auto"/>
        </w:rPr>
        <w:t>Document; and</w:t>
      </w:r>
    </w:p>
    <w:p>
      <w:pPr>
        <w:spacing w:after="0" w:line="200" w:lineRule="exact"/>
        <w:rPr>
          <w:sz w:val="20"/>
          <w:szCs w:val="20"/>
          <w:color w:val="auto"/>
        </w:rPr>
      </w:pPr>
    </w:p>
    <w:p>
      <w:pPr>
        <w:ind w:right="160" w:firstLine="1698"/>
        <w:spacing w:after="0" w:line="244" w:lineRule="auto"/>
        <w:tabs>
          <w:tab w:leader="none" w:pos="2569" w:val="left"/>
        </w:tabs>
        <w:numPr>
          <w:ilvl w:val="0"/>
          <w:numId w:val="102"/>
        </w:numPr>
        <w:rPr>
          <w:rFonts w:ascii="Arial" w:cs="Arial" w:eastAsia="Arial" w:hAnsi="Arial"/>
          <w:sz w:val="20"/>
          <w:szCs w:val="20"/>
          <w:color w:val="auto"/>
        </w:rPr>
      </w:pPr>
      <w:r>
        <w:rPr>
          <w:rFonts w:ascii="Arial" w:cs="Arial" w:eastAsia="Arial" w:hAnsi="Arial"/>
          <w:sz w:val="20"/>
          <w:szCs w:val="20"/>
          <w:color w:val="auto"/>
        </w:rPr>
        <w:t xml:space="preserve">any Damages arising out of or resulting from any of the Assumed Liabilities, and pay any settlement costs or final judgment amounts with respect thereto incident to any of the foregoing or to the enforcement of this </w:t>
      </w:r>
      <w:r>
        <w:rPr>
          <w:rFonts w:ascii="Arial" w:cs="Arial" w:eastAsia="Arial" w:hAnsi="Arial"/>
          <w:sz w:val="20"/>
          <w:szCs w:val="20"/>
          <w:u w:val="single" w:color="auto"/>
          <w:color w:val="auto"/>
        </w:rPr>
        <w:t>Section 9.2</w:t>
      </w:r>
      <w:r>
        <w:rPr>
          <w:rFonts w:ascii="Arial" w:cs="Arial" w:eastAsia="Arial" w:hAnsi="Arial"/>
          <w:sz w:val="20"/>
          <w:szCs w:val="20"/>
          <w:color w:val="auto"/>
        </w:rPr>
        <w:t>, but only in connection with a claim for which any Indemnified Seller Party is entitled to indemnification; provided, in each case, that Acquiror shall have no liability with respect to any such claims arising out of or resulting from the gross negligence, willful misconduct, intentional misrepresentation, or fraudulent conduct of Seller.</w:t>
      </w:r>
    </w:p>
    <w:p>
      <w:pPr>
        <w:spacing w:after="0" w:line="195" w:lineRule="exact"/>
        <w:rPr>
          <w:sz w:val="20"/>
          <w:szCs w:val="20"/>
          <w:color w:val="auto"/>
        </w:rPr>
      </w:pPr>
    </w:p>
    <w:p>
      <w:pPr>
        <w:ind w:right="60" w:firstLine="846"/>
        <w:spacing w:after="0" w:line="258" w:lineRule="auto"/>
        <w:rPr>
          <w:sz w:val="20"/>
          <w:szCs w:val="20"/>
          <w:color w:val="auto"/>
        </w:rPr>
      </w:pPr>
      <w:r>
        <w:rPr>
          <w:rFonts w:ascii="Arial" w:cs="Arial" w:eastAsia="Arial" w:hAnsi="Arial"/>
          <w:sz w:val="19"/>
          <w:szCs w:val="19"/>
          <w:color w:val="auto"/>
        </w:rPr>
        <w:t xml:space="preserve">9.3 </w:t>
      </w:r>
      <w:r>
        <w:rPr>
          <w:rFonts w:ascii="Arial" w:cs="Arial" w:eastAsia="Arial" w:hAnsi="Arial"/>
          <w:sz w:val="19"/>
          <w:szCs w:val="19"/>
          <w:u w:val="single" w:color="auto"/>
          <w:color w:val="auto"/>
        </w:rPr>
        <w:t>Limitation of Liability</w:t>
      </w:r>
      <w:r>
        <w:rPr>
          <w:rFonts w:ascii="Arial" w:cs="Arial" w:eastAsia="Arial" w:hAnsi="Arial"/>
          <w:sz w:val="19"/>
          <w:szCs w:val="19"/>
          <w:color w:val="auto"/>
        </w:rPr>
        <w:t>. EXCEPT IN CASE OF THE FRAUD OR WILFUL MISCONDUCT OF A PARTY, NEITHER PARTY WILL BE LIABLE TO THE OTHER FOR ANY LOST PROFITS, LOST BUSINESS OR ANY INDIRECT, INCIDENTAL, CONSEQUENTIAL, PUNITIVE, EXEMPLARY OR OTHER SPECIAL DAMAGES SUFFERED BY THE OTHER PARTY OR ITS AFFILIATES ARISING OUT OF OR RELATED TO THIS AGREEMENT FOR ALL CAUSES OF ACTION OF ANY KIND (INCLUDING TORT, CONTRACT, NEGLIGENCE, STRICT LIABILITY, INDEMNITY AND BREACH OF WARRANTY) EVEN IF SUCH PARTY HAS BEEN ADVISED OF THE POSSIBILITY OF SUCH DAMAGES, UNLESS SUCH DAMAGES ARE PAYABLE TO A THIRD PARTY IN CONNECTION WITH A CLAIM BY SUCH THIRD PARTY THAT IS INDEMNIFIABLE HEREUNDER.</w:t>
      </w:r>
    </w:p>
    <w:p>
      <w:pPr>
        <w:spacing w:after="0" w:line="173" w:lineRule="exact"/>
        <w:rPr>
          <w:sz w:val="20"/>
          <w:szCs w:val="20"/>
          <w:color w:val="auto"/>
        </w:rPr>
      </w:pPr>
    </w:p>
    <w:p>
      <w:pPr>
        <w:ind w:firstLine="846"/>
        <w:spacing w:after="0" w:line="270" w:lineRule="auto"/>
        <w:rPr>
          <w:sz w:val="20"/>
          <w:szCs w:val="20"/>
          <w:color w:val="auto"/>
        </w:rPr>
      </w:pPr>
      <w:r>
        <w:rPr>
          <w:rFonts w:ascii="Arial" w:cs="Arial" w:eastAsia="Arial" w:hAnsi="Arial"/>
          <w:sz w:val="18"/>
          <w:szCs w:val="18"/>
          <w:color w:val="auto"/>
        </w:rPr>
        <w:t xml:space="preserve">9.4 </w:t>
      </w:r>
      <w:r>
        <w:rPr>
          <w:rFonts w:ascii="Arial" w:cs="Arial" w:eastAsia="Arial" w:hAnsi="Arial"/>
          <w:sz w:val="18"/>
          <w:szCs w:val="18"/>
          <w:u w:val="single" w:color="auto"/>
          <w:color w:val="auto"/>
        </w:rPr>
        <w:t>Procedure for Claims</w:t>
      </w:r>
      <w:r>
        <w:rPr>
          <w:rFonts w:ascii="Arial" w:cs="Arial" w:eastAsia="Arial" w:hAnsi="Arial"/>
          <w:sz w:val="18"/>
          <w:szCs w:val="18"/>
          <w:color w:val="auto"/>
        </w:rPr>
        <w:t>. A party that intends to claim indemnification under this ARTICLE 9 (the “</w:t>
      </w:r>
      <w:r>
        <w:rPr>
          <w:rFonts w:ascii="Arial" w:cs="Arial" w:eastAsia="Arial" w:hAnsi="Arial"/>
          <w:sz w:val="18"/>
          <w:szCs w:val="18"/>
          <w:b w:val="1"/>
          <w:bCs w:val="1"/>
          <w:color w:val="auto"/>
        </w:rPr>
        <w:t>Indemnitee</w:t>
      </w:r>
      <w:r>
        <w:rPr>
          <w:rFonts w:ascii="Arial" w:cs="Arial" w:eastAsia="Arial" w:hAnsi="Arial"/>
          <w:sz w:val="18"/>
          <w:szCs w:val="18"/>
          <w:color w:val="auto"/>
        </w:rPr>
        <w:t>”) shall promptly notify the other party (the “</w:t>
      </w:r>
      <w:r>
        <w:rPr>
          <w:rFonts w:ascii="Arial" w:cs="Arial" w:eastAsia="Arial" w:hAnsi="Arial"/>
          <w:sz w:val="18"/>
          <w:szCs w:val="18"/>
          <w:b w:val="1"/>
          <w:bCs w:val="1"/>
          <w:color w:val="auto"/>
        </w:rPr>
        <w:t>Indemnitor</w:t>
      </w:r>
      <w:r>
        <w:rPr>
          <w:rFonts w:ascii="Arial" w:cs="Arial" w:eastAsia="Arial" w:hAnsi="Arial"/>
          <w:sz w:val="18"/>
          <w:szCs w:val="18"/>
          <w:color w:val="auto"/>
        </w:rPr>
        <w:t>”) in writing of the assertion or the commencement of any Action by a Third Party (a “</w:t>
      </w:r>
      <w:r>
        <w:rPr>
          <w:rFonts w:ascii="Arial" w:cs="Arial" w:eastAsia="Arial" w:hAnsi="Arial"/>
          <w:sz w:val="18"/>
          <w:szCs w:val="18"/>
          <w:b w:val="1"/>
          <w:bCs w:val="1"/>
          <w:color w:val="auto"/>
        </w:rPr>
        <w:t>Third</w:t>
      </w:r>
      <w:r>
        <w:rPr>
          <w:rFonts w:ascii="Arial" w:cs="Arial" w:eastAsia="Arial" w:hAnsi="Arial"/>
          <w:sz w:val="18"/>
          <w:szCs w:val="18"/>
          <w:color w:val="auto"/>
        </w:rPr>
        <w:t xml:space="preserve"> </w:t>
      </w:r>
      <w:r>
        <w:rPr>
          <w:rFonts w:ascii="Arial" w:cs="Arial" w:eastAsia="Arial" w:hAnsi="Arial"/>
          <w:sz w:val="18"/>
          <w:szCs w:val="18"/>
          <w:b w:val="1"/>
          <w:bCs w:val="1"/>
          <w:color w:val="auto"/>
        </w:rPr>
        <w:t>Party Claim</w:t>
      </w:r>
      <w:r>
        <w:rPr>
          <w:rFonts w:ascii="Arial" w:cs="Arial" w:eastAsia="Arial" w:hAnsi="Arial"/>
          <w:sz w:val="18"/>
          <w:szCs w:val="18"/>
          <w:color w:val="auto"/>
        </w:rPr>
        <w:t>”) and will provide the Indemnitor such information with respect thereto that the Indemnitor may reasonably request. The failure to</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deliver written notice to the Indemnitor within a reasonable time after the commencement of any Action with respect to a Third Party Claim shall not relieve the Indemnitor of its obligations under this ARTICLE 9 unless the delay or failure is materially prejudicial to its ability to defend such action. The Indemnitor shall be entitled to control the defense of any Third Party Claim, at its expense, provided that any such Third Party Claim relates to the ownership of any Purchased Assets, or their use, Acquiror shall be entitled to control the defense of any such Third Party claim, at Seller’s expense. The Indemnitee under this </w:t>
      </w:r>
      <w:r>
        <w:rPr>
          <w:rFonts w:ascii="Arial" w:cs="Arial" w:eastAsia="Arial" w:hAnsi="Arial"/>
          <w:sz w:val="18"/>
          <w:szCs w:val="18"/>
          <w:u w:val="single" w:color="auto"/>
          <w:color w:val="auto"/>
        </w:rPr>
        <w:t>Section 9.1(c)</w:t>
      </w:r>
      <w:r>
        <w:rPr>
          <w:rFonts w:ascii="Arial" w:cs="Arial" w:eastAsia="Arial" w:hAnsi="Arial"/>
          <w:sz w:val="18"/>
          <w:szCs w:val="18"/>
          <w:color w:val="auto"/>
        </w:rPr>
        <w:t xml:space="preserve"> shall cooperate fully with the Indemnitor and its legal representatives in the investigation of any Action with respect to a Third Party Claim covered by this indemnification. The Indemnitor shall conduct the defense of such Action and shall keep the Indemnitee, reasonably informed of the status of such Action. The Indemnitee shall cooperate fully with the Indemnitor and its legal representatives in the investigation of any Action with respect to any Third Party Claim. The Indemnitee shall be entitled to participate in any such defense at its sole cost and expense, subject to the obligation of Seller to pay expenses as described in the third sentence above. The Indemnitor shall seek the prior written consent of the Indemnitee (which consent shall not be unreasonably withheld, conditioned or delayed) in connection with the Indemnitor’s settlement or compromise of any such third party Action.</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20</w:t>
      </w:r>
    </w:p>
    <w:p>
      <w:pPr>
        <w:spacing w:after="0" w:line="10" w:lineRule="exact"/>
        <w:rPr>
          <w:sz w:val="20"/>
          <w:szCs w:val="20"/>
          <w:color w:val="auto"/>
        </w:rPr>
      </w:pPr>
    </w:p>
    <w:p>
      <w:pPr>
        <w:ind w:right="40" w:firstLine="8"/>
        <w:spacing w:after="0" w:line="237" w:lineRule="auto"/>
        <w:tabs>
          <w:tab w:leader="none" w:pos="204" w:val="left"/>
        </w:tabs>
        <w:numPr>
          <w:ilvl w:val="0"/>
          <w:numId w:val="103"/>
        </w:numPr>
        <w:rPr>
          <w:rFonts w:ascii="Arial" w:cs="Arial" w:eastAsia="Arial" w:hAnsi="Arial"/>
          <w:sz w:val="14"/>
          <w:szCs w:val="14"/>
          <w:color w:val="auto"/>
        </w:rPr>
      </w:pPr>
      <w:r>
        <w:rPr>
          <w:rFonts w:ascii="Arial" w:cs="Arial" w:eastAsia="Arial" w:hAnsi="Arial"/>
          <w:sz w:val="14"/>
          <w:szCs w:val="14"/>
          <w:color w:val="auto"/>
        </w:rPr>
        <w:t>DESIGNATES PORTIONS OF THIS DOCUMENT THAT HAVE BEEN OMITTED PURSUANT TO A REQUEST FOR CONFIDENTIAL TREATMENT FILED SEPARATELY WITH THE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46990</wp:posOffset>
            </wp:positionV>
            <wp:extent cx="7289165"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68" w:right="239" w:bottom="1440" w:gutter="0" w:footer="0" w:header="0"/>
        </w:sectPr>
      </w:pPr>
    </w:p>
    <w:bookmarkStart w:id="84" w:name="page85"/>
    <w:bookmarkEnd w:id="84"/>
    <w:tbl>
      <w:tblPr>
        <w:tblLayout w:type="fixed"/>
        <w:tblInd w:w="0" w:type="dxa"/>
        <w:tblCellMar>
          <w:top w:w="0" w:type="dxa"/>
          <w:left w:w="0" w:type="dxa"/>
          <w:bottom w:w="0" w:type="dxa"/>
          <w:right w:w="0" w:type="dxa"/>
        </w:tblCellMar>
      </w:tblPr>
      <w:tr>
        <w:trPr>
          <w:trHeight w:val="230"/>
        </w:trPr>
        <w:tc>
          <w:tcPr>
            <w:tcW w:w="1840" w:type="dxa"/>
            <w:vAlign w:val="bottom"/>
          </w:tcPr>
          <w:p>
            <w:pPr>
              <w:jc w:val="right"/>
              <w:ind w:right="641"/>
              <w:spacing w:after="0"/>
              <w:rPr>
                <w:sz w:val="20"/>
                <w:szCs w:val="20"/>
                <w:color w:val="auto"/>
              </w:rPr>
            </w:pPr>
            <w:r>
              <w:rPr>
                <w:rFonts w:ascii="Arial" w:cs="Arial" w:eastAsia="Arial" w:hAnsi="Arial"/>
                <w:sz w:val="20"/>
                <w:szCs w:val="20"/>
                <w:color w:val="auto"/>
              </w:rPr>
              <w:t>9.5</w:t>
            </w:r>
          </w:p>
        </w:tc>
        <w:tc>
          <w:tcPr>
            <w:tcW w:w="9540" w:type="dxa"/>
            <w:vAlign w:val="bottom"/>
            <w:gridSpan w:val="5"/>
          </w:tcPr>
          <w:p>
            <w:pPr>
              <w:spacing w:after="0"/>
              <w:rPr>
                <w:sz w:val="20"/>
                <w:szCs w:val="20"/>
                <w:color w:val="auto"/>
              </w:rPr>
            </w:pPr>
            <w:r>
              <w:rPr>
                <w:rFonts w:ascii="Arial" w:cs="Arial" w:eastAsia="Arial" w:hAnsi="Arial"/>
                <w:sz w:val="20"/>
                <w:szCs w:val="20"/>
                <w:color w:val="auto"/>
                <w:w w:val="91"/>
              </w:rPr>
              <w:t>Right of Offset. In the event that an Indemnified Acquiror Party is seeking indemnification pursuant to this ARTICLE 9,</w:t>
            </w:r>
          </w:p>
        </w:tc>
      </w:tr>
      <w:tr>
        <w:trPr>
          <w:trHeight w:val="20"/>
        </w:trPr>
        <w:tc>
          <w:tcPr>
            <w:tcW w:w="184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732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33"/>
        </w:trPr>
        <w:tc>
          <w:tcPr>
            <w:tcW w:w="11380" w:type="dxa"/>
            <w:vAlign w:val="bottom"/>
            <w:gridSpan w:val="6"/>
          </w:tcPr>
          <w:p>
            <w:pPr>
              <w:spacing w:after="0"/>
              <w:rPr>
                <w:sz w:val="20"/>
                <w:szCs w:val="20"/>
                <w:color w:val="auto"/>
              </w:rPr>
            </w:pPr>
            <w:r>
              <w:rPr>
                <w:rFonts w:ascii="Arial" w:cs="Arial" w:eastAsia="Arial" w:hAnsi="Arial"/>
                <w:sz w:val="20"/>
                <w:szCs w:val="20"/>
                <w:color w:val="auto"/>
                <w:w w:val="96"/>
              </w:rPr>
              <w:t>Acquiror shall be entitled to withhold the amount of any Damages sought from any amounts due from Acquiror to Seller, including any</w:t>
            </w:r>
          </w:p>
        </w:tc>
      </w:tr>
      <w:tr>
        <w:trPr>
          <w:trHeight w:val="250"/>
        </w:trPr>
        <w:tc>
          <w:tcPr>
            <w:tcW w:w="11380" w:type="dxa"/>
            <w:vAlign w:val="bottom"/>
            <w:gridSpan w:val="6"/>
          </w:tcPr>
          <w:p>
            <w:pPr>
              <w:spacing w:after="0"/>
              <w:rPr>
                <w:sz w:val="20"/>
                <w:szCs w:val="20"/>
                <w:color w:val="auto"/>
              </w:rPr>
            </w:pPr>
            <w:r>
              <w:rPr>
                <w:rFonts w:ascii="Arial" w:cs="Arial" w:eastAsia="Arial" w:hAnsi="Arial"/>
                <w:sz w:val="20"/>
                <w:szCs w:val="20"/>
                <w:color w:val="auto"/>
              </w:rPr>
              <w:t>Milestone Payments, to the extent any such amounts are then, or may in the future, become payable.</w:t>
            </w:r>
          </w:p>
        </w:tc>
      </w:tr>
      <w:tr>
        <w:trPr>
          <w:trHeight w:val="401"/>
        </w:trPr>
        <w:tc>
          <w:tcPr>
            <w:tcW w:w="1840" w:type="dxa"/>
            <w:vAlign w:val="bottom"/>
          </w:tcPr>
          <w:p>
            <w:pPr>
              <w:jc w:val="right"/>
              <w:ind w:right="641"/>
              <w:spacing w:after="0"/>
              <w:rPr>
                <w:sz w:val="20"/>
                <w:szCs w:val="20"/>
                <w:color w:val="auto"/>
              </w:rPr>
            </w:pPr>
            <w:r>
              <w:rPr>
                <w:rFonts w:ascii="Arial" w:cs="Arial" w:eastAsia="Arial" w:hAnsi="Arial"/>
                <w:sz w:val="20"/>
                <w:szCs w:val="20"/>
                <w:color w:val="auto"/>
              </w:rPr>
              <w:t>9.6</w:t>
            </w:r>
          </w:p>
        </w:tc>
        <w:tc>
          <w:tcPr>
            <w:tcW w:w="9540" w:type="dxa"/>
            <w:vAlign w:val="bottom"/>
            <w:gridSpan w:val="5"/>
          </w:tcPr>
          <w:p>
            <w:pPr>
              <w:spacing w:after="0"/>
              <w:rPr>
                <w:sz w:val="20"/>
                <w:szCs w:val="20"/>
                <w:color w:val="auto"/>
              </w:rPr>
            </w:pPr>
            <w:r>
              <w:rPr>
                <w:rFonts w:ascii="Arial" w:cs="Arial" w:eastAsia="Arial" w:hAnsi="Arial"/>
                <w:sz w:val="20"/>
                <w:szCs w:val="20"/>
                <w:color w:val="auto"/>
                <w:w w:val="89"/>
              </w:rPr>
              <w:t>Survival. The representations and warranties of Seller contained in this Agreement, and any claims with respect thereto,</w:t>
            </w:r>
          </w:p>
        </w:tc>
      </w:tr>
      <w:tr>
        <w:trPr>
          <w:trHeight w:val="20"/>
        </w:trPr>
        <w:tc>
          <w:tcPr>
            <w:tcW w:w="184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3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10" w:lineRule="exact"/>
        <w:rPr>
          <w:sz w:val="20"/>
          <w:szCs w:val="20"/>
          <w:color w:val="auto"/>
        </w:rPr>
      </w:pPr>
    </w:p>
    <w:p>
      <w:pPr>
        <w:ind w:right="240"/>
        <w:spacing w:after="0" w:line="250" w:lineRule="auto"/>
        <w:rPr>
          <w:sz w:val="20"/>
          <w:szCs w:val="20"/>
          <w:color w:val="auto"/>
        </w:rPr>
      </w:pPr>
      <w:r>
        <w:rPr>
          <w:rFonts w:ascii="Arial" w:cs="Arial" w:eastAsia="Arial" w:hAnsi="Arial"/>
          <w:sz w:val="20"/>
          <w:szCs w:val="20"/>
          <w:color w:val="auto"/>
        </w:rPr>
        <w:t>shall survive the Closing for a period of [†] ([†]) [†]. The representations and warranties of Acquiror contained in this Agreement, and any claims with respect thereto, shall expire at the Closing. The respective covenants of both parties shall survive the Closing in accordance with their terms.</w:t>
      </w:r>
    </w:p>
    <w:p>
      <w:pPr>
        <w:spacing w:after="0" w:line="180" w:lineRule="exact"/>
        <w:rPr>
          <w:sz w:val="20"/>
          <w:szCs w:val="20"/>
          <w:color w:val="auto"/>
        </w:rPr>
      </w:pPr>
    </w:p>
    <w:p>
      <w:pPr>
        <w:jc w:val="center"/>
        <w:ind w:right="-39"/>
        <w:spacing w:after="0"/>
        <w:rPr>
          <w:sz w:val="20"/>
          <w:szCs w:val="20"/>
          <w:color w:val="auto"/>
        </w:rPr>
      </w:pPr>
      <w:r>
        <w:rPr>
          <w:rFonts w:ascii="Arial" w:cs="Arial" w:eastAsia="Arial" w:hAnsi="Arial"/>
          <w:sz w:val="20"/>
          <w:szCs w:val="20"/>
          <w:b w:val="1"/>
          <w:bCs w:val="1"/>
          <w:color w:val="auto"/>
        </w:rPr>
        <w:t>ARTICLE 10 MISCELLANEOUS</w:t>
      </w:r>
    </w:p>
    <w:p>
      <w:pPr>
        <w:spacing w:after="0" w:line="222" w:lineRule="exact"/>
        <w:rPr>
          <w:sz w:val="20"/>
          <w:szCs w:val="20"/>
          <w:color w:val="auto"/>
        </w:rPr>
      </w:pPr>
    </w:p>
    <w:p>
      <w:pPr>
        <w:ind w:right="40" w:firstLine="846"/>
        <w:spacing w:after="0" w:line="243" w:lineRule="auto"/>
        <w:rPr>
          <w:sz w:val="20"/>
          <w:szCs w:val="20"/>
          <w:color w:val="auto"/>
        </w:rPr>
      </w:pPr>
      <w:r>
        <w:rPr>
          <w:rFonts w:ascii="Arial" w:cs="Arial" w:eastAsia="Arial" w:hAnsi="Arial"/>
          <w:sz w:val="20"/>
          <w:szCs w:val="20"/>
          <w:color w:val="auto"/>
        </w:rPr>
        <w:t xml:space="preserve">10.1 </w:t>
      </w:r>
      <w:r>
        <w:rPr>
          <w:rFonts w:ascii="Arial" w:cs="Arial" w:eastAsia="Arial" w:hAnsi="Arial"/>
          <w:sz w:val="20"/>
          <w:szCs w:val="20"/>
          <w:u w:val="single" w:color="auto"/>
          <w:color w:val="auto"/>
        </w:rPr>
        <w:t>Notices</w:t>
      </w:r>
      <w:r>
        <w:rPr>
          <w:rFonts w:ascii="Arial" w:cs="Arial" w:eastAsia="Arial" w:hAnsi="Arial"/>
          <w:sz w:val="20"/>
          <w:szCs w:val="20"/>
          <w:color w:val="auto"/>
        </w:rPr>
        <w:t>. Any notice, request, demand, waiver, consent, approval or other communication which is required or permitted hereunder shall be in writing and shall be deemed given: (a) on the date established by the sender as the date of actual personal delivery; (b) on the date delivered by a private courier as established by the sender by evidence obtained from the courier; (c) on the date sent by facsimile, with confirmation of transmission, if sent during normal business hours of the recipient, if not, then on the [†]; or (d) on the [†] after the date mailed, by certified or registered mail, return receipt requested, postage prepaid. Such communications, to be valid, must be addressed as follows:</w:t>
      </w:r>
    </w:p>
    <w:p>
      <w:pPr>
        <w:spacing w:after="0" w:line="197" w:lineRule="exact"/>
        <w:rPr>
          <w:sz w:val="20"/>
          <w:szCs w:val="20"/>
          <w:color w:val="auto"/>
        </w:rPr>
      </w:pPr>
    </w:p>
    <w:p>
      <w:pPr>
        <w:ind w:left="860"/>
        <w:spacing w:after="0"/>
        <w:rPr>
          <w:sz w:val="20"/>
          <w:szCs w:val="20"/>
          <w:color w:val="auto"/>
        </w:rPr>
      </w:pPr>
      <w:r>
        <w:rPr>
          <w:rFonts w:ascii="Arial" w:cs="Arial" w:eastAsia="Arial" w:hAnsi="Arial"/>
          <w:sz w:val="20"/>
          <w:szCs w:val="20"/>
          <w:color w:val="auto"/>
        </w:rPr>
        <w:t>If to Seller, to:</w:t>
      </w:r>
    </w:p>
    <w:p>
      <w:pPr>
        <w:spacing w:after="0" w:line="216" w:lineRule="exact"/>
        <w:rPr>
          <w:sz w:val="20"/>
          <w:szCs w:val="20"/>
          <w:color w:val="auto"/>
        </w:rPr>
      </w:pPr>
    </w:p>
    <w:p>
      <w:pPr>
        <w:ind w:left="1700"/>
        <w:spacing w:after="0"/>
        <w:rPr>
          <w:sz w:val="20"/>
          <w:szCs w:val="20"/>
          <w:color w:val="auto"/>
        </w:rPr>
      </w:pPr>
      <w:r>
        <w:rPr>
          <w:rFonts w:ascii="Arial" w:cs="Arial" w:eastAsia="Arial" w:hAnsi="Arial"/>
          <w:sz w:val="20"/>
          <w:szCs w:val="20"/>
          <w:color w:val="auto"/>
        </w:rPr>
        <w:t>1</w:t>
      </w:r>
      <w:r>
        <w:rPr>
          <w:rFonts w:ascii="Arial" w:cs="Arial" w:eastAsia="Arial" w:hAnsi="Arial"/>
          <w:sz w:val="20"/>
          <w:szCs w:val="20"/>
          <w:color w:val="auto"/>
          <w:vertAlign w:val="superscript"/>
        </w:rPr>
        <w:t>ST</w:t>
      </w:r>
      <w:r>
        <w:rPr>
          <w:rFonts w:ascii="Arial" w:cs="Arial" w:eastAsia="Arial" w:hAnsi="Arial"/>
          <w:sz w:val="20"/>
          <w:szCs w:val="20"/>
          <w:color w:val="auto"/>
        </w:rPr>
        <w:t xml:space="preserve"> Order Pharmaceuticals</w:t>
      </w:r>
    </w:p>
    <w:p>
      <w:pPr>
        <w:spacing w:after="0" w:line="15" w:lineRule="exact"/>
        <w:rPr>
          <w:sz w:val="20"/>
          <w:szCs w:val="20"/>
          <w:color w:val="auto"/>
        </w:rPr>
      </w:pPr>
    </w:p>
    <w:p>
      <w:pPr>
        <w:ind w:left="1700"/>
        <w:spacing w:after="0"/>
        <w:rPr>
          <w:sz w:val="20"/>
          <w:szCs w:val="20"/>
          <w:color w:val="auto"/>
        </w:rPr>
      </w:pPr>
      <w:r>
        <w:rPr>
          <w:rFonts w:ascii="Arial" w:cs="Arial" w:eastAsia="Arial" w:hAnsi="Arial"/>
          <w:sz w:val="20"/>
          <w:szCs w:val="20"/>
          <w:color w:val="auto"/>
        </w:rPr>
        <w:t>5511 NC Highway 902</w:t>
      </w:r>
    </w:p>
    <w:p>
      <w:pPr>
        <w:ind w:left="1700"/>
        <w:spacing w:after="0"/>
        <w:rPr>
          <w:sz w:val="20"/>
          <w:szCs w:val="20"/>
          <w:color w:val="auto"/>
        </w:rPr>
      </w:pPr>
      <w:r>
        <w:rPr>
          <w:rFonts w:ascii="Arial" w:cs="Arial" w:eastAsia="Arial" w:hAnsi="Arial"/>
          <w:sz w:val="20"/>
          <w:szCs w:val="20"/>
          <w:color w:val="auto"/>
        </w:rPr>
        <w:t>Pittsboro, NC 27312</w:t>
      </w:r>
    </w:p>
    <w:p>
      <w:pPr>
        <w:ind w:left="1700"/>
        <w:spacing w:after="0"/>
        <w:rPr>
          <w:sz w:val="20"/>
          <w:szCs w:val="20"/>
          <w:color w:val="auto"/>
        </w:rPr>
      </w:pPr>
      <w:r>
        <w:rPr>
          <w:rFonts w:ascii="Arial" w:cs="Arial" w:eastAsia="Arial" w:hAnsi="Arial"/>
          <w:sz w:val="20"/>
          <w:szCs w:val="20"/>
          <w:color w:val="auto"/>
        </w:rPr>
        <w:t>Attn: President and Chief Scientific Officer</w:t>
      </w:r>
    </w:p>
    <w:p>
      <w:pPr>
        <w:ind w:left="1700"/>
        <w:spacing w:after="0"/>
        <w:rPr>
          <w:sz w:val="20"/>
          <w:szCs w:val="20"/>
          <w:color w:val="auto"/>
        </w:rPr>
      </w:pPr>
      <w:r>
        <w:rPr>
          <w:rFonts w:ascii="Arial" w:cs="Arial" w:eastAsia="Arial" w:hAnsi="Arial"/>
          <w:sz w:val="20"/>
          <w:szCs w:val="20"/>
          <w:color w:val="auto"/>
        </w:rPr>
        <w:t>Facsimile: (919) 542-5421</w:t>
      </w:r>
    </w:p>
    <w:p>
      <w:pPr>
        <w:ind w:left="1700"/>
        <w:spacing w:after="0"/>
        <w:rPr>
          <w:sz w:val="20"/>
          <w:szCs w:val="20"/>
          <w:color w:val="auto"/>
        </w:rPr>
      </w:pPr>
      <w:r>
        <w:rPr>
          <w:rFonts w:ascii="Arial" w:cs="Arial" w:eastAsia="Arial" w:hAnsi="Arial"/>
          <w:sz w:val="20"/>
          <w:szCs w:val="20"/>
          <w:color w:val="auto"/>
        </w:rPr>
        <w:t>Telephone: (919) 812-8119</w:t>
      </w:r>
    </w:p>
    <w:p>
      <w:pPr>
        <w:spacing w:after="0" w:line="200" w:lineRule="exact"/>
        <w:rPr>
          <w:sz w:val="20"/>
          <w:szCs w:val="20"/>
          <w:color w:val="auto"/>
        </w:rPr>
      </w:pPr>
    </w:p>
    <w:p>
      <w:pPr>
        <w:ind w:left="860"/>
        <w:spacing w:after="0"/>
        <w:rPr>
          <w:sz w:val="20"/>
          <w:szCs w:val="20"/>
          <w:color w:val="auto"/>
        </w:rPr>
      </w:pPr>
      <w:r>
        <w:rPr>
          <w:rFonts w:ascii="Arial" w:cs="Arial" w:eastAsia="Arial" w:hAnsi="Arial"/>
          <w:sz w:val="20"/>
          <w:szCs w:val="20"/>
          <w:color w:val="auto"/>
        </w:rPr>
        <w:t>With a copy to:</w:t>
      </w:r>
    </w:p>
    <w:p>
      <w:pPr>
        <w:spacing w:after="0" w:line="216" w:lineRule="exact"/>
        <w:rPr>
          <w:sz w:val="20"/>
          <w:szCs w:val="20"/>
          <w:color w:val="auto"/>
        </w:rPr>
      </w:pPr>
    </w:p>
    <w:p>
      <w:pPr>
        <w:ind w:left="1700"/>
        <w:spacing w:after="0"/>
        <w:rPr>
          <w:sz w:val="20"/>
          <w:szCs w:val="20"/>
          <w:color w:val="auto"/>
        </w:rPr>
      </w:pPr>
      <w:r>
        <w:rPr>
          <w:rFonts w:ascii="Arial" w:cs="Arial" w:eastAsia="Arial" w:hAnsi="Arial"/>
          <w:sz w:val="20"/>
          <w:szCs w:val="20"/>
          <w:color w:val="auto"/>
        </w:rPr>
        <w:t>Wyrick Robbins Yates &amp; Ponton LLP</w:t>
      </w:r>
    </w:p>
    <w:p>
      <w:pPr>
        <w:spacing w:after="0" w:line="15" w:lineRule="exact"/>
        <w:rPr>
          <w:sz w:val="20"/>
          <w:szCs w:val="20"/>
          <w:color w:val="auto"/>
        </w:rPr>
      </w:pPr>
    </w:p>
    <w:p>
      <w:pPr>
        <w:ind w:left="1700"/>
        <w:spacing w:after="0"/>
        <w:rPr>
          <w:sz w:val="20"/>
          <w:szCs w:val="20"/>
          <w:color w:val="auto"/>
        </w:rPr>
      </w:pPr>
      <w:r>
        <w:rPr>
          <w:rFonts w:ascii="Arial" w:cs="Arial" w:eastAsia="Arial" w:hAnsi="Arial"/>
          <w:sz w:val="20"/>
          <w:szCs w:val="20"/>
          <w:color w:val="auto"/>
        </w:rPr>
        <w:t>4101 Lake Boone Trail, Suite 300</w:t>
      </w:r>
    </w:p>
    <w:p>
      <w:pPr>
        <w:ind w:left="1700"/>
        <w:spacing w:after="0"/>
        <w:rPr>
          <w:sz w:val="20"/>
          <w:szCs w:val="20"/>
          <w:color w:val="auto"/>
        </w:rPr>
      </w:pPr>
      <w:r>
        <w:rPr>
          <w:rFonts w:ascii="Arial" w:cs="Arial" w:eastAsia="Arial" w:hAnsi="Arial"/>
          <w:sz w:val="20"/>
          <w:szCs w:val="20"/>
          <w:color w:val="auto"/>
        </w:rPr>
        <w:t>Raleigh, NC 27607</w:t>
      </w:r>
    </w:p>
    <w:p>
      <w:pPr>
        <w:ind w:left="1700"/>
        <w:spacing w:after="0"/>
        <w:rPr>
          <w:sz w:val="20"/>
          <w:szCs w:val="20"/>
          <w:color w:val="auto"/>
        </w:rPr>
      </w:pPr>
      <w:r>
        <w:rPr>
          <w:rFonts w:ascii="Arial" w:cs="Arial" w:eastAsia="Arial" w:hAnsi="Arial"/>
          <w:sz w:val="20"/>
          <w:szCs w:val="20"/>
          <w:color w:val="auto"/>
        </w:rPr>
        <w:t>Attn: Thomas A. Allen</w:t>
      </w:r>
    </w:p>
    <w:p>
      <w:pPr>
        <w:ind w:left="1700"/>
        <w:spacing w:after="0"/>
        <w:rPr>
          <w:sz w:val="20"/>
          <w:szCs w:val="20"/>
          <w:color w:val="auto"/>
        </w:rPr>
      </w:pPr>
      <w:r>
        <w:rPr>
          <w:rFonts w:ascii="Arial" w:cs="Arial" w:eastAsia="Arial" w:hAnsi="Arial"/>
          <w:sz w:val="20"/>
          <w:szCs w:val="20"/>
          <w:color w:val="auto"/>
        </w:rPr>
        <w:t>Facsimile: (919) 781-4865</w:t>
      </w:r>
    </w:p>
    <w:p>
      <w:pPr>
        <w:spacing w:after="0" w:line="200" w:lineRule="exact"/>
        <w:rPr>
          <w:sz w:val="20"/>
          <w:szCs w:val="20"/>
          <w:color w:val="auto"/>
        </w:rPr>
      </w:pPr>
    </w:p>
    <w:p>
      <w:pPr>
        <w:ind w:left="860"/>
        <w:spacing w:after="0"/>
        <w:rPr>
          <w:sz w:val="20"/>
          <w:szCs w:val="20"/>
          <w:color w:val="auto"/>
        </w:rPr>
      </w:pPr>
      <w:r>
        <w:rPr>
          <w:rFonts w:ascii="Arial" w:cs="Arial" w:eastAsia="Arial" w:hAnsi="Arial"/>
          <w:sz w:val="20"/>
          <w:szCs w:val="20"/>
          <w:color w:val="auto"/>
        </w:rPr>
        <w:t>If to Acquiror, to:</w:t>
      </w:r>
    </w:p>
    <w:p>
      <w:pPr>
        <w:spacing w:after="0" w:line="216" w:lineRule="exact"/>
        <w:rPr>
          <w:sz w:val="20"/>
          <w:szCs w:val="20"/>
          <w:color w:val="auto"/>
        </w:rPr>
      </w:pPr>
    </w:p>
    <w:p>
      <w:pPr>
        <w:ind w:left="1700"/>
        <w:spacing w:after="0"/>
        <w:rPr>
          <w:sz w:val="20"/>
          <w:szCs w:val="20"/>
          <w:color w:val="auto"/>
        </w:rPr>
      </w:pPr>
      <w:r>
        <w:rPr>
          <w:rFonts w:ascii="Arial" w:cs="Arial" w:eastAsia="Arial" w:hAnsi="Arial"/>
          <w:sz w:val="20"/>
          <w:szCs w:val="20"/>
          <w:color w:val="auto"/>
        </w:rPr>
        <w:t>Xenon Pharmaceuticals, Inc.</w:t>
      </w:r>
    </w:p>
    <w:p>
      <w:pPr>
        <w:spacing w:after="0" w:line="15" w:lineRule="exact"/>
        <w:rPr>
          <w:sz w:val="20"/>
          <w:szCs w:val="20"/>
          <w:color w:val="auto"/>
        </w:rPr>
      </w:pPr>
    </w:p>
    <w:p>
      <w:pPr>
        <w:ind w:left="1700"/>
        <w:spacing w:after="0"/>
        <w:rPr>
          <w:sz w:val="20"/>
          <w:szCs w:val="20"/>
          <w:color w:val="auto"/>
        </w:rPr>
      </w:pPr>
      <w:r>
        <w:rPr>
          <w:rFonts w:ascii="Arial" w:cs="Arial" w:eastAsia="Arial" w:hAnsi="Arial"/>
          <w:sz w:val="20"/>
          <w:szCs w:val="20"/>
          <w:color w:val="auto"/>
        </w:rPr>
        <w:t>3650 Gilmore Way</w:t>
      </w:r>
    </w:p>
    <w:p>
      <w:pPr>
        <w:ind w:left="1700"/>
        <w:spacing w:after="0"/>
        <w:rPr>
          <w:sz w:val="20"/>
          <w:szCs w:val="20"/>
          <w:color w:val="auto"/>
        </w:rPr>
      </w:pPr>
      <w:r>
        <w:rPr>
          <w:rFonts w:ascii="Arial" w:cs="Arial" w:eastAsia="Arial" w:hAnsi="Arial"/>
          <w:sz w:val="20"/>
          <w:szCs w:val="20"/>
          <w:color w:val="auto"/>
        </w:rPr>
        <w:t>Burnaby, BC V5G 4W8, Canada</w:t>
      </w:r>
    </w:p>
    <w:p>
      <w:pPr>
        <w:ind w:left="1700"/>
        <w:spacing w:after="0"/>
        <w:rPr>
          <w:sz w:val="20"/>
          <w:szCs w:val="20"/>
          <w:color w:val="auto"/>
        </w:rPr>
      </w:pPr>
      <w:r>
        <w:rPr>
          <w:rFonts w:ascii="Arial" w:cs="Arial" w:eastAsia="Arial" w:hAnsi="Arial"/>
          <w:sz w:val="20"/>
          <w:szCs w:val="20"/>
          <w:color w:val="auto"/>
        </w:rPr>
        <w:t>Attn: Legal Department</w:t>
      </w:r>
    </w:p>
    <w:p>
      <w:pPr>
        <w:ind w:left="1700"/>
        <w:spacing w:after="0"/>
        <w:rPr>
          <w:sz w:val="20"/>
          <w:szCs w:val="20"/>
          <w:color w:val="auto"/>
        </w:rPr>
      </w:pPr>
      <w:r>
        <w:rPr>
          <w:rFonts w:ascii="Arial" w:cs="Arial" w:eastAsia="Arial" w:hAnsi="Arial"/>
          <w:sz w:val="20"/>
          <w:szCs w:val="20"/>
          <w:color w:val="auto"/>
        </w:rPr>
        <w:t>Facsimile: (604) 484-3450</w:t>
      </w:r>
    </w:p>
    <w:p>
      <w:pPr>
        <w:spacing w:after="0" w:line="200" w:lineRule="exact"/>
        <w:rPr>
          <w:sz w:val="20"/>
          <w:szCs w:val="20"/>
          <w:color w:val="auto"/>
        </w:rPr>
      </w:pPr>
    </w:p>
    <w:p>
      <w:pPr>
        <w:spacing w:after="0" w:line="229"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21</w:t>
      </w:r>
    </w:p>
    <w:p>
      <w:pPr>
        <w:spacing w:after="0" w:line="10" w:lineRule="exact"/>
        <w:rPr>
          <w:sz w:val="20"/>
          <w:szCs w:val="20"/>
          <w:color w:val="auto"/>
        </w:rPr>
      </w:pPr>
    </w:p>
    <w:p>
      <w:pPr>
        <w:ind w:firstLine="8"/>
        <w:spacing w:after="0" w:line="237" w:lineRule="auto"/>
        <w:tabs>
          <w:tab w:leader="none" w:pos="204" w:val="left"/>
        </w:tabs>
        <w:numPr>
          <w:ilvl w:val="0"/>
          <w:numId w:val="104"/>
        </w:numPr>
        <w:rPr>
          <w:rFonts w:ascii="Arial" w:cs="Arial" w:eastAsia="Arial" w:hAnsi="Arial"/>
          <w:sz w:val="14"/>
          <w:szCs w:val="14"/>
          <w:color w:val="auto"/>
        </w:rPr>
      </w:pPr>
      <w:r>
        <w:rPr>
          <w:rFonts w:ascii="Arial" w:cs="Arial" w:eastAsia="Arial" w:hAnsi="Arial"/>
          <w:sz w:val="14"/>
          <w:szCs w:val="14"/>
          <w:color w:val="auto"/>
        </w:rPr>
        <w:t>DESIGNATES PORTIONS OF THIS DOCUMENT THAT HAVE BEEN OMITTED PURSUANT TO A REQUEST FOR CONFIDENTIAL TREATMENT FILED SEPARATELY WITH THE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46990</wp:posOffset>
            </wp:positionV>
            <wp:extent cx="7289165"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544" w:right="279" w:bottom="1440" w:gutter="0" w:footer="0" w:header="0"/>
        </w:sectPr>
      </w:pPr>
    </w:p>
    <w:bookmarkStart w:id="85" w:name="page86"/>
    <w:bookmarkEnd w:id="85"/>
    <w:p>
      <w:pPr>
        <w:ind w:left="860"/>
        <w:spacing w:after="0"/>
        <w:rPr>
          <w:sz w:val="20"/>
          <w:szCs w:val="20"/>
          <w:color w:val="auto"/>
        </w:rPr>
      </w:pPr>
      <w:r>
        <w:rPr>
          <w:rFonts w:ascii="Arial" w:cs="Arial" w:eastAsia="Arial" w:hAnsi="Arial"/>
          <w:sz w:val="20"/>
          <w:szCs w:val="20"/>
          <w:color w:val="auto"/>
        </w:rPr>
        <w:t>With a required copy to:</w:t>
      </w:r>
    </w:p>
    <w:p>
      <w:pPr>
        <w:spacing w:after="0" w:line="216" w:lineRule="exact"/>
        <w:rPr>
          <w:sz w:val="20"/>
          <w:szCs w:val="20"/>
          <w:color w:val="auto"/>
        </w:rPr>
      </w:pPr>
    </w:p>
    <w:p>
      <w:pPr>
        <w:ind w:left="1700"/>
        <w:spacing w:after="0"/>
        <w:rPr>
          <w:sz w:val="20"/>
          <w:szCs w:val="20"/>
          <w:color w:val="auto"/>
        </w:rPr>
      </w:pPr>
      <w:r>
        <w:rPr>
          <w:rFonts w:ascii="Arial" w:cs="Arial" w:eastAsia="Arial" w:hAnsi="Arial"/>
          <w:sz w:val="20"/>
          <w:szCs w:val="20"/>
          <w:color w:val="auto"/>
        </w:rPr>
        <w:t>Wilson Sonsini Goodrich &amp; Rosati, PC</w:t>
      </w:r>
    </w:p>
    <w:p>
      <w:pPr>
        <w:spacing w:after="0" w:line="15" w:lineRule="exact"/>
        <w:rPr>
          <w:sz w:val="20"/>
          <w:szCs w:val="20"/>
          <w:color w:val="auto"/>
        </w:rPr>
      </w:pPr>
    </w:p>
    <w:p>
      <w:pPr>
        <w:ind w:left="1700"/>
        <w:spacing w:after="0"/>
        <w:rPr>
          <w:sz w:val="20"/>
          <w:szCs w:val="20"/>
          <w:color w:val="auto"/>
        </w:rPr>
      </w:pPr>
      <w:r>
        <w:rPr>
          <w:rFonts w:ascii="Arial" w:cs="Arial" w:eastAsia="Arial" w:hAnsi="Arial"/>
          <w:sz w:val="20"/>
          <w:szCs w:val="20"/>
          <w:color w:val="auto"/>
        </w:rPr>
        <w:t>650 Page Mill Rd. Palo Alto, CA 94304</w:t>
      </w:r>
    </w:p>
    <w:p>
      <w:pPr>
        <w:ind w:left="1700"/>
        <w:spacing w:after="0"/>
        <w:rPr>
          <w:sz w:val="20"/>
          <w:szCs w:val="20"/>
          <w:color w:val="auto"/>
        </w:rPr>
      </w:pPr>
      <w:r>
        <w:rPr>
          <w:rFonts w:ascii="Arial" w:cs="Arial" w:eastAsia="Arial" w:hAnsi="Arial"/>
          <w:sz w:val="20"/>
          <w:szCs w:val="20"/>
          <w:color w:val="auto"/>
        </w:rPr>
        <w:t>Attn: Bryan King</w:t>
      </w:r>
    </w:p>
    <w:p>
      <w:pPr>
        <w:ind w:left="1700"/>
        <w:spacing w:after="0"/>
        <w:rPr>
          <w:sz w:val="20"/>
          <w:szCs w:val="20"/>
          <w:color w:val="auto"/>
        </w:rPr>
      </w:pPr>
      <w:r>
        <w:rPr>
          <w:rFonts w:ascii="Arial" w:cs="Arial" w:eastAsia="Arial" w:hAnsi="Arial"/>
          <w:sz w:val="20"/>
          <w:szCs w:val="20"/>
          <w:color w:val="auto"/>
        </w:rPr>
        <w:t>Facsimile: (650) 493-6811</w:t>
      </w:r>
    </w:p>
    <w:p>
      <w:pPr>
        <w:spacing w:after="0" w:line="200" w:lineRule="exact"/>
        <w:rPr>
          <w:sz w:val="20"/>
          <w:szCs w:val="20"/>
          <w:color w:val="auto"/>
        </w:rPr>
      </w:pPr>
    </w:p>
    <w:p>
      <w:pPr>
        <w:ind w:right="100"/>
        <w:spacing w:after="0" w:line="386" w:lineRule="auto"/>
        <w:rPr>
          <w:sz w:val="20"/>
          <w:szCs w:val="20"/>
          <w:color w:val="auto"/>
        </w:rPr>
      </w:pPr>
      <w:r>
        <w:rPr>
          <w:rFonts w:ascii="Arial" w:cs="Arial" w:eastAsia="Arial" w:hAnsi="Arial"/>
          <w:sz w:val="16"/>
          <w:szCs w:val="16"/>
          <w:color w:val="auto"/>
        </w:rPr>
        <w:t>or to such other address or to the attention of such Person or Persons as the recipient party has specified by prior written notice to the sending party. If more than one method for sending notice as set forth above is used, the earliest notice date established as set forth above shall control.</w:t>
      </w:r>
    </w:p>
    <w:p>
      <w:pPr>
        <w:spacing w:after="0" w:line="83" w:lineRule="exact"/>
        <w:rPr>
          <w:sz w:val="20"/>
          <w:szCs w:val="20"/>
          <w:color w:val="auto"/>
        </w:rPr>
      </w:pPr>
    </w:p>
    <w:p>
      <w:pPr>
        <w:ind w:left="860"/>
        <w:spacing w:after="0"/>
        <w:tabs>
          <w:tab w:leader="none" w:pos="1840" w:val="left"/>
        </w:tabs>
        <w:rPr>
          <w:sz w:val="20"/>
          <w:szCs w:val="20"/>
          <w:color w:val="auto"/>
        </w:rPr>
      </w:pPr>
      <w:r>
        <w:rPr>
          <w:rFonts w:ascii="Arial" w:cs="Arial" w:eastAsia="Arial" w:hAnsi="Arial"/>
          <w:sz w:val="20"/>
          <w:szCs w:val="20"/>
          <w:color w:val="auto"/>
        </w:rPr>
        <w:t>10.2</w:t>
      </w:r>
      <w:r>
        <w:rPr>
          <w:sz w:val="20"/>
          <w:szCs w:val="20"/>
          <w:color w:val="auto"/>
        </w:rPr>
        <w:tab/>
      </w:r>
      <w:r>
        <w:rPr>
          <w:rFonts w:ascii="Arial" w:cs="Arial" w:eastAsia="Arial" w:hAnsi="Arial"/>
          <w:sz w:val="18"/>
          <w:szCs w:val="18"/>
          <w:u w:val="single" w:color="auto"/>
          <w:color w:val="auto"/>
        </w:rPr>
        <w:t>Amendments and Waivers</w:t>
      </w:r>
      <w:r>
        <w:rPr>
          <w:rFonts w:ascii="Arial" w:cs="Arial" w:eastAsia="Arial" w:hAnsi="Arial"/>
          <w:sz w:val="18"/>
          <w:szCs w:val="18"/>
          <w:color w:val="auto"/>
        </w:rPr>
        <w:t>.</w:t>
      </w:r>
    </w:p>
    <w:p>
      <w:pPr>
        <w:spacing w:after="0" w:line="216" w:lineRule="exact"/>
        <w:rPr>
          <w:sz w:val="20"/>
          <w:szCs w:val="20"/>
          <w:color w:val="auto"/>
        </w:rPr>
      </w:pPr>
    </w:p>
    <w:p>
      <w:pPr>
        <w:ind w:right="340" w:firstLine="1698"/>
        <w:spacing w:after="0" w:line="260" w:lineRule="auto"/>
        <w:tabs>
          <w:tab w:leader="none" w:pos="2558" w:val="left"/>
        </w:tabs>
        <w:numPr>
          <w:ilvl w:val="0"/>
          <w:numId w:val="105"/>
        </w:numPr>
        <w:rPr>
          <w:rFonts w:ascii="Arial" w:cs="Arial" w:eastAsia="Arial" w:hAnsi="Arial"/>
          <w:sz w:val="20"/>
          <w:szCs w:val="20"/>
          <w:color w:val="auto"/>
        </w:rPr>
      </w:pPr>
      <w:r>
        <w:rPr>
          <w:rFonts w:ascii="Arial" w:cs="Arial" w:eastAsia="Arial" w:hAnsi="Arial"/>
          <w:sz w:val="20"/>
          <w:szCs w:val="20"/>
          <w:color w:val="auto"/>
        </w:rPr>
        <w:t>Any provision of this Agreement may be amended or waived if, and only if, such amendment or waiver is in writing and is signed, in the case of an amendment, by Acquiror and the Seller.</w:t>
      </w:r>
    </w:p>
    <w:p>
      <w:pPr>
        <w:spacing w:after="0" w:line="176" w:lineRule="exact"/>
        <w:rPr>
          <w:rFonts w:ascii="Arial" w:cs="Arial" w:eastAsia="Arial" w:hAnsi="Arial"/>
          <w:sz w:val="20"/>
          <w:szCs w:val="20"/>
          <w:color w:val="auto"/>
        </w:rPr>
      </w:pPr>
    </w:p>
    <w:p>
      <w:pPr>
        <w:ind w:firstLine="1698"/>
        <w:spacing w:after="0" w:line="250" w:lineRule="auto"/>
        <w:tabs>
          <w:tab w:leader="none" w:pos="2569" w:val="left"/>
        </w:tabs>
        <w:numPr>
          <w:ilvl w:val="0"/>
          <w:numId w:val="105"/>
        </w:numPr>
        <w:rPr>
          <w:rFonts w:ascii="Arial" w:cs="Arial" w:eastAsia="Arial" w:hAnsi="Arial"/>
          <w:sz w:val="20"/>
          <w:szCs w:val="20"/>
          <w:color w:val="auto"/>
        </w:rPr>
      </w:pPr>
      <w:r>
        <w:rPr>
          <w:rFonts w:ascii="Arial" w:cs="Arial" w:eastAsia="Arial" w:hAnsi="Arial"/>
          <w:sz w:val="20"/>
          <w:szCs w:val="20"/>
          <w:color w:val="auto"/>
        </w:rPr>
        <w:t>No failure or delay by any party in exercising any right or privilege hereunder shall operate as a waiver thereof, nor shall any single or partial exercise thereof preclude any other or further exercise thereof or the exercise of any other right, power or privilege.</w:t>
      </w:r>
    </w:p>
    <w:p>
      <w:pPr>
        <w:spacing w:after="0" w:line="186" w:lineRule="exact"/>
        <w:rPr>
          <w:rFonts w:ascii="Arial" w:cs="Arial" w:eastAsia="Arial" w:hAnsi="Arial"/>
          <w:sz w:val="20"/>
          <w:szCs w:val="20"/>
          <w:color w:val="auto"/>
        </w:rPr>
      </w:pPr>
    </w:p>
    <w:p>
      <w:pPr>
        <w:ind w:firstLine="1698"/>
        <w:spacing w:after="0" w:line="269" w:lineRule="auto"/>
        <w:tabs>
          <w:tab w:leader="none" w:pos="2558" w:val="left"/>
        </w:tabs>
        <w:numPr>
          <w:ilvl w:val="0"/>
          <w:numId w:val="105"/>
        </w:numPr>
        <w:rPr>
          <w:rFonts w:ascii="Arial" w:cs="Arial" w:eastAsia="Arial" w:hAnsi="Arial"/>
          <w:sz w:val="19"/>
          <w:szCs w:val="19"/>
          <w:color w:val="auto"/>
        </w:rPr>
      </w:pPr>
      <w:r>
        <w:rPr>
          <w:rFonts w:ascii="Arial" w:cs="Arial" w:eastAsia="Arial" w:hAnsi="Arial"/>
          <w:sz w:val="19"/>
          <w:szCs w:val="19"/>
          <w:color w:val="auto"/>
        </w:rPr>
        <w:t>To the maximum extent permitted by Law, (i) no waiver that may be given by a party shall be applicable except in the specific instance for which it was given and (ii) no notice to or demand on one party shall be deemed to be a waiver of any obligation of such party or the right of the party giving such notice or demand to take further action without notice or demand.</w:t>
      </w:r>
    </w:p>
    <w:p>
      <w:pPr>
        <w:spacing w:after="0" w:line="170" w:lineRule="exact"/>
        <w:rPr>
          <w:sz w:val="20"/>
          <w:szCs w:val="20"/>
          <w:color w:val="auto"/>
        </w:rPr>
      </w:pPr>
    </w:p>
    <w:p>
      <w:pPr>
        <w:ind w:right="200" w:firstLine="846"/>
        <w:spacing w:after="0" w:line="250" w:lineRule="auto"/>
        <w:rPr>
          <w:sz w:val="20"/>
          <w:szCs w:val="20"/>
          <w:color w:val="auto"/>
        </w:rPr>
      </w:pPr>
      <w:r>
        <w:rPr>
          <w:rFonts w:ascii="Arial" w:cs="Arial" w:eastAsia="Arial" w:hAnsi="Arial"/>
          <w:sz w:val="20"/>
          <w:szCs w:val="20"/>
          <w:color w:val="auto"/>
        </w:rPr>
        <w:t xml:space="preserve">10.3 </w:t>
      </w:r>
      <w:r>
        <w:rPr>
          <w:rFonts w:ascii="Arial" w:cs="Arial" w:eastAsia="Arial" w:hAnsi="Arial"/>
          <w:sz w:val="20"/>
          <w:szCs w:val="20"/>
          <w:u w:val="single" w:color="auto"/>
          <w:color w:val="auto"/>
        </w:rPr>
        <w:t>Expenses</w:t>
      </w:r>
      <w:r>
        <w:rPr>
          <w:rFonts w:ascii="Arial" w:cs="Arial" w:eastAsia="Arial" w:hAnsi="Arial"/>
          <w:sz w:val="20"/>
          <w:szCs w:val="20"/>
          <w:color w:val="auto"/>
        </w:rPr>
        <w:t>. Each of parties hereto shall bear its own costs and expenses in connection with this Agreement and the Transactions, including all legal, accounting, financial advisory, consulting and all other fees and expenses of third parties, whether or not the Transactions are consummated.</w:t>
      </w:r>
    </w:p>
    <w:p>
      <w:pPr>
        <w:spacing w:after="0" w:line="186" w:lineRule="exact"/>
        <w:rPr>
          <w:sz w:val="20"/>
          <w:szCs w:val="20"/>
          <w:color w:val="auto"/>
        </w:rPr>
      </w:pPr>
    </w:p>
    <w:p>
      <w:pPr>
        <w:ind w:right="120" w:firstLine="846"/>
        <w:spacing w:after="0" w:line="258" w:lineRule="auto"/>
        <w:rPr>
          <w:sz w:val="20"/>
          <w:szCs w:val="20"/>
          <w:color w:val="auto"/>
        </w:rPr>
      </w:pPr>
      <w:r>
        <w:rPr>
          <w:rFonts w:ascii="Arial" w:cs="Arial" w:eastAsia="Arial" w:hAnsi="Arial"/>
          <w:sz w:val="19"/>
          <w:szCs w:val="19"/>
          <w:color w:val="auto"/>
        </w:rPr>
        <w:t xml:space="preserve">10.4 </w:t>
      </w:r>
      <w:r>
        <w:rPr>
          <w:rFonts w:ascii="Arial" w:cs="Arial" w:eastAsia="Arial" w:hAnsi="Arial"/>
          <w:sz w:val="19"/>
          <w:szCs w:val="19"/>
          <w:u w:val="single" w:color="auto"/>
          <w:color w:val="auto"/>
        </w:rPr>
        <w:t>Successors and Assigns</w:t>
      </w:r>
      <w:r>
        <w:rPr>
          <w:rFonts w:ascii="Arial" w:cs="Arial" w:eastAsia="Arial" w:hAnsi="Arial"/>
          <w:sz w:val="19"/>
          <w:szCs w:val="19"/>
          <w:color w:val="auto"/>
        </w:rPr>
        <w:t>. This Agreement may not be assigned by Seller, by operation of law or otherwise, without the prior written consent of Acquiror. Acquiror may freely assign this Agreement and any of its rights obtained hereunder as it deems appropriate. Subject to the foregoing, all of the terms and provisions of this Agreement shall inure to the benefit of and be binding upon the parties hereto and their respective executors, heirs, personal representatives, successors and assigns. Acquiror covenants that to the extent that any person acquires all or substantially all of the assets or operations related to the Purchased Assets, whether by merger, asset acquisition or otherwise, it will ensure that such acquiring person agrees in writing to assume Acquiror’s obligations under this Agreement and Acquiror shall provide a copy of such assumption to Seller.</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22</w:t>
      </w:r>
    </w:p>
    <w:p>
      <w:pPr>
        <w:spacing w:after="0" w:line="10" w:lineRule="exact"/>
        <w:rPr>
          <w:sz w:val="20"/>
          <w:szCs w:val="20"/>
          <w:color w:val="auto"/>
        </w:rPr>
      </w:pPr>
    </w:p>
    <w:p>
      <w:pPr>
        <w:ind w:right="20" w:firstLine="8"/>
        <w:spacing w:after="0" w:line="237" w:lineRule="auto"/>
        <w:tabs>
          <w:tab w:leader="none" w:pos="204" w:val="left"/>
        </w:tabs>
        <w:numPr>
          <w:ilvl w:val="0"/>
          <w:numId w:val="106"/>
        </w:numPr>
        <w:rPr>
          <w:rFonts w:ascii="Arial" w:cs="Arial" w:eastAsia="Arial" w:hAnsi="Arial"/>
          <w:sz w:val="14"/>
          <w:szCs w:val="14"/>
          <w:color w:val="auto"/>
        </w:rPr>
      </w:pPr>
      <w:r>
        <w:rPr>
          <w:rFonts w:ascii="Arial" w:cs="Arial" w:eastAsia="Arial" w:hAnsi="Arial"/>
          <w:sz w:val="14"/>
          <w:szCs w:val="14"/>
          <w:color w:val="auto"/>
        </w:rPr>
        <w:t>DESIGNATES PORTIONS OF THIS DOCUMENT THAT HAVE BEEN OMITTED PURSUANT TO A REQUEST FOR CONFIDENTIAL TREATMENT FILED SEPARATELY WITH THE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46990</wp:posOffset>
            </wp:positionV>
            <wp:extent cx="7289165"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68" w:right="259" w:bottom="1440" w:gutter="0" w:footer="0" w:header="0"/>
        </w:sectPr>
      </w:pPr>
    </w:p>
    <w:bookmarkStart w:id="86" w:name="page87"/>
    <w:bookmarkEnd w:id="86"/>
    <w:p>
      <w:pPr>
        <w:ind w:firstLine="846"/>
        <w:spacing w:after="0" w:line="255" w:lineRule="auto"/>
        <w:rPr>
          <w:sz w:val="20"/>
          <w:szCs w:val="20"/>
          <w:color w:val="auto"/>
        </w:rPr>
      </w:pPr>
      <w:r>
        <w:rPr>
          <w:rFonts w:ascii="Arial" w:cs="Arial" w:eastAsia="Arial" w:hAnsi="Arial"/>
          <w:sz w:val="19"/>
          <w:szCs w:val="19"/>
          <w:color w:val="auto"/>
        </w:rPr>
        <w:t xml:space="preserve">10.5 </w:t>
      </w:r>
      <w:r>
        <w:rPr>
          <w:rFonts w:ascii="Arial" w:cs="Arial" w:eastAsia="Arial" w:hAnsi="Arial"/>
          <w:sz w:val="19"/>
          <w:szCs w:val="19"/>
          <w:u w:val="single" w:color="auto"/>
          <w:color w:val="auto"/>
        </w:rPr>
        <w:t>Governing Law; Venue</w:t>
      </w:r>
      <w:r>
        <w:rPr>
          <w:rFonts w:ascii="Arial" w:cs="Arial" w:eastAsia="Arial" w:hAnsi="Arial"/>
          <w:sz w:val="19"/>
          <w:szCs w:val="19"/>
          <w:color w:val="auto"/>
        </w:rPr>
        <w:t>. This Agreement and the exhibits and schedules hereto shall be governed by and interpreted and enforced in accordance with the Laws of the State of Delaware, without giving effect to any choice of Law or conflict of Laws rules or provisions (whether of the State of Delaware or any other jurisdiction) that would cause the application of the Laws of any jurisdiction other than the State of Delaware. Any legal proceeding relating to this Agreement or the enforcement of any provision of this Agreement may be brought or otherwise commenced only in any state or federal court located in the State of Delaware. Each party to this Agreement: (i) irrevocably and unconditionally consents and submits to the exclusive jurisdiction and venue of the state and federal courts located in State of Delaware; (ii) agrees that each state and federal court located in the State of Delaware shall be deemed to be a convenient forum; and (iii) agrees not to assert (by way of motion, as a defense or otherwise), in any such legal proceeding commenced in any state or federal court located in the State of Delaware, any claim that such party is not subject personally to the jurisdiction of such court, that such legal proceeding has been brought in an inconvenient forum, that the venue of such legal proceeding is improper or that this Agreement or the subject matter of this Agreement may not be enforced in or by such court.</w:t>
      </w:r>
    </w:p>
    <w:p>
      <w:pPr>
        <w:spacing w:after="0" w:line="188" w:lineRule="exact"/>
        <w:rPr>
          <w:sz w:val="20"/>
          <w:szCs w:val="20"/>
          <w:color w:val="auto"/>
        </w:rPr>
      </w:pPr>
    </w:p>
    <w:p>
      <w:pPr>
        <w:ind w:right="260" w:firstLine="846"/>
        <w:spacing w:after="0" w:line="244" w:lineRule="auto"/>
        <w:rPr>
          <w:sz w:val="20"/>
          <w:szCs w:val="20"/>
          <w:color w:val="auto"/>
        </w:rPr>
      </w:pPr>
      <w:r>
        <w:rPr>
          <w:rFonts w:ascii="Arial" w:cs="Arial" w:eastAsia="Arial" w:hAnsi="Arial"/>
          <w:sz w:val="20"/>
          <w:szCs w:val="20"/>
          <w:color w:val="auto"/>
        </w:rPr>
        <w:t xml:space="preserve">10.6 </w:t>
      </w:r>
      <w:r>
        <w:rPr>
          <w:rFonts w:ascii="Arial" w:cs="Arial" w:eastAsia="Arial" w:hAnsi="Arial"/>
          <w:sz w:val="20"/>
          <w:szCs w:val="20"/>
          <w:u w:val="single" w:color="auto"/>
          <w:color w:val="auto"/>
        </w:rPr>
        <w:t>Counterparts</w:t>
      </w:r>
      <w:r>
        <w:rPr>
          <w:rFonts w:ascii="Arial" w:cs="Arial" w:eastAsia="Arial" w:hAnsi="Arial"/>
          <w:sz w:val="20"/>
          <w:szCs w:val="20"/>
          <w:color w:val="auto"/>
        </w:rPr>
        <w:t>. This Agreement may be executed in any number of counterparts, and any party hereto may execute any such counterpart, each of which when executed and delivered shall be deemed to be an original and all of which counterparts taken together shall constitute but one and the same instrument. This Agreement shall become effective when each party hereto shall have received a counterpart hereof signed by the other parties hereto. The parties agree that the delivery of this Agreement may be effected by means of an exchange of facsimile or other electronic signatures.</w:t>
      </w:r>
    </w:p>
    <w:p>
      <w:pPr>
        <w:spacing w:after="0" w:line="195" w:lineRule="exact"/>
        <w:rPr>
          <w:sz w:val="20"/>
          <w:szCs w:val="20"/>
          <w:color w:val="auto"/>
        </w:rPr>
      </w:pPr>
    </w:p>
    <w:p>
      <w:pPr>
        <w:ind w:right="40" w:firstLine="846"/>
        <w:spacing w:after="0" w:line="250" w:lineRule="auto"/>
        <w:rPr>
          <w:sz w:val="20"/>
          <w:szCs w:val="20"/>
          <w:color w:val="auto"/>
        </w:rPr>
      </w:pPr>
      <w:r>
        <w:rPr>
          <w:rFonts w:ascii="Arial" w:cs="Arial" w:eastAsia="Arial" w:hAnsi="Arial"/>
          <w:sz w:val="20"/>
          <w:szCs w:val="20"/>
          <w:color w:val="auto"/>
        </w:rPr>
        <w:t xml:space="preserve">10.7 </w:t>
      </w:r>
      <w:r>
        <w:rPr>
          <w:rFonts w:ascii="Arial" w:cs="Arial" w:eastAsia="Arial" w:hAnsi="Arial"/>
          <w:sz w:val="20"/>
          <w:szCs w:val="20"/>
          <w:u w:val="single" w:color="auto"/>
          <w:color w:val="auto"/>
        </w:rPr>
        <w:t>Third Party Beneficiaries</w:t>
      </w:r>
      <w:r>
        <w:rPr>
          <w:rFonts w:ascii="Arial" w:cs="Arial" w:eastAsia="Arial" w:hAnsi="Arial"/>
          <w:sz w:val="20"/>
          <w:szCs w:val="20"/>
          <w:color w:val="auto"/>
        </w:rPr>
        <w:t xml:space="preserve">. No provision of this Agreement is intended to confer upon any Person other than the parties hereto any rights or remedies hereunder, except that, in the case of </w:t>
      </w:r>
      <w:r>
        <w:rPr>
          <w:rFonts w:ascii="Arial" w:cs="Arial" w:eastAsia="Arial" w:hAnsi="Arial"/>
          <w:sz w:val="20"/>
          <w:szCs w:val="20"/>
          <w:u w:val="single" w:color="auto"/>
          <w:color w:val="auto"/>
        </w:rPr>
        <w:t>ARTICLE 9</w:t>
      </w:r>
      <w:r>
        <w:rPr>
          <w:rFonts w:ascii="Arial" w:cs="Arial" w:eastAsia="Arial" w:hAnsi="Arial"/>
          <w:sz w:val="20"/>
          <w:szCs w:val="20"/>
          <w:color w:val="auto"/>
        </w:rPr>
        <w:t xml:space="preserve"> hereof, the Indemnitees are intended third party beneficiaries of such sections and shall have the right to enforce such sections in their own names.</w:t>
      </w:r>
    </w:p>
    <w:p>
      <w:pPr>
        <w:spacing w:after="0" w:line="186" w:lineRule="exact"/>
        <w:rPr>
          <w:sz w:val="20"/>
          <w:szCs w:val="20"/>
          <w:color w:val="auto"/>
        </w:rPr>
      </w:pPr>
    </w:p>
    <w:p>
      <w:pPr>
        <w:ind w:right="240" w:firstLine="846"/>
        <w:spacing w:after="0" w:line="263" w:lineRule="auto"/>
        <w:rPr>
          <w:sz w:val="20"/>
          <w:szCs w:val="20"/>
          <w:color w:val="auto"/>
        </w:rPr>
      </w:pPr>
      <w:r>
        <w:rPr>
          <w:rFonts w:ascii="Arial" w:cs="Arial" w:eastAsia="Arial" w:hAnsi="Arial"/>
          <w:sz w:val="19"/>
          <w:szCs w:val="19"/>
          <w:color w:val="auto"/>
        </w:rPr>
        <w:t xml:space="preserve">10.8 </w:t>
      </w:r>
      <w:r>
        <w:rPr>
          <w:rFonts w:ascii="Arial" w:cs="Arial" w:eastAsia="Arial" w:hAnsi="Arial"/>
          <w:sz w:val="19"/>
          <w:szCs w:val="19"/>
          <w:u w:val="single" w:color="auto"/>
          <w:color w:val="auto"/>
        </w:rPr>
        <w:t>Dispute over Obligations arising under Valeant APA</w:t>
      </w:r>
      <w:r>
        <w:rPr>
          <w:rFonts w:ascii="Arial" w:cs="Arial" w:eastAsia="Arial" w:hAnsi="Arial"/>
          <w:sz w:val="19"/>
          <w:szCs w:val="19"/>
          <w:color w:val="auto"/>
        </w:rPr>
        <w:t>. In the event of any dispute arising as a result of the performance by Acquiror of any Assumed Liabilities or any alleged breach of any such obligations, Seller shall cooperate with Acquiror, at Acquiror’s request [†], in collecting any documents or information in respect of the defense of any such action, claim or proceeding, except to the extent such cooperation, upon advice of legal counsel, would jeopardize or undermine any rights or claims of Seller.</w:t>
      </w:r>
    </w:p>
    <w:p>
      <w:pPr>
        <w:spacing w:after="0" w:line="177" w:lineRule="exact"/>
        <w:rPr>
          <w:sz w:val="20"/>
          <w:szCs w:val="20"/>
          <w:color w:val="auto"/>
        </w:rPr>
      </w:pPr>
    </w:p>
    <w:p>
      <w:pPr>
        <w:ind w:right="180" w:firstLine="846"/>
        <w:spacing w:after="0" w:line="243" w:lineRule="auto"/>
        <w:rPr>
          <w:sz w:val="20"/>
          <w:szCs w:val="20"/>
          <w:color w:val="auto"/>
        </w:rPr>
      </w:pPr>
      <w:r>
        <w:rPr>
          <w:rFonts w:ascii="Arial" w:cs="Arial" w:eastAsia="Arial" w:hAnsi="Arial"/>
          <w:sz w:val="20"/>
          <w:szCs w:val="20"/>
          <w:color w:val="auto"/>
        </w:rPr>
        <w:t xml:space="preserve">10.9 </w:t>
      </w:r>
      <w:r>
        <w:rPr>
          <w:rFonts w:ascii="Arial" w:cs="Arial" w:eastAsia="Arial" w:hAnsi="Arial"/>
          <w:sz w:val="20"/>
          <w:szCs w:val="20"/>
          <w:u w:val="single" w:color="auto"/>
          <w:color w:val="auto"/>
        </w:rPr>
        <w:t>Entire Agreement</w:t>
      </w:r>
      <w:r>
        <w:rPr>
          <w:rFonts w:ascii="Arial" w:cs="Arial" w:eastAsia="Arial" w:hAnsi="Arial"/>
          <w:sz w:val="20"/>
          <w:szCs w:val="20"/>
          <w:color w:val="auto"/>
        </w:rPr>
        <w:t xml:space="preserve">. This Agreement and the documents, instruments and other agreements specifically referred to herein or delivered pursuant hereto set forth the entire understanding of the parties hereto with respect to the Transactions. All exhibits and schedules referred to herein are intended to be and hereby are specifically made a part of this Agreement. Any and all previous agreements and understandings between or among the parties regarding the subject matter hereof, whether written or oral, are superseded by this Agreement, other than the Confidentiality Agreement which shall continue in full force and effect in accordance with its terms except modified in accordance with </w:t>
      </w:r>
      <w:r>
        <w:rPr>
          <w:rFonts w:ascii="Arial" w:cs="Arial" w:eastAsia="Arial" w:hAnsi="Arial"/>
          <w:sz w:val="20"/>
          <w:szCs w:val="20"/>
          <w:u w:val="single" w:color="auto"/>
          <w:color w:val="auto"/>
        </w:rPr>
        <w:t>Section 6.5</w:t>
      </w:r>
      <w:r>
        <w:rPr>
          <w:rFonts w:ascii="Arial" w:cs="Arial" w:eastAsia="Arial" w:hAnsi="Arial"/>
          <w:sz w:val="20"/>
          <w:szCs w:val="20"/>
          <w:color w:val="auto"/>
        </w:rPr>
        <w:t xml:space="preserve"> hereof.</w:t>
      </w:r>
    </w:p>
    <w:p>
      <w:pPr>
        <w:spacing w:after="0" w:line="197" w:lineRule="exact"/>
        <w:rPr>
          <w:sz w:val="20"/>
          <w:szCs w:val="20"/>
          <w:color w:val="auto"/>
        </w:rPr>
      </w:pPr>
    </w:p>
    <w:p>
      <w:pPr>
        <w:ind w:right="440" w:firstLine="846"/>
        <w:spacing w:after="0" w:line="260" w:lineRule="auto"/>
        <w:rPr>
          <w:sz w:val="20"/>
          <w:szCs w:val="20"/>
          <w:color w:val="auto"/>
        </w:rPr>
      </w:pPr>
      <w:r>
        <w:rPr>
          <w:rFonts w:ascii="Arial" w:cs="Arial" w:eastAsia="Arial" w:hAnsi="Arial"/>
          <w:sz w:val="20"/>
          <w:szCs w:val="20"/>
          <w:color w:val="auto"/>
        </w:rPr>
        <w:t xml:space="preserve">10.10 </w:t>
      </w:r>
      <w:r>
        <w:rPr>
          <w:rFonts w:ascii="Arial" w:cs="Arial" w:eastAsia="Arial" w:hAnsi="Arial"/>
          <w:sz w:val="20"/>
          <w:szCs w:val="20"/>
          <w:u w:val="single" w:color="auto"/>
          <w:color w:val="auto"/>
        </w:rPr>
        <w:t>Captions</w:t>
      </w:r>
      <w:r>
        <w:rPr>
          <w:rFonts w:ascii="Arial" w:cs="Arial" w:eastAsia="Arial" w:hAnsi="Arial"/>
          <w:sz w:val="20"/>
          <w:szCs w:val="20"/>
          <w:color w:val="auto"/>
        </w:rPr>
        <w:t>. All captions contained in this Agreement are for convenience of reference only, do not form a part of this Agreement and shall not affect in any way the meaning or interpretation of this Agreement.</w:t>
      </w:r>
    </w:p>
    <w:p>
      <w:pPr>
        <w:spacing w:after="0" w:line="177" w:lineRule="exact"/>
        <w:rPr>
          <w:sz w:val="20"/>
          <w:szCs w:val="20"/>
          <w:color w:val="auto"/>
        </w:rPr>
      </w:pPr>
    </w:p>
    <w:p>
      <w:pPr>
        <w:ind w:right="180" w:firstLine="846"/>
        <w:spacing w:after="0" w:line="291" w:lineRule="auto"/>
        <w:rPr>
          <w:sz w:val="20"/>
          <w:szCs w:val="20"/>
          <w:color w:val="auto"/>
        </w:rPr>
      </w:pPr>
      <w:r>
        <w:rPr>
          <w:rFonts w:ascii="Arial" w:cs="Arial" w:eastAsia="Arial" w:hAnsi="Arial"/>
          <w:sz w:val="18"/>
          <w:szCs w:val="18"/>
          <w:color w:val="auto"/>
        </w:rPr>
        <w:t xml:space="preserve">10.11 </w:t>
      </w:r>
      <w:r>
        <w:rPr>
          <w:rFonts w:ascii="Arial" w:cs="Arial" w:eastAsia="Arial" w:hAnsi="Arial"/>
          <w:sz w:val="18"/>
          <w:szCs w:val="18"/>
          <w:u w:val="single" w:color="auto"/>
          <w:color w:val="auto"/>
        </w:rPr>
        <w:t>Severability</w:t>
      </w:r>
      <w:r>
        <w:rPr>
          <w:rFonts w:ascii="Arial" w:cs="Arial" w:eastAsia="Arial" w:hAnsi="Arial"/>
          <w:sz w:val="18"/>
          <w:szCs w:val="18"/>
          <w:color w:val="auto"/>
        </w:rPr>
        <w:t>. Any provision of this Agreement which is invalid or unenforceable in any jurisdiction shall be ineffective to the extent of such invalidity or unenforceability without invalidating or rendering unenforceable the remaining provisions hereof, and any such invalidity or unenforceability in any jurisdiction shall not invalidate or render unenforceable such provision in any other jurisdiction.</w:t>
      </w:r>
    </w:p>
    <w:p>
      <w:pPr>
        <w:spacing w:after="0" w:line="152"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23</w:t>
      </w:r>
    </w:p>
    <w:p>
      <w:pPr>
        <w:spacing w:after="0" w:line="10" w:lineRule="exact"/>
        <w:rPr>
          <w:sz w:val="20"/>
          <w:szCs w:val="20"/>
          <w:color w:val="auto"/>
        </w:rPr>
      </w:pPr>
    </w:p>
    <w:p>
      <w:pPr>
        <w:ind w:right="40" w:firstLine="8"/>
        <w:spacing w:after="0" w:line="237" w:lineRule="auto"/>
        <w:tabs>
          <w:tab w:leader="none" w:pos="204" w:val="left"/>
        </w:tabs>
        <w:numPr>
          <w:ilvl w:val="0"/>
          <w:numId w:val="107"/>
        </w:numPr>
        <w:rPr>
          <w:rFonts w:ascii="Arial" w:cs="Arial" w:eastAsia="Arial" w:hAnsi="Arial"/>
          <w:sz w:val="14"/>
          <w:szCs w:val="14"/>
          <w:color w:val="auto"/>
        </w:rPr>
      </w:pPr>
      <w:r>
        <w:rPr>
          <w:rFonts w:ascii="Arial" w:cs="Arial" w:eastAsia="Arial" w:hAnsi="Arial"/>
          <w:sz w:val="14"/>
          <w:szCs w:val="14"/>
          <w:color w:val="auto"/>
        </w:rPr>
        <w:t>DESIGNATES PORTIONS OF THIS DOCUMENT THAT HAVE BEEN OMITTED PURSUANT TO A REQUEST FOR CONFIDENTIAL TREATMENT FILED SEPARATELY WITH THE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46990</wp:posOffset>
            </wp:positionV>
            <wp:extent cx="7289165"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68" w:right="239" w:bottom="1440" w:gutter="0" w:footer="0" w:header="0"/>
        </w:sectPr>
      </w:pPr>
    </w:p>
    <w:bookmarkStart w:id="87" w:name="page88"/>
    <w:bookmarkEnd w:id="87"/>
    <w:p>
      <w:pPr>
        <w:ind w:right="200" w:firstLine="846"/>
        <w:spacing w:after="0" w:line="250" w:lineRule="auto"/>
        <w:rPr>
          <w:sz w:val="20"/>
          <w:szCs w:val="20"/>
          <w:color w:val="auto"/>
        </w:rPr>
      </w:pPr>
      <w:r>
        <w:rPr>
          <w:rFonts w:ascii="Arial" w:cs="Arial" w:eastAsia="Arial" w:hAnsi="Arial"/>
          <w:sz w:val="20"/>
          <w:szCs w:val="20"/>
          <w:color w:val="auto"/>
        </w:rPr>
        <w:t xml:space="preserve">10.12 </w:t>
      </w:r>
      <w:r>
        <w:rPr>
          <w:rFonts w:ascii="Arial" w:cs="Arial" w:eastAsia="Arial" w:hAnsi="Arial"/>
          <w:sz w:val="20"/>
          <w:szCs w:val="20"/>
          <w:u w:val="single" w:color="auto"/>
          <w:color w:val="auto"/>
        </w:rPr>
        <w:t>Specific Performance</w:t>
      </w:r>
      <w:r>
        <w:rPr>
          <w:rFonts w:ascii="Arial" w:cs="Arial" w:eastAsia="Arial" w:hAnsi="Arial"/>
          <w:sz w:val="20"/>
          <w:szCs w:val="20"/>
          <w:color w:val="auto"/>
        </w:rPr>
        <w:t>. Acquiror and Seller agree that irreparable damage would occur in the event that any of the provisions of this Agreement were not performed by them in accordance with the terms hereof and that each party shall be entitled to specific performance of the terms hereof, in addition to any other remedy at Law or equity.</w:t>
      </w:r>
    </w:p>
    <w:p>
      <w:pPr>
        <w:spacing w:after="0" w:line="186" w:lineRule="exact"/>
        <w:rPr>
          <w:sz w:val="20"/>
          <w:szCs w:val="20"/>
          <w:color w:val="auto"/>
        </w:rPr>
      </w:pPr>
    </w:p>
    <w:p>
      <w:pPr>
        <w:ind w:left="860"/>
        <w:spacing w:after="0"/>
        <w:tabs>
          <w:tab w:leader="none" w:pos="1840" w:val="left"/>
        </w:tabs>
        <w:rPr>
          <w:sz w:val="20"/>
          <w:szCs w:val="20"/>
          <w:color w:val="auto"/>
        </w:rPr>
      </w:pPr>
      <w:r>
        <w:rPr>
          <w:rFonts w:ascii="Arial" w:cs="Arial" w:eastAsia="Arial" w:hAnsi="Arial"/>
          <w:sz w:val="20"/>
          <w:szCs w:val="20"/>
          <w:color w:val="auto"/>
        </w:rPr>
        <w:t>10.13</w:t>
      </w:r>
      <w:r>
        <w:rPr>
          <w:sz w:val="20"/>
          <w:szCs w:val="20"/>
          <w:color w:val="auto"/>
        </w:rPr>
        <w:tab/>
      </w:r>
      <w:r>
        <w:rPr>
          <w:rFonts w:ascii="Arial" w:cs="Arial" w:eastAsia="Arial" w:hAnsi="Arial"/>
          <w:sz w:val="19"/>
          <w:szCs w:val="19"/>
          <w:u w:val="single" w:color="auto"/>
          <w:color w:val="auto"/>
        </w:rPr>
        <w:t>Dispute Resolution</w:t>
      </w:r>
      <w:r>
        <w:rPr>
          <w:rFonts w:ascii="Arial" w:cs="Arial" w:eastAsia="Arial" w:hAnsi="Arial"/>
          <w:sz w:val="19"/>
          <w:szCs w:val="19"/>
          <w:color w:val="auto"/>
        </w:rPr>
        <w:t>.</w:t>
      </w:r>
    </w:p>
    <w:p>
      <w:pPr>
        <w:spacing w:after="0" w:line="216" w:lineRule="exact"/>
        <w:rPr>
          <w:sz w:val="20"/>
          <w:szCs w:val="20"/>
          <w:color w:val="auto"/>
        </w:rPr>
      </w:pPr>
    </w:p>
    <w:p>
      <w:pPr>
        <w:jc w:val="both"/>
        <w:ind w:right="160" w:firstLine="1690"/>
        <w:spacing w:after="0" w:line="250" w:lineRule="auto"/>
        <w:rPr>
          <w:sz w:val="20"/>
          <w:szCs w:val="20"/>
          <w:color w:val="auto"/>
        </w:rPr>
      </w:pPr>
      <w:r>
        <w:rPr>
          <w:rFonts w:ascii="Arial" w:cs="Arial" w:eastAsia="Arial" w:hAnsi="Arial"/>
          <w:sz w:val="20"/>
          <w:szCs w:val="20"/>
          <w:color w:val="auto"/>
        </w:rPr>
        <w:t>10.12.1 In the event of any controversy, dispute, claim or counterclaim arising out of or relating to this Agreement (a “</w:t>
      </w:r>
      <w:r>
        <w:rPr>
          <w:rFonts w:ascii="Arial" w:cs="Arial" w:eastAsia="Arial" w:hAnsi="Arial"/>
          <w:sz w:val="20"/>
          <w:szCs w:val="20"/>
          <w:b w:val="1"/>
          <w:bCs w:val="1"/>
          <w:color w:val="auto"/>
        </w:rPr>
        <w:t>Dispute</w:t>
      </w:r>
      <w:r>
        <w:rPr>
          <w:rFonts w:ascii="Arial" w:cs="Arial" w:eastAsia="Arial" w:hAnsi="Arial"/>
          <w:sz w:val="20"/>
          <w:szCs w:val="20"/>
          <w:color w:val="auto"/>
        </w:rPr>
        <w:t xml:space="preserve">”), the parties shall first attempt to resolve such Dispute through good faith negotiations following notification of such Dispute to the other party in accordance with the procedures set forth in this </w:t>
      </w:r>
      <w:r>
        <w:rPr>
          <w:rFonts w:ascii="Arial" w:cs="Arial" w:eastAsia="Arial" w:hAnsi="Arial"/>
          <w:sz w:val="20"/>
          <w:szCs w:val="20"/>
          <w:u w:val="single" w:color="auto"/>
          <w:color w:val="auto"/>
        </w:rPr>
        <w:t>Section 10.13</w:t>
      </w:r>
      <w:r>
        <w:rPr>
          <w:rFonts w:ascii="Arial" w:cs="Arial" w:eastAsia="Arial" w:hAnsi="Arial"/>
          <w:sz w:val="20"/>
          <w:szCs w:val="20"/>
          <w:color w:val="auto"/>
        </w:rPr>
        <w:t>.</w:t>
      </w:r>
    </w:p>
    <w:p>
      <w:pPr>
        <w:spacing w:after="0" w:line="180" w:lineRule="exact"/>
        <w:rPr>
          <w:sz w:val="20"/>
          <w:szCs w:val="20"/>
          <w:color w:val="auto"/>
        </w:rPr>
      </w:pPr>
    </w:p>
    <w:p>
      <w:pPr>
        <w:ind w:right="200" w:firstLine="1690"/>
        <w:spacing w:after="0" w:line="267" w:lineRule="auto"/>
        <w:rPr>
          <w:sz w:val="20"/>
          <w:szCs w:val="20"/>
          <w:color w:val="auto"/>
        </w:rPr>
      </w:pPr>
      <w:r>
        <w:rPr>
          <w:rFonts w:ascii="Arial" w:cs="Arial" w:eastAsia="Arial" w:hAnsi="Arial"/>
          <w:sz w:val="20"/>
          <w:szCs w:val="20"/>
          <w:color w:val="auto"/>
        </w:rPr>
        <w:t>10.12.2 The party claiming that such a Dispute exists shall give notice in writing (a “</w:t>
      </w:r>
      <w:r>
        <w:rPr>
          <w:rFonts w:ascii="Arial" w:cs="Arial" w:eastAsia="Arial" w:hAnsi="Arial"/>
          <w:sz w:val="20"/>
          <w:szCs w:val="20"/>
          <w:b w:val="1"/>
          <w:bCs w:val="1"/>
          <w:color w:val="auto"/>
        </w:rPr>
        <w:t>Notice of Dispute</w:t>
      </w:r>
      <w:r>
        <w:rPr>
          <w:rFonts w:ascii="Arial" w:cs="Arial" w:eastAsia="Arial" w:hAnsi="Arial"/>
          <w:sz w:val="20"/>
          <w:szCs w:val="20"/>
          <w:color w:val="auto"/>
        </w:rPr>
        <w:t>”) to the other party of the nature of the dispute.</w:t>
      </w:r>
    </w:p>
    <w:p>
      <w:pPr>
        <w:spacing w:after="0" w:line="170" w:lineRule="exact"/>
        <w:rPr>
          <w:sz w:val="20"/>
          <w:szCs w:val="20"/>
          <w:color w:val="auto"/>
        </w:rPr>
      </w:pPr>
    </w:p>
    <w:p>
      <w:pPr>
        <w:ind w:firstLine="1690"/>
        <w:spacing w:after="0" w:line="250" w:lineRule="auto"/>
        <w:rPr>
          <w:sz w:val="20"/>
          <w:szCs w:val="20"/>
          <w:color w:val="auto"/>
        </w:rPr>
      </w:pPr>
      <w:r>
        <w:rPr>
          <w:rFonts w:ascii="Arial" w:cs="Arial" w:eastAsia="Arial" w:hAnsi="Arial"/>
          <w:sz w:val="20"/>
          <w:szCs w:val="20"/>
          <w:color w:val="auto"/>
        </w:rPr>
        <w:t>10.12.3 Within [†] ([†]) [†] of receipt of a Notice of Dispute, the Chief Executive Officer of Acquiror, or his or her designee, and the Chief Executive Officer of Seller, or his or her designee, shall meet in person or by teleconference, as mutually agreed, for the purpose of attempting to resolve such Dispute.</w:t>
      </w:r>
    </w:p>
    <w:p>
      <w:pPr>
        <w:spacing w:after="0" w:line="186" w:lineRule="exact"/>
        <w:rPr>
          <w:sz w:val="20"/>
          <w:szCs w:val="20"/>
          <w:color w:val="auto"/>
        </w:rPr>
      </w:pPr>
    </w:p>
    <w:p>
      <w:pPr>
        <w:ind w:firstLine="1690"/>
        <w:spacing w:after="0" w:line="246" w:lineRule="auto"/>
        <w:rPr>
          <w:sz w:val="20"/>
          <w:szCs w:val="20"/>
          <w:color w:val="auto"/>
        </w:rPr>
      </w:pPr>
      <w:r>
        <w:rPr>
          <w:rFonts w:ascii="Arial" w:cs="Arial" w:eastAsia="Arial" w:hAnsi="Arial"/>
          <w:sz w:val="20"/>
          <w:szCs w:val="20"/>
          <w:color w:val="auto"/>
        </w:rPr>
        <w:t xml:space="preserve">10.12.4 If, within a further period of [†] ([†]) [†], or if in any event within [†] ([†]) [†] of initial receipt of the Notice of Dispute, the Dispute has not been resolved, or if, for any reason, the meeting described in </w:t>
      </w:r>
      <w:r>
        <w:rPr>
          <w:rFonts w:ascii="Arial" w:cs="Arial" w:eastAsia="Arial" w:hAnsi="Arial"/>
          <w:sz w:val="20"/>
          <w:szCs w:val="20"/>
          <w:u w:val="single" w:color="auto"/>
          <w:color w:val="auto"/>
        </w:rPr>
        <w:t>Section 10.12.3</w:t>
      </w:r>
      <w:r>
        <w:rPr>
          <w:rFonts w:ascii="Arial" w:cs="Arial" w:eastAsia="Arial" w:hAnsi="Arial"/>
          <w:sz w:val="20"/>
          <w:szCs w:val="20"/>
          <w:color w:val="auto"/>
        </w:rPr>
        <w:t xml:space="preserve"> has not been held within [†] ([†]) [†] of initial receipt of the Notice of Dispute, then the parties agree that either party may initiate a proceeding to resolve the Dispute in accordance with </w:t>
      </w:r>
      <w:r>
        <w:rPr>
          <w:rFonts w:ascii="Arial" w:cs="Arial" w:eastAsia="Arial" w:hAnsi="Arial"/>
          <w:sz w:val="20"/>
          <w:szCs w:val="20"/>
          <w:u w:val="single" w:color="auto"/>
          <w:color w:val="auto"/>
        </w:rPr>
        <w:t>Section 10.12.5</w:t>
      </w:r>
      <w:r>
        <w:rPr>
          <w:rFonts w:ascii="Arial" w:cs="Arial" w:eastAsia="Arial" w:hAnsi="Arial"/>
          <w:sz w:val="20"/>
          <w:szCs w:val="20"/>
          <w:color w:val="auto"/>
        </w:rPr>
        <w:t xml:space="preserve"> or </w:t>
      </w:r>
      <w:r>
        <w:rPr>
          <w:rFonts w:ascii="Arial" w:cs="Arial" w:eastAsia="Arial" w:hAnsi="Arial"/>
          <w:sz w:val="20"/>
          <w:szCs w:val="20"/>
          <w:u w:val="single" w:color="auto"/>
          <w:color w:val="auto"/>
        </w:rPr>
        <w:t>Section 10.5</w:t>
      </w:r>
      <w:r>
        <w:rPr>
          <w:rFonts w:ascii="Arial" w:cs="Arial" w:eastAsia="Arial" w:hAnsi="Arial"/>
          <w:sz w:val="20"/>
          <w:szCs w:val="20"/>
          <w:color w:val="auto"/>
        </w:rPr>
        <w:t>.</w:t>
      </w:r>
    </w:p>
    <w:p>
      <w:pPr>
        <w:spacing w:after="0" w:line="192" w:lineRule="exact"/>
        <w:rPr>
          <w:sz w:val="20"/>
          <w:szCs w:val="20"/>
          <w:color w:val="auto"/>
        </w:rPr>
      </w:pPr>
    </w:p>
    <w:p>
      <w:pPr>
        <w:ind w:right="120" w:firstLine="1690"/>
        <w:spacing w:after="0" w:line="250" w:lineRule="auto"/>
        <w:rPr>
          <w:sz w:val="20"/>
          <w:szCs w:val="20"/>
          <w:color w:val="auto"/>
        </w:rPr>
      </w:pPr>
      <w:r>
        <w:rPr>
          <w:rFonts w:ascii="Arial" w:cs="Arial" w:eastAsia="Arial" w:hAnsi="Arial"/>
          <w:sz w:val="20"/>
          <w:szCs w:val="20"/>
          <w:color w:val="auto"/>
        </w:rPr>
        <w:t>10.12.5 Notwithstanding any provision of this Agreement to the contrary, either party may immediately initiate litigation in any court of competent jurisdiction seeking any remedy in equity, including the issuance of a preliminary, temporary or permanent injunction, to preserve or enforce its rights under this Agreement.</w:t>
      </w:r>
    </w:p>
    <w:p>
      <w:pPr>
        <w:spacing w:after="0" w:line="186" w:lineRule="exact"/>
        <w:rPr>
          <w:sz w:val="20"/>
          <w:szCs w:val="20"/>
          <w:color w:val="auto"/>
        </w:rPr>
      </w:pPr>
    </w:p>
    <w:p>
      <w:pPr>
        <w:ind w:right="360" w:firstLine="846"/>
        <w:spacing w:after="0" w:line="244" w:lineRule="auto"/>
        <w:rPr>
          <w:sz w:val="20"/>
          <w:szCs w:val="20"/>
          <w:color w:val="auto"/>
        </w:rPr>
      </w:pPr>
      <w:r>
        <w:rPr>
          <w:rFonts w:ascii="Arial" w:cs="Arial" w:eastAsia="Arial" w:hAnsi="Arial"/>
          <w:sz w:val="20"/>
          <w:szCs w:val="20"/>
          <w:color w:val="auto"/>
        </w:rPr>
        <w:t xml:space="preserve">10.13 </w:t>
      </w:r>
      <w:r>
        <w:rPr>
          <w:rFonts w:ascii="Arial" w:cs="Arial" w:eastAsia="Arial" w:hAnsi="Arial"/>
          <w:sz w:val="20"/>
          <w:szCs w:val="20"/>
          <w:u w:val="single" w:color="auto"/>
          <w:color w:val="auto"/>
        </w:rPr>
        <w:t>Waiver of Jury Trial</w:t>
      </w:r>
      <w:r>
        <w:rPr>
          <w:rFonts w:ascii="Arial" w:cs="Arial" w:eastAsia="Arial" w:hAnsi="Arial"/>
          <w:sz w:val="20"/>
          <w:szCs w:val="20"/>
          <w:color w:val="auto"/>
        </w:rPr>
        <w:t>. EACH PARTY HERETO HEREBY IRREVOCABLY WAIVES ALL RIGHT TO TRIAL BY JURY IN ANY ACTION, PROCEEDING OR COUNTERCLAIM (WHETHER BASED ON CONTRACT, TORT OR OTHERWISE) ARISING OUT OF OR RELATING TO THIS AGREEMENT OR THE TRANSACTIONS CONTEMPLATED HEREBY OR THE ACTIONS OF A PARTY HERETO IN THE NEGOTIATION, ADMINISTRATION, PERFORMANCE AND ENFORCEMENT OF THIS AGREEMENT</w:t>
      </w:r>
    </w:p>
    <w:p>
      <w:pPr>
        <w:spacing w:after="0" w:line="195" w:lineRule="exact"/>
        <w:rPr>
          <w:sz w:val="20"/>
          <w:szCs w:val="20"/>
          <w:color w:val="auto"/>
        </w:rPr>
      </w:pPr>
    </w:p>
    <w:p>
      <w:pPr>
        <w:ind w:left="860"/>
        <w:spacing w:after="0"/>
        <w:tabs>
          <w:tab w:leader="none" w:pos="1860" w:val="left"/>
        </w:tabs>
        <w:rPr>
          <w:sz w:val="20"/>
          <w:szCs w:val="20"/>
          <w:color w:val="auto"/>
        </w:rPr>
      </w:pPr>
      <w:r>
        <w:rPr>
          <w:rFonts w:ascii="Arial" w:cs="Arial" w:eastAsia="Arial" w:hAnsi="Arial"/>
          <w:sz w:val="20"/>
          <w:szCs w:val="20"/>
          <w:color w:val="auto"/>
        </w:rPr>
        <w:t>10.14</w:t>
      </w:r>
      <w:r>
        <w:rPr>
          <w:sz w:val="20"/>
          <w:szCs w:val="20"/>
          <w:color w:val="auto"/>
        </w:rPr>
        <w:tab/>
      </w:r>
      <w:r>
        <w:rPr>
          <w:rFonts w:ascii="Arial" w:cs="Arial" w:eastAsia="Arial" w:hAnsi="Arial"/>
          <w:sz w:val="19"/>
          <w:szCs w:val="19"/>
          <w:u w:val="single" w:color="auto"/>
          <w:color w:val="auto"/>
        </w:rPr>
        <w:t>Interpretation</w:t>
      </w:r>
      <w:r>
        <w:rPr>
          <w:rFonts w:ascii="Arial" w:cs="Arial" w:eastAsia="Arial" w:hAnsi="Arial"/>
          <w:sz w:val="19"/>
          <w:szCs w:val="19"/>
          <w:color w:val="auto"/>
        </w:rPr>
        <w:t>.</w:t>
      </w:r>
    </w:p>
    <w:p>
      <w:pPr>
        <w:spacing w:after="0" w:line="216" w:lineRule="exact"/>
        <w:rPr>
          <w:sz w:val="20"/>
          <w:szCs w:val="20"/>
          <w:color w:val="auto"/>
        </w:rPr>
      </w:pPr>
    </w:p>
    <w:p>
      <w:pPr>
        <w:ind w:right="80" w:firstLine="1698"/>
        <w:spacing w:after="0" w:line="250" w:lineRule="auto"/>
        <w:tabs>
          <w:tab w:leader="none" w:pos="2558" w:val="left"/>
        </w:tabs>
        <w:numPr>
          <w:ilvl w:val="0"/>
          <w:numId w:val="108"/>
        </w:numPr>
        <w:rPr>
          <w:rFonts w:ascii="Arial" w:cs="Arial" w:eastAsia="Arial" w:hAnsi="Arial"/>
          <w:sz w:val="20"/>
          <w:szCs w:val="20"/>
          <w:color w:val="auto"/>
        </w:rPr>
      </w:pPr>
      <w:r>
        <w:rPr>
          <w:rFonts w:ascii="Arial" w:cs="Arial" w:eastAsia="Arial" w:hAnsi="Arial"/>
          <w:sz w:val="20"/>
          <w:szCs w:val="20"/>
          <w:color w:val="auto"/>
        </w:rPr>
        <w:t>The meaning assigned to each term defined herein shall be equally applicable to both the singular and the plural forms of such term and vice versa, and words denoting either gender shall include both genders as the context requires. Where a word or phrase is defined herein, each of its other grammatical forms shall have a corresponding meaning.</w:t>
      </w:r>
    </w:p>
    <w:p>
      <w:pPr>
        <w:spacing w:after="0" w:line="186" w:lineRule="exact"/>
        <w:rPr>
          <w:rFonts w:ascii="Arial" w:cs="Arial" w:eastAsia="Arial" w:hAnsi="Arial"/>
          <w:sz w:val="20"/>
          <w:szCs w:val="20"/>
          <w:color w:val="auto"/>
        </w:rPr>
      </w:pPr>
    </w:p>
    <w:p>
      <w:pPr>
        <w:ind w:right="400" w:firstLine="1698"/>
        <w:spacing w:after="0" w:line="260" w:lineRule="auto"/>
        <w:tabs>
          <w:tab w:leader="none" w:pos="2569" w:val="left"/>
        </w:tabs>
        <w:numPr>
          <w:ilvl w:val="0"/>
          <w:numId w:val="108"/>
        </w:numPr>
        <w:rPr>
          <w:rFonts w:ascii="Arial" w:cs="Arial" w:eastAsia="Arial" w:hAnsi="Arial"/>
          <w:sz w:val="20"/>
          <w:szCs w:val="20"/>
          <w:color w:val="auto"/>
        </w:rPr>
      </w:pPr>
      <w:r>
        <w:rPr>
          <w:rFonts w:ascii="Arial" w:cs="Arial" w:eastAsia="Arial" w:hAnsi="Arial"/>
          <w:sz w:val="20"/>
          <w:szCs w:val="20"/>
          <w:color w:val="auto"/>
        </w:rPr>
        <w:t>The terms “hereof”, “herein” and “herewith” and words of similar import shall, unless otherwise stated, be construed to refer to this Agreement as a whole and not to any particular provision of this Agreement.</w:t>
      </w:r>
    </w:p>
    <w:p>
      <w:pPr>
        <w:spacing w:after="0" w:line="176" w:lineRule="exact"/>
        <w:rPr>
          <w:rFonts w:ascii="Arial" w:cs="Arial" w:eastAsia="Arial" w:hAnsi="Arial"/>
          <w:sz w:val="20"/>
          <w:szCs w:val="20"/>
          <w:color w:val="auto"/>
        </w:rPr>
      </w:pPr>
    </w:p>
    <w:p>
      <w:pPr>
        <w:ind w:right="580" w:firstLine="1698"/>
        <w:spacing w:after="0" w:line="287" w:lineRule="auto"/>
        <w:tabs>
          <w:tab w:leader="none" w:pos="2558" w:val="left"/>
        </w:tabs>
        <w:numPr>
          <w:ilvl w:val="0"/>
          <w:numId w:val="108"/>
        </w:numPr>
        <w:rPr>
          <w:rFonts w:ascii="Arial" w:cs="Arial" w:eastAsia="Arial" w:hAnsi="Arial"/>
          <w:sz w:val="19"/>
          <w:szCs w:val="19"/>
          <w:color w:val="auto"/>
        </w:rPr>
      </w:pPr>
      <w:r>
        <w:rPr>
          <w:rFonts w:ascii="Arial" w:cs="Arial" w:eastAsia="Arial" w:hAnsi="Arial"/>
          <w:sz w:val="19"/>
          <w:szCs w:val="19"/>
          <w:color w:val="auto"/>
        </w:rPr>
        <w:t>When a reference is made in this Agreement to an Article, Section, paragraph, Exhibit or Schedule, such reference is to an Article, Section, paragraph, Exhibit or Schedule to this Agreement unless otherwise specified.</w:t>
      </w:r>
    </w:p>
    <w:p>
      <w:pPr>
        <w:spacing w:after="0" w:line="153"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24</w:t>
      </w:r>
    </w:p>
    <w:p>
      <w:pPr>
        <w:spacing w:after="0" w:line="10" w:lineRule="exact"/>
        <w:rPr>
          <w:sz w:val="20"/>
          <w:szCs w:val="20"/>
          <w:color w:val="auto"/>
        </w:rPr>
      </w:pPr>
    </w:p>
    <w:p>
      <w:pPr>
        <w:ind w:right="40" w:firstLine="8"/>
        <w:spacing w:after="0" w:line="237" w:lineRule="auto"/>
        <w:tabs>
          <w:tab w:leader="none" w:pos="204" w:val="left"/>
        </w:tabs>
        <w:numPr>
          <w:ilvl w:val="0"/>
          <w:numId w:val="109"/>
        </w:numPr>
        <w:rPr>
          <w:rFonts w:ascii="Arial" w:cs="Arial" w:eastAsia="Arial" w:hAnsi="Arial"/>
          <w:sz w:val="14"/>
          <w:szCs w:val="14"/>
          <w:color w:val="auto"/>
        </w:rPr>
      </w:pPr>
      <w:r>
        <w:rPr>
          <w:rFonts w:ascii="Arial" w:cs="Arial" w:eastAsia="Arial" w:hAnsi="Arial"/>
          <w:sz w:val="14"/>
          <w:szCs w:val="14"/>
          <w:color w:val="auto"/>
        </w:rPr>
        <w:t>DESIGNATES PORTIONS OF THIS DOCUMENT THAT HAVE BEEN OMITTED PURSUANT TO A REQUEST FOR CONFIDENTIAL TREATMENT FILED SEPARATELY WITH THE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46990</wp:posOffset>
            </wp:positionV>
            <wp:extent cx="7289165"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68" w:right="239" w:bottom="1440" w:gutter="0" w:footer="0" w:header="0"/>
        </w:sectPr>
      </w:pPr>
    </w:p>
    <w:bookmarkStart w:id="88" w:name="page89"/>
    <w:bookmarkEnd w:id="88"/>
    <w:p>
      <w:pPr>
        <w:ind w:left="2580" w:hanging="882"/>
        <w:spacing w:after="0"/>
        <w:tabs>
          <w:tab w:leader="none" w:pos="2580" w:val="left"/>
        </w:tabs>
        <w:numPr>
          <w:ilvl w:val="0"/>
          <w:numId w:val="110"/>
        </w:numPr>
        <w:rPr>
          <w:rFonts w:ascii="Arial" w:cs="Arial" w:eastAsia="Arial" w:hAnsi="Arial"/>
          <w:sz w:val="20"/>
          <w:szCs w:val="20"/>
          <w:color w:val="auto"/>
        </w:rPr>
      </w:pPr>
      <w:r>
        <w:rPr>
          <w:rFonts w:ascii="Arial" w:cs="Arial" w:eastAsia="Arial" w:hAnsi="Arial"/>
          <w:sz w:val="20"/>
          <w:szCs w:val="20"/>
          <w:color w:val="auto"/>
        </w:rPr>
        <w:t>References to “dollars” or “$” are references to United States dollars.</w:t>
      </w:r>
    </w:p>
    <w:p>
      <w:pPr>
        <w:spacing w:after="0" w:line="215" w:lineRule="exact"/>
        <w:rPr>
          <w:rFonts w:ascii="Arial" w:cs="Arial" w:eastAsia="Arial" w:hAnsi="Arial"/>
          <w:sz w:val="20"/>
          <w:szCs w:val="20"/>
          <w:color w:val="auto"/>
        </w:rPr>
      </w:pPr>
    </w:p>
    <w:p>
      <w:pPr>
        <w:ind w:right="60" w:firstLine="1698"/>
        <w:spacing w:after="0" w:line="260" w:lineRule="auto"/>
        <w:tabs>
          <w:tab w:leader="none" w:pos="2558" w:val="left"/>
        </w:tabs>
        <w:numPr>
          <w:ilvl w:val="0"/>
          <w:numId w:val="110"/>
        </w:numPr>
        <w:rPr>
          <w:rFonts w:ascii="Arial" w:cs="Arial" w:eastAsia="Arial" w:hAnsi="Arial"/>
          <w:sz w:val="20"/>
          <w:szCs w:val="20"/>
          <w:color w:val="auto"/>
        </w:rPr>
      </w:pPr>
      <w:r>
        <w:rPr>
          <w:rFonts w:ascii="Arial" w:cs="Arial" w:eastAsia="Arial" w:hAnsi="Arial"/>
          <w:sz w:val="20"/>
          <w:szCs w:val="20"/>
          <w:color w:val="auto"/>
        </w:rPr>
        <w:t>The word “include”, “includes”, and “including” when used in this Agreement shall be deemed to be followed by the words “without limitation”, unless otherwise specified.</w:t>
      </w:r>
    </w:p>
    <w:p>
      <w:pPr>
        <w:spacing w:after="0" w:line="176" w:lineRule="exact"/>
        <w:rPr>
          <w:rFonts w:ascii="Arial" w:cs="Arial" w:eastAsia="Arial" w:hAnsi="Arial"/>
          <w:sz w:val="20"/>
          <w:szCs w:val="20"/>
          <w:color w:val="auto"/>
        </w:rPr>
      </w:pPr>
    </w:p>
    <w:p>
      <w:pPr>
        <w:ind w:right="500" w:firstLine="1698"/>
        <w:spacing w:after="0" w:line="260" w:lineRule="auto"/>
        <w:tabs>
          <w:tab w:leader="none" w:pos="2536" w:val="left"/>
        </w:tabs>
        <w:numPr>
          <w:ilvl w:val="0"/>
          <w:numId w:val="110"/>
        </w:numPr>
        <w:rPr>
          <w:rFonts w:ascii="Arial" w:cs="Arial" w:eastAsia="Arial" w:hAnsi="Arial"/>
          <w:sz w:val="20"/>
          <w:szCs w:val="20"/>
          <w:color w:val="auto"/>
        </w:rPr>
      </w:pPr>
      <w:r>
        <w:rPr>
          <w:rFonts w:ascii="Arial" w:cs="Arial" w:eastAsia="Arial" w:hAnsi="Arial"/>
          <w:sz w:val="20"/>
          <w:szCs w:val="20"/>
          <w:color w:val="auto"/>
        </w:rPr>
        <w:t>A reference to any party to this Agreement or any other agreement or document shall include such party’s predecessors, successors and permitted assigns.</w:t>
      </w:r>
    </w:p>
    <w:p>
      <w:pPr>
        <w:spacing w:after="0" w:line="176" w:lineRule="exact"/>
        <w:rPr>
          <w:rFonts w:ascii="Arial" w:cs="Arial" w:eastAsia="Arial" w:hAnsi="Arial"/>
          <w:sz w:val="20"/>
          <w:szCs w:val="20"/>
          <w:color w:val="auto"/>
        </w:rPr>
      </w:pPr>
    </w:p>
    <w:p>
      <w:pPr>
        <w:ind w:firstLine="1698"/>
        <w:spacing w:after="0" w:line="260" w:lineRule="auto"/>
        <w:tabs>
          <w:tab w:leader="none" w:pos="2569" w:val="left"/>
        </w:tabs>
        <w:numPr>
          <w:ilvl w:val="0"/>
          <w:numId w:val="110"/>
        </w:numPr>
        <w:rPr>
          <w:rFonts w:ascii="Arial" w:cs="Arial" w:eastAsia="Arial" w:hAnsi="Arial"/>
          <w:sz w:val="20"/>
          <w:szCs w:val="20"/>
          <w:color w:val="auto"/>
        </w:rPr>
      </w:pPr>
      <w:r>
        <w:rPr>
          <w:rFonts w:ascii="Arial" w:cs="Arial" w:eastAsia="Arial" w:hAnsi="Arial"/>
          <w:sz w:val="20"/>
          <w:szCs w:val="20"/>
          <w:color w:val="auto"/>
        </w:rPr>
        <w:t>Reference to any Law means such Law as amended, modified, codified, replaced or reenacted, and all rules and regulations promulgated thereunder.</w:t>
      </w:r>
    </w:p>
    <w:p>
      <w:pPr>
        <w:spacing w:after="0" w:line="176" w:lineRule="exact"/>
        <w:rPr>
          <w:rFonts w:ascii="Arial" w:cs="Arial" w:eastAsia="Arial" w:hAnsi="Arial"/>
          <w:sz w:val="20"/>
          <w:szCs w:val="20"/>
          <w:color w:val="auto"/>
        </w:rPr>
      </w:pPr>
    </w:p>
    <w:p>
      <w:pPr>
        <w:ind w:right="20" w:firstLine="1698"/>
        <w:spacing w:after="0" w:line="250" w:lineRule="auto"/>
        <w:tabs>
          <w:tab w:leader="none" w:pos="2569" w:val="left"/>
        </w:tabs>
        <w:numPr>
          <w:ilvl w:val="0"/>
          <w:numId w:val="110"/>
        </w:numPr>
        <w:rPr>
          <w:rFonts w:ascii="Arial" w:cs="Arial" w:eastAsia="Arial" w:hAnsi="Arial"/>
          <w:sz w:val="20"/>
          <w:szCs w:val="20"/>
          <w:color w:val="auto"/>
        </w:rPr>
      </w:pPr>
      <w:r>
        <w:rPr>
          <w:rFonts w:ascii="Arial" w:cs="Arial" w:eastAsia="Arial" w:hAnsi="Arial"/>
          <w:sz w:val="20"/>
          <w:szCs w:val="20"/>
          <w:color w:val="auto"/>
        </w:rPr>
        <w:t>The parties have participated jointly in the negotiation and drafting of this Agreement. Any rule of construction or interpretation otherwise requiring this Agreement to be construed or interpreted against any party by virtue of the authorship of this Agreement shall not apply to the construction and interpretation hereof.</w:t>
      </w:r>
    </w:p>
    <w:p>
      <w:pPr>
        <w:spacing w:after="0" w:line="186" w:lineRule="exact"/>
        <w:rPr>
          <w:sz w:val="20"/>
          <w:szCs w:val="20"/>
          <w:color w:val="auto"/>
        </w:rPr>
      </w:pPr>
    </w:p>
    <w:p>
      <w:pPr>
        <w:jc w:val="center"/>
        <w:ind w:right="-99"/>
        <w:spacing w:after="0"/>
        <w:rPr>
          <w:sz w:val="20"/>
          <w:szCs w:val="20"/>
          <w:color w:val="auto"/>
        </w:rPr>
      </w:pPr>
      <w:r>
        <w:rPr>
          <w:rFonts w:ascii="Arial" w:cs="Arial" w:eastAsia="Arial" w:hAnsi="Arial"/>
          <w:sz w:val="20"/>
          <w:szCs w:val="20"/>
          <w:color w:val="auto"/>
        </w:rPr>
        <w:t>[REMAINDER OF PAGE INTENTIONALLY LEFT BLANK]</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25</w:t>
      </w:r>
    </w:p>
    <w:p>
      <w:pPr>
        <w:spacing w:after="0" w:line="10" w:lineRule="exact"/>
        <w:rPr>
          <w:sz w:val="20"/>
          <w:szCs w:val="20"/>
          <w:color w:val="auto"/>
        </w:rPr>
      </w:pPr>
    </w:p>
    <w:p>
      <w:pPr>
        <w:ind w:right="40" w:firstLine="8"/>
        <w:spacing w:after="0" w:line="237" w:lineRule="auto"/>
        <w:tabs>
          <w:tab w:leader="none" w:pos="204" w:val="left"/>
        </w:tabs>
        <w:numPr>
          <w:ilvl w:val="0"/>
          <w:numId w:val="111"/>
        </w:numPr>
        <w:rPr>
          <w:rFonts w:ascii="Arial" w:cs="Arial" w:eastAsia="Arial" w:hAnsi="Arial"/>
          <w:sz w:val="14"/>
          <w:szCs w:val="14"/>
          <w:color w:val="auto"/>
        </w:rPr>
      </w:pPr>
      <w:r>
        <w:rPr>
          <w:rFonts w:ascii="Arial" w:cs="Arial" w:eastAsia="Arial" w:hAnsi="Arial"/>
          <w:sz w:val="14"/>
          <w:szCs w:val="14"/>
          <w:color w:val="auto"/>
        </w:rPr>
        <w:t>DESIGNATES PORTIONS OF THIS DOCUMENT THAT HAVE BEEN OMITTED PURSUANT TO A REQUEST FOR CONFIDENTIAL TREATMENT FILED SEPARATELY WITH THE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46990</wp:posOffset>
            </wp:positionV>
            <wp:extent cx="7289165"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68" w:right="239" w:bottom="1440" w:gutter="0" w:footer="0" w:header="0"/>
        </w:sectPr>
      </w:pPr>
    </w:p>
    <w:bookmarkStart w:id="89" w:name="page90"/>
    <w:bookmarkEnd w:id="89"/>
    <w:p>
      <w:pPr>
        <w:ind w:left="9380"/>
        <w:spacing w:after="0"/>
        <w:rPr>
          <w:sz w:val="20"/>
          <w:szCs w:val="20"/>
          <w:color w:val="auto"/>
        </w:rPr>
      </w:pPr>
      <w:r>
        <w:rPr>
          <w:rFonts w:ascii="Arial" w:cs="Arial" w:eastAsia="Arial" w:hAnsi="Arial"/>
          <w:sz w:val="19"/>
          <w:szCs w:val="19"/>
          <w:color w:val="auto"/>
        </w:rPr>
        <w:t>EXECUTION VERSION</w:t>
      </w:r>
    </w:p>
    <w:p>
      <w:pPr>
        <w:spacing w:after="0" w:line="223" w:lineRule="exact"/>
        <w:rPr>
          <w:sz w:val="20"/>
          <w:szCs w:val="20"/>
          <w:color w:val="auto"/>
        </w:rPr>
      </w:pPr>
    </w:p>
    <w:p>
      <w:pPr>
        <w:ind w:right="460" w:firstLine="846"/>
        <w:spacing w:after="0" w:line="261" w:lineRule="auto"/>
        <w:rPr>
          <w:sz w:val="20"/>
          <w:szCs w:val="20"/>
          <w:color w:val="auto"/>
        </w:rPr>
      </w:pPr>
      <w:r>
        <w:rPr>
          <w:rFonts w:ascii="Arial" w:cs="Arial" w:eastAsia="Arial" w:hAnsi="Arial"/>
          <w:sz w:val="19"/>
          <w:szCs w:val="19"/>
          <w:color w:val="auto"/>
        </w:rPr>
        <w:t>IN WITNESS WHEREOF, the parties hereto, intending to be legally bound hereby, have caused this Asset Purchase Agreement to be executed by their duly authorized representatives as of the date first written above.</w:t>
      </w:r>
    </w:p>
    <w:p>
      <w:pPr>
        <w:spacing w:after="0" w:line="160" w:lineRule="exact"/>
        <w:rPr>
          <w:sz w:val="20"/>
          <w:szCs w:val="20"/>
          <w:color w:val="auto"/>
        </w:rPr>
      </w:pPr>
    </w:p>
    <w:p>
      <w:pPr>
        <w:ind w:left="5920"/>
        <w:spacing w:after="0"/>
        <w:rPr>
          <w:sz w:val="20"/>
          <w:szCs w:val="20"/>
          <w:color w:val="auto"/>
        </w:rPr>
      </w:pPr>
      <w:r>
        <w:rPr>
          <w:rFonts w:ascii="Arial" w:cs="Arial" w:eastAsia="Arial" w:hAnsi="Arial"/>
          <w:sz w:val="19"/>
          <w:szCs w:val="19"/>
          <w:color w:val="auto"/>
        </w:rPr>
        <w:t>1</w:t>
      </w:r>
      <w:r>
        <w:rPr>
          <w:rFonts w:ascii="Arial" w:cs="Arial" w:eastAsia="Arial" w:hAnsi="Arial"/>
          <w:sz w:val="16"/>
          <w:szCs w:val="16"/>
          <w:color w:val="auto"/>
        </w:rPr>
        <w:t>ST</w:t>
      </w:r>
      <w:r>
        <w:rPr>
          <w:rFonts w:ascii="Arial" w:cs="Arial" w:eastAsia="Arial" w:hAnsi="Arial"/>
          <w:sz w:val="19"/>
          <w:szCs w:val="19"/>
          <w:color w:val="auto"/>
        </w:rPr>
        <w:t xml:space="preserve"> ORDER PHAMACEUTICALS, INC.</w:t>
      </w:r>
    </w:p>
    <w:p>
      <w:pPr>
        <w:spacing w:after="0" w:line="173" w:lineRule="exact"/>
        <w:rPr>
          <w:sz w:val="20"/>
          <w:szCs w:val="20"/>
          <w:color w:val="auto"/>
        </w:rPr>
      </w:pPr>
    </w:p>
    <w:p>
      <w:pPr>
        <w:ind w:left="5920"/>
        <w:spacing w:after="0"/>
        <w:rPr>
          <w:sz w:val="20"/>
          <w:szCs w:val="20"/>
          <w:color w:val="auto"/>
        </w:rPr>
      </w:pPr>
      <w:r>
        <w:rPr>
          <w:rFonts w:ascii="Arial" w:cs="Arial" w:eastAsia="Arial" w:hAnsi="Arial"/>
          <w:sz w:val="19"/>
          <w:szCs w:val="19"/>
          <w:color w:val="auto"/>
        </w:rPr>
        <w:t xml:space="preserve">By: </w:t>
      </w:r>
      <w:r>
        <w:rPr>
          <w:rFonts w:ascii="Arial" w:cs="Arial" w:eastAsia="Arial" w:hAnsi="Arial"/>
          <w:sz w:val="19"/>
          <w:szCs w:val="19"/>
          <w:i w:val="1"/>
          <w:iCs w:val="1"/>
          <w:u w:val="single" w:color="auto"/>
          <w:color w:val="auto"/>
        </w:rPr>
        <w:t>/s/ Christopher S. Crean</w:t>
      </w:r>
    </w:p>
    <w:p>
      <w:pPr>
        <w:spacing w:after="0" w:line="11" w:lineRule="exact"/>
        <w:rPr>
          <w:sz w:val="20"/>
          <w:szCs w:val="20"/>
          <w:color w:val="auto"/>
        </w:rPr>
      </w:pPr>
    </w:p>
    <w:p>
      <w:pPr>
        <w:ind w:left="5920"/>
        <w:spacing w:after="0"/>
        <w:rPr>
          <w:sz w:val="20"/>
          <w:szCs w:val="20"/>
          <w:color w:val="auto"/>
        </w:rPr>
      </w:pPr>
      <w:r>
        <w:rPr>
          <w:rFonts w:ascii="Arial" w:cs="Arial" w:eastAsia="Arial" w:hAnsi="Arial"/>
          <w:sz w:val="19"/>
          <w:szCs w:val="19"/>
          <w:color w:val="auto"/>
        </w:rPr>
        <w:t>Name: Christopher S. Crean</w:t>
      </w:r>
    </w:p>
    <w:p>
      <w:pPr>
        <w:ind w:left="5920"/>
        <w:spacing w:after="0"/>
        <w:rPr>
          <w:sz w:val="20"/>
          <w:szCs w:val="20"/>
          <w:color w:val="auto"/>
        </w:rPr>
      </w:pPr>
      <w:r>
        <w:rPr>
          <w:rFonts w:ascii="Arial" w:cs="Arial" w:eastAsia="Arial" w:hAnsi="Arial"/>
          <w:sz w:val="19"/>
          <w:szCs w:val="19"/>
          <w:color w:val="auto"/>
        </w:rPr>
        <w:t>Title: President and Chief Scientific Officer</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5920"/>
        <w:spacing w:after="0"/>
        <w:rPr>
          <w:sz w:val="20"/>
          <w:szCs w:val="20"/>
          <w:color w:val="auto"/>
        </w:rPr>
      </w:pPr>
      <w:r>
        <w:rPr>
          <w:rFonts w:ascii="Arial" w:cs="Arial" w:eastAsia="Arial" w:hAnsi="Arial"/>
          <w:sz w:val="19"/>
          <w:szCs w:val="19"/>
          <w:color w:val="auto"/>
        </w:rPr>
        <w:t>XENON PHARMACEUTICALS INC.</w:t>
      </w:r>
    </w:p>
    <w:p>
      <w:pPr>
        <w:spacing w:after="0" w:line="173" w:lineRule="exact"/>
        <w:rPr>
          <w:sz w:val="20"/>
          <w:szCs w:val="20"/>
          <w:color w:val="auto"/>
        </w:rPr>
      </w:pPr>
    </w:p>
    <w:p>
      <w:pPr>
        <w:ind w:left="5920"/>
        <w:spacing w:after="0"/>
        <w:rPr>
          <w:sz w:val="20"/>
          <w:szCs w:val="20"/>
          <w:color w:val="auto"/>
        </w:rPr>
      </w:pPr>
      <w:r>
        <w:rPr>
          <w:rFonts w:ascii="Arial" w:cs="Arial" w:eastAsia="Arial" w:hAnsi="Arial"/>
          <w:sz w:val="19"/>
          <w:szCs w:val="19"/>
          <w:color w:val="auto"/>
        </w:rPr>
        <w:t xml:space="preserve">By: </w:t>
      </w:r>
      <w:r>
        <w:rPr>
          <w:rFonts w:ascii="Arial" w:cs="Arial" w:eastAsia="Arial" w:hAnsi="Arial"/>
          <w:sz w:val="19"/>
          <w:szCs w:val="19"/>
          <w:i w:val="1"/>
          <w:iCs w:val="1"/>
          <w:u w:val="single" w:color="auto"/>
          <w:color w:val="auto"/>
        </w:rPr>
        <w:t>/s/ Simon Pimstone</w:t>
      </w:r>
    </w:p>
    <w:p>
      <w:pPr>
        <w:spacing w:after="0" w:line="11" w:lineRule="exact"/>
        <w:rPr>
          <w:sz w:val="20"/>
          <w:szCs w:val="20"/>
          <w:color w:val="auto"/>
        </w:rPr>
      </w:pPr>
    </w:p>
    <w:p>
      <w:pPr>
        <w:ind w:left="5920"/>
        <w:spacing w:after="0"/>
        <w:rPr>
          <w:sz w:val="20"/>
          <w:szCs w:val="20"/>
          <w:color w:val="auto"/>
        </w:rPr>
      </w:pPr>
      <w:r>
        <w:rPr>
          <w:rFonts w:ascii="Arial" w:cs="Arial" w:eastAsia="Arial" w:hAnsi="Arial"/>
          <w:sz w:val="19"/>
          <w:szCs w:val="19"/>
          <w:color w:val="auto"/>
        </w:rPr>
        <w:t>Name: Simon Pimstone</w:t>
      </w:r>
    </w:p>
    <w:p>
      <w:pPr>
        <w:ind w:left="5920"/>
        <w:spacing w:after="0"/>
        <w:rPr>
          <w:sz w:val="20"/>
          <w:szCs w:val="20"/>
          <w:color w:val="auto"/>
        </w:rPr>
      </w:pPr>
      <w:r>
        <w:rPr>
          <w:rFonts w:ascii="Arial" w:cs="Arial" w:eastAsia="Arial" w:hAnsi="Arial"/>
          <w:sz w:val="19"/>
          <w:szCs w:val="19"/>
          <w:color w:val="auto"/>
        </w:rPr>
        <w:t>Title: Chief Executive Officer</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5920"/>
        <w:spacing w:after="0"/>
        <w:rPr>
          <w:sz w:val="20"/>
          <w:szCs w:val="20"/>
          <w:color w:val="auto"/>
        </w:rPr>
      </w:pPr>
      <w:r>
        <w:rPr>
          <w:rFonts w:ascii="Arial" w:cs="Arial" w:eastAsia="Arial" w:hAnsi="Arial"/>
          <w:sz w:val="19"/>
          <w:szCs w:val="19"/>
          <w:color w:val="auto"/>
        </w:rPr>
        <w:t xml:space="preserve">By: </w:t>
      </w:r>
      <w:r>
        <w:rPr>
          <w:rFonts w:ascii="Arial" w:cs="Arial" w:eastAsia="Arial" w:hAnsi="Arial"/>
          <w:sz w:val="19"/>
          <w:szCs w:val="19"/>
          <w:i w:val="1"/>
          <w:iCs w:val="1"/>
          <w:u w:val="single" w:color="auto"/>
          <w:color w:val="auto"/>
        </w:rPr>
        <w:t>/s/ Ian Mortimer</w:t>
      </w:r>
    </w:p>
    <w:p>
      <w:pPr>
        <w:spacing w:after="0" w:line="11" w:lineRule="exact"/>
        <w:rPr>
          <w:sz w:val="20"/>
          <w:szCs w:val="20"/>
          <w:color w:val="auto"/>
        </w:rPr>
      </w:pPr>
    </w:p>
    <w:p>
      <w:pPr>
        <w:ind w:left="5920"/>
        <w:spacing w:after="0"/>
        <w:rPr>
          <w:sz w:val="20"/>
          <w:szCs w:val="20"/>
          <w:color w:val="auto"/>
        </w:rPr>
      </w:pPr>
      <w:r>
        <w:rPr>
          <w:rFonts w:ascii="Arial" w:cs="Arial" w:eastAsia="Arial" w:hAnsi="Arial"/>
          <w:sz w:val="19"/>
          <w:szCs w:val="19"/>
          <w:color w:val="auto"/>
        </w:rPr>
        <w:t>Name: Ian Mortimer</w:t>
      </w:r>
    </w:p>
    <w:p>
      <w:pPr>
        <w:ind w:left="5920"/>
        <w:spacing w:after="0"/>
        <w:rPr>
          <w:sz w:val="20"/>
          <w:szCs w:val="20"/>
          <w:color w:val="auto"/>
        </w:rPr>
      </w:pPr>
      <w:r>
        <w:rPr>
          <w:rFonts w:ascii="Arial" w:cs="Arial" w:eastAsia="Arial" w:hAnsi="Arial"/>
          <w:sz w:val="19"/>
          <w:szCs w:val="19"/>
          <w:color w:val="auto"/>
        </w:rPr>
        <w:t>Title: Chief Financial Officer</w:t>
      </w:r>
    </w:p>
    <w:p>
      <w:pPr>
        <w:spacing w:after="0" w:line="200" w:lineRule="exact"/>
        <w:rPr>
          <w:sz w:val="20"/>
          <w:szCs w:val="20"/>
          <w:color w:val="auto"/>
        </w:rPr>
      </w:pPr>
    </w:p>
    <w:p>
      <w:pPr>
        <w:spacing w:after="0" w:line="231" w:lineRule="exact"/>
        <w:rPr>
          <w:sz w:val="20"/>
          <w:szCs w:val="20"/>
          <w:color w:val="auto"/>
        </w:rPr>
      </w:pPr>
    </w:p>
    <w:p>
      <w:pPr>
        <w:ind w:right="40" w:firstLine="8"/>
        <w:spacing w:after="0" w:line="253" w:lineRule="auto"/>
        <w:tabs>
          <w:tab w:leader="none" w:pos="204" w:val="left"/>
        </w:tabs>
        <w:numPr>
          <w:ilvl w:val="0"/>
          <w:numId w:val="112"/>
        </w:numPr>
        <w:rPr>
          <w:rFonts w:ascii="Arial" w:cs="Arial" w:eastAsia="Arial" w:hAnsi="Arial"/>
          <w:sz w:val="14"/>
          <w:szCs w:val="14"/>
          <w:color w:val="auto"/>
        </w:rPr>
      </w:pPr>
      <w:r>
        <w:rPr>
          <w:rFonts w:ascii="Arial" w:cs="Arial" w:eastAsia="Arial" w:hAnsi="Arial"/>
          <w:sz w:val="14"/>
          <w:szCs w:val="14"/>
          <w:color w:val="auto"/>
        </w:rPr>
        <w:t>DESIGNATES PORTIONS OF THIS DOCUMENT THAT HAVE BEEN OMITTED PURSUANT TO A REQUEST FOR CONFIDENTIAL TREATMENT FILED SEPARATELY WITH THE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40640</wp:posOffset>
            </wp:positionV>
            <wp:extent cx="7289165"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90" w:name="page91"/>
    <w:bookmarkEnd w:id="90"/>
    <w:p>
      <w:pPr>
        <w:jc w:val="center"/>
        <w:ind w:right="-31"/>
        <w:spacing w:after="0"/>
        <w:rPr>
          <w:sz w:val="20"/>
          <w:szCs w:val="20"/>
          <w:color w:val="auto"/>
        </w:rPr>
      </w:pPr>
      <w:r>
        <w:rPr>
          <w:rFonts w:ascii="Arial" w:cs="Arial" w:eastAsia="Arial" w:hAnsi="Arial"/>
          <w:sz w:val="22"/>
          <w:szCs w:val="22"/>
          <w:u w:val="single" w:color="auto"/>
          <w:color w:val="auto"/>
        </w:rPr>
        <w:t>Exhibit A</w:t>
      </w:r>
    </w:p>
    <w:p>
      <w:pPr>
        <w:spacing w:after="0" w:line="206" w:lineRule="exact"/>
        <w:rPr>
          <w:sz w:val="20"/>
          <w:szCs w:val="20"/>
          <w:color w:val="auto"/>
        </w:rPr>
      </w:pPr>
    </w:p>
    <w:p>
      <w:pPr>
        <w:jc w:val="center"/>
        <w:ind w:right="-31"/>
        <w:spacing w:after="0"/>
        <w:rPr>
          <w:sz w:val="20"/>
          <w:szCs w:val="20"/>
          <w:color w:val="auto"/>
        </w:rPr>
      </w:pPr>
      <w:r>
        <w:rPr>
          <w:rFonts w:ascii="Arial" w:cs="Arial" w:eastAsia="Arial" w:hAnsi="Arial"/>
          <w:sz w:val="22"/>
          <w:szCs w:val="22"/>
          <w:color w:val="auto"/>
        </w:rPr>
        <w:t>Valeant APA</w:t>
      </w:r>
    </w:p>
    <w:p>
      <w:pPr>
        <w:spacing w:after="0" w:line="200" w:lineRule="exact"/>
        <w:rPr>
          <w:sz w:val="20"/>
          <w:szCs w:val="20"/>
          <w:color w:val="auto"/>
        </w:rPr>
      </w:pPr>
    </w:p>
    <w:p>
      <w:pPr>
        <w:spacing w:after="0" w:line="239" w:lineRule="exact"/>
        <w:rPr>
          <w:sz w:val="20"/>
          <w:szCs w:val="20"/>
          <w:color w:val="auto"/>
        </w:rPr>
      </w:pPr>
    </w:p>
    <w:p>
      <w:pPr>
        <w:ind w:left="-8" w:firstLine="8"/>
        <w:spacing w:after="0" w:line="253" w:lineRule="auto"/>
        <w:tabs>
          <w:tab w:leader="none" w:pos="196" w:val="left"/>
        </w:tabs>
        <w:numPr>
          <w:ilvl w:val="0"/>
          <w:numId w:val="113"/>
        </w:numPr>
        <w:rPr>
          <w:rFonts w:ascii="Arial" w:cs="Arial" w:eastAsia="Arial" w:hAnsi="Arial"/>
          <w:sz w:val="14"/>
          <w:szCs w:val="14"/>
          <w:color w:val="auto"/>
        </w:rPr>
      </w:pPr>
      <w:r>
        <w:rPr>
          <w:rFonts w:ascii="Arial" w:cs="Arial" w:eastAsia="Arial" w:hAnsi="Arial"/>
          <w:sz w:val="14"/>
          <w:szCs w:val="14"/>
          <w:color w:val="auto"/>
        </w:rPr>
        <w:t>DESIGNATES PORTIONS OF THIS DOCUMENT THAT HAVE BEEN OMITTED PURSUANT TO A REQUEST FOR CONFIDENTIAL TREATMENT FILED SEPARATELY WITH THE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40640</wp:posOffset>
            </wp:positionV>
            <wp:extent cx="7289165"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72"/>
          </w:cols>
          <w:pgMar w:left="248" w:top="564" w:right="279" w:bottom="1440" w:gutter="0" w:footer="0" w:header="0"/>
        </w:sectPr>
      </w:pPr>
    </w:p>
    <w:bookmarkStart w:id="91" w:name="page92"/>
    <w:bookmarkEnd w:id="91"/>
    <w:p>
      <w:pPr>
        <w:jc w:val="right"/>
        <w:spacing w:after="0"/>
        <w:rPr>
          <w:sz w:val="20"/>
          <w:szCs w:val="20"/>
          <w:color w:val="auto"/>
        </w:rPr>
      </w:pPr>
      <w:r>
        <w:rPr>
          <w:rFonts w:ascii="Arial" w:cs="Arial" w:eastAsia="Arial" w:hAnsi="Arial"/>
          <w:sz w:val="20"/>
          <w:szCs w:val="20"/>
          <w:color w:val="auto"/>
        </w:rPr>
        <w:t>Execution Copy</w:t>
      </w:r>
    </w:p>
    <w:p>
      <w:pPr>
        <w:spacing w:after="0" w:line="212" w:lineRule="exact"/>
        <w:rPr>
          <w:sz w:val="20"/>
          <w:szCs w:val="20"/>
          <w:color w:val="auto"/>
        </w:rPr>
      </w:pPr>
    </w:p>
    <w:p>
      <w:pPr>
        <w:ind w:left="4100"/>
        <w:spacing w:after="0"/>
        <w:rPr>
          <w:sz w:val="20"/>
          <w:szCs w:val="20"/>
          <w:color w:val="auto"/>
        </w:rPr>
      </w:pPr>
      <w:r>
        <w:rPr>
          <w:rFonts w:ascii="Arial" w:cs="Arial" w:eastAsia="Arial" w:hAnsi="Arial"/>
          <w:sz w:val="22"/>
          <w:szCs w:val="22"/>
          <w:color w:val="auto"/>
        </w:rPr>
        <w:t>ASSET PURCHASE AGREEMENT</w:t>
      </w:r>
    </w:p>
    <w:p>
      <w:pPr>
        <w:spacing w:after="0" w:line="206" w:lineRule="exact"/>
        <w:rPr>
          <w:sz w:val="20"/>
          <w:szCs w:val="20"/>
          <w:color w:val="auto"/>
        </w:rPr>
      </w:pPr>
    </w:p>
    <w:p>
      <w:pPr>
        <w:ind w:left="5100"/>
        <w:spacing w:after="0"/>
        <w:rPr>
          <w:sz w:val="20"/>
          <w:szCs w:val="20"/>
          <w:color w:val="auto"/>
        </w:rPr>
      </w:pPr>
      <w:r>
        <w:rPr>
          <w:rFonts w:ascii="Arial" w:cs="Arial" w:eastAsia="Arial" w:hAnsi="Arial"/>
          <w:sz w:val="22"/>
          <w:szCs w:val="22"/>
          <w:color w:val="auto"/>
        </w:rPr>
        <w:t>by and among</w:t>
      </w:r>
    </w:p>
    <w:p>
      <w:pPr>
        <w:spacing w:after="0" w:line="206" w:lineRule="exact"/>
        <w:rPr>
          <w:sz w:val="20"/>
          <w:szCs w:val="20"/>
          <w:color w:val="auto"/>
        </w:rPr>
      </w:pPr>
    </w:p>
    <w:p>
      <w:pPr>
        <w:ind w:left="3840"/>
        <w:spacing w:after="0"/>
        <w:rPr>
          <w:sz w:val="20"/>
          <w:szCs w:val="20"/>
          <w:color w:val="auto"/>
        </w:rPr>
      </w:pPr>
      <w:r>
        <w:rPr>
          <w:rFonts w:ascii="Arial" w:cs="Arial" w:eastAsia="Arial" w:hAnsi="Arial"/>
          <w:sz w:val="22"/>
          <w:szCs w:val="22"/>
          <w:color w:val="auto"/>
        </w:rPr>
        <w:t>1</w:t>
      </w:r>
      <w:r>
        <w:rPr>
          <w:rFonts w:ascii="Arial" w:cs="Arial" w:eastAsia="Arial" w:hAnsi="Arial"/>
          <w:sz w:val="13"/>
          <w:szCs w:val="13"/>
          <w:color w:val="auto"/>
        </w:rPr>
        <w:t>ST</w:t>
      </w:r>
      <w:r>
        <w:rPr>
          <w:rFonts w:ascii="Arial" w:cs="Arial" w:eastAsia="Arial" w:hAnsi="Arial"/>
          <w:sz w:val="22"/>
          <w:szCs w:val="22"/>
          <w:color w:val="auto"/>
        </w:rPr>
        <w:t xml:space="preserve"> ORDER PHARMACEUTICALS, INC.</w:t>
      </w:r>
    </w:p>
    <w:p>
      <w:pPr>
        <w:spacing w:after="0" w:line="8" w:lineRule="exact"/>
        <w:rPr>
          <w:sz w:val="20"/>
          <w:szCs w:val="20"/>
          <w:color w:val="auto"/>
        </w:rPr>
      </w:pPr>
    </w:p>
    <w:p>
      <w:pPr>
        <w:ind w:left="4600"/>
        <w:spacing w:after="0"/>
        <w:rPr>
          <w:sz w:val="20"/>
          <w:szCs w:val="20"/>
          <w:color w:val="auto"/>
        </w:rPr>
      </w:pPr>
      <w:r>
        <w:rPr>
          <w:rFonts w:ascii="Arial" w:cs="Arial" w:eastAsia="Arial" w:hAnsi="Arial"/>
          <w:sz w:val="22"/>
          <w:szCs w:val="22"/>
          <w:color w:val="auto"/>
        </w:rPr>
        <w:t>(a Delaware corporation),</w:t>
      </w:r>
    </w:p>
    <w:p>
      <w:pPr>
        <w:spacing w:after="0" w:line="188" w:lineRule="exact"/>
        <w:rPr>
          <w:sz w:val="20"/>
          <w:szCs w:val="20"/>
          <w:color w:val="auto"/>
        </w:rPr>
      </w:pPr>
    </w:p>
    <w:p>
      <w:pPr>
        <w:ind w:left="3320"/>
        <w:spacing w:after="0"/>
        <w:rPr>
          <w:sz w:val="20"/>
          <w:szCs w:val="20"/>
          <w:color w:val="auto"/>
        </w:rPr>
      </w:pPr>
      <w:r>
        <w:rPr>
          <w:rFonts w:ascii="Arial" w:cs="Arial" w:eastAsia="Arial" w:hAnsi="Arial"/>
          <w:sz w:val="22"/>
          <w:szCs w:val="22"/>
          <w:color w:val="auto"/>
        </w:rPr>
        <w:t>VALEANT PHARMACEUTICALS LUXEMBOURG,</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 Luxembourg company)</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Dated as of October 30, 2015</w:t>
      </w:r>
    </w:p>
    <w:p>
      <w:pPr>
        <w:spacing w:after="0" w:line="200" w:lineRule="exact"/>
        <w:rPr>
          <w:sz w:val="20"/>
          <w:szCs w:val="20"/>
          <w:color w:val="auto"/>
        </w:rPr>
      </w:pPr>
    </w:p>
    <w:p>
      <w:pPr>
        <w:spacing w:after="0" w:line="239" w:lineRule="exact"/>
        <w:rPr>
          <w:sz w:val="20"/>
          <w:szCs w:val="20"/>
          <w:color w:val="auto"/>
        </w:rPr>
      </w:pPr>
    </w:p>
    <w:p>
      <w:pPr>
        <w:ind w:right="40" w:firstLine="8"/>
        <w:spacing w:after="0" w:line="253" w:lineRule="auto"/>
        <w:tabs>
          <w:tab w:leader="none" w:pos="204" w:val="left"/>
        </w:tabs>
        <w:numPr>
          <w:ilvl w:val="0"/>
          <w:numId w:val="114"/>
        </w:numPr>
        <w:rPr>
          <w:rFonts w:ascii="Arial" w:cs="Arial" w:eastAsia="Arial" w:hAnsi="Arial"/>
          <w:sz w:val="14"/>
          <w:szCs w:val="14"/>
          <w:color w:val="auto"/>
        </w:rPr>
      </w:pPr>
      <w:r>
        <w:rPr>
          <w:rFonts w:ascii="Arial" w:cs="Arial" w:eastAsia="Arial" w:hAnsi="Arial"/>
          <w:sz w:val="14"/>
          <w:szCs w:val="14"/>
          <w:color w:val="auto"/>
        </w:rPr>
        <w:t>DESIGNATES PORTIONS OF THIS DOCUMENT THAT HAVE BEEN OMITTED PURSUANT TO A REQUEST FOR CONFIDENTIAL TREATMENT FILED SEPARATELY WITH THE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40640</wp:posOffset>
            </wp:positionV>
            <wp:extent cx="7289165"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92" w:name="page93"/>
    <w:bookmarkEnd w:id="92"/>
    <w:p>
      <w:pPr>
        <w:jc w:val="right"/>
        <w:spacing w:after="0"/>
        <w:rPr>
          <w:sz w:val="20"/>
          <w:szCs w:val="20"/>
          <w:color w:val="auto"/>
        </w:rPr>
      </w:pPr>
      <w:r>
        <w:rPr>
          <w:rFonts w:ascii="Arial" w:cs="Arial" w:eastAsia="Arial" w:hAnsi="Arial"/>
          <w:sz w:val="20"/>
          <w:szCs w:val="20"/>
          <w:color w:val="auto"/>
        </w:rPr>
        <w:t>Execution Copy</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ASSET PURCHASE AGREEMENT</w:t>
      </w:r>
    </w:p>
    <w:p>
      <w:pPr>
        <w:spacing w:after="0" w:line="200" w:lineRule="exact"/>
        <w:rPr>
          <w:sz w:val="20"/>
          <w:szCs w:val="20"/>
          <w:color w:val="auto"/>
        </w:rPr>
      </w:pPr>
    </w:p>
    <w:p>
      <w:pPr>
        <w:ind w:right="280" w:firstLine="846"/>
        <w:spacing w:after="0" w:line="243" w:lineRule="auto"/>
        <w:rPr>
          <w:sz w:val="20"/>
          <w:szCs w:val="20"/>
          <w:color w:val="auto"/>
        </w:rPr>
      </w:pPr>
      <w:r>
        <w:rPr>
          <w:rFonts w:ascii="Arial" w:cs="Arial" w:eastAsia="Arial" w:hAnsi="Arial"/>
          <w:sz w:val="22"/>
          <w:szCs w:val="22"/>
          <w:color w:val="auto"/>
        </w:rPr>
        <w:t>THIS ASSET PURCHASE AGREEMENT (“</w:t>
      </w:r>
      <w:r>
        <w:rPr>
          <w:rFonts w:ascii="Arial" w:cs="Arial" w:eastAsia="Arial" w:hAnsi="Arial"/>
          <w:sz w:val="22"/>
          <w:szCs w:val="22"/>
          <w:b w:val="1"/>
          <w:bCs w:val="1"/>
          <w:color w:val="auto"/>
        </w:rPr>
        <w:t>Agreement</w:t>
      </w:r>
      <w:r>
        <w:rPr>
          <w:rFonts w:ascii="Arial" w:cs="Arial" w:eastAsia="Arial" w:hAnsi="Arial"/>
          <w:sz w:val="22"/>
          <w:szCs w:val="22"/>
          <w:color w:val="auto"/>
        </w:rPr>
        <w:t>”), is made as of October 30, 2015, by and among, 1</w:t>
      </w:r>
      <w:r>
        <w:rPr>
          <w:rFonts w:ascii="Arial" w:cs="Arial" w:eastAsia="Arial" w:hAnsi="Arial"/>
          <w:sz w:val="18"/>
          <w:szCs w:val="18"/>
          <w:color w:val="auto"/>
        </w:rPr>
        <w:t>ST</w:t>
      </w:r>
      <w:r>
        <w:rPr>
          <w:rFonts w:ascii="Arial" w:cs="Arial" w:eastAsia="Arial" w:hAnsi="Arial"/>
          <w:sz w:val="22"/>
          <w:szCs w:val="22"/>
          <w:color w:val="auto"/>
        </w:rPr>
        <w:t xml:space="preserve"> Order Pharmaceuticals, Inc., a Delaware Corporation (“</w:t>
      </w:r>
      <w:r>
        <w:rPr>
          <w:rFonts w:ascii="Arial" w:cs="Arial" w:eastAsia="Arial" w:hAnsi="Arial"/>
          <w:sz w:val="22"/>
          <w:szCs w:val="22"/>
          <w:b w:val="1"/>
          <w:bCs w:val="1"/>
          <w:color w:val="auto"/>
        </w:rPr>
        <w:t>Acquiror</w:t>
      </w:r>
      <w:r>
        <w:rPr>
          <w:rFonts w:ascii="Arial" w:cs="Arial" w:eastAsia="Arial" w:hAnsi="Arial"/>
          <w:sz w:val="22"/>
          <w:szCs w:val="22"/>
          <w:color w:val="auto"/>
        </w:rPr>
        <w:t>”) and Valeant Pharmaceuticals Luxembourg S.ar.l. a Luxembourg company (“</w:t>
      </w:r>
      <w:r>
        <w:rPr>
          <w:rFonts w:ascii="Arial" w:cs="Arial" w:eastAsia="Arial" w:hAnsi="Arial"/>
          <w:sz w:val="22"/>
          <w:szCs w:val="22"/>
          <w:b w:val="1"/>
          <w:bCs w:val="1"/>
          <w:color w:val="auto"/>
        </w:rPr>
        <w:t>Seller</w:t>
      </w:r>
      <w:r>
        <w:rPr>
          <w:rFonts w:ascii="Arial" w:cs="Arial" w:eastAsia="Arial" w:hAnsi="Arial"/>
          <w:sz w:val="22"/>
          <w:szCs w:val="22"/>
          <w:color w:val="auto"/>
        </w:rPr>
        <w:t>”).</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RECITALS:</w:t>
      </w:r>
    </w:p>
    <w:p>
      <w:pPr>
        <w:spacing w:after="0" w:line="206" w:lineRule="exact"/>
        <w:rPr>
          <w:sz w:val="20"/>
          <w:szCs w:val="20"/>
          <w:color w:val="auto"/>
        </w:rPr>
      </w:pPr>
    </w:p>
    <w:p>
      <w:pPr>
        <w:jc w:val="both"/>
        <w:ind w:right="100" w:firstLine="854"/>
        <w:spacing w:after="0" w:line="238" w:lineRule="auto"/>
        <w:tabs>
          <w:tab w:leader="none" w:pos="1808" w:val="left"/>
        </w:tabs>
        <w:numPr>
          <w:ilvl w:val="0"/>
          <w:numId w:val="115"/>
        </w:numPr>
        <w:rPr>
          <w:rFonts w:ascii="Arial" w:cs="Arial" w:eastAsia="Arial" w:hAnsi="Arial"/>
          <w:sz w:val="22"/>
          <w:szCs w:val="22"/>
          <w:color w:val="auto"/>
        </w:rPr>
      </w:pPr>
      <w:r>
        <w:rPr>
          <w:rFonts w:ascii="Arial" w:cs="Arial" w:eastAsia="Arial" w:hAnsi="Arial"/>
          <w:sz w:val="22"/>
          <w:szCs w:val="22"/>
          <w:color w:val="auto"/>
        </w:rPr>
        <w:t>WHEREAS, the Seller desires to sell to Acquiror, and Acquiror desires to purchase from Seller, all of Seller’s right, title and interest in and to the investigational compound known as VRX621698, a potassium channel opener small molecule (the “</w:t>
      </w:r>
      <w:r>
        <w:rPr>
          <w:rFonts w:ascii="Arial" w:cs="Arial" w:eastAsia="Arial" w:hAnsi="Arial"/>
          <w:sz w:val="22"/>
          <w:szCs w:val="22"/>
          <w:b w:val="1"/>
          <w:bCs w:val="1"/>
          <w:color w:val="auto"/>
        </w:rPr>
        <w:t>Compound</w:t>
      </w:r>
      <w:r>
        <w:rPr>
          <w:rFonts w:ascii="Arial" w:cs="Arial" w:eastAsia="Arial" w:hAnsi="Arial"/>
          <w:sz w:val="22"/>
          <w:szCs w:val="22"/>
          <w:color w:val="auto"/>
        </w:rPr>
        <w:t>”), and certain completed development reports, raw data, API and intellectual property related thereto, upon the terms and subject to the conditions set forth in this Agreement.</w:t>
      </w:r>
    </w:p>
    <w:p>
      <w:pPr>
        <w:spacing w:after="0" w:line="185" w:lineRule="exact"/>
        <w:rPr>
          <w:sz w:val="20"/>
          <w:szCs w:val="20"/>
          <w:color w:val="auto"/>
        </w:rPr>
      </w:pPr>
    </w:p>
    <w:p>
      <w:pPr>
        <w:ind w:right="120" w:firstLine="846"/>
        <w:spacing w:after="0" w:line="258" w:lineRule="auto"/>
        <w:rPr>
          <w:sz w:val="20"/>
          <w:szCs w:val="20"/>
          <w:color w:val="auto"/>
        </w:rPr>
      </w:pPr>
      <w:r>
        <w:rPr>
          <w:rFonts w:ascii="Arial" w:cs="Arial" w:eastAsia="Arial" w:hAnsi="Arial"/>
          <w:sz w:val="21"/>
          <w:szCs w:val="21"/>
          <w:color w:val="auto"/>
        </w:rPr>
        <w:t>NOW, THEREFORE, in consideration of the foregoing premises and the respective representations, warranties, covenants and agreements contained herein, and of other good and valuable consideration, the receipt and sufficiency of which are hereby acknowledged, the parties hereto, intending to be legally bound hereby, agree as follows:</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1 DEFINITIONS</w:t>
      </w:r>
    </w:p>
    <w:p>
      <w:pPr>
        <w:spacing w:after="0" w:line="212" w:lineRule="exact"/>
        <w:rPr>
          <w:sz w:val="20"/>
          <w:szCs w:val="20"/>
          <w:color w:val="auto"/>
        </w:rPr>
      </w:pPr>
    </w:p>
    <w:p>
      <w:pPr>
        <w:ind w:right="200" w:firstLine="846"/>
        <w:spacing w:after="0" w:line="251" w:lineRule="auto"/>
        <w:rPr>
          <w:sz w:val="20"/>
          <w:szCs w:val="20"/>
          <w:color w:val="auto"/>
        </w:rPr>
      </w:pPr>
      <w:r>
        <w:rPr>
          <w:rFonts w:ascii="Arial" w:cs="Arial" w:eastAsia="Arial" w:hAnsi="Arial"/>
          <w:sz w:val="22"/>
          <w:szCs w:val="22"/>
          <w:color w:val="auto"/>
        </w:rPr>
        <w:t>For convenience, certain terms used in more than one part of this Agreement are listed in alphabetical order and defined or referred to below.</w:t>
      </w:r>
    </w:p>
    <w:p>
      <w:pPr>
        <w:spacing w:after="0" w:line="167" w:lineRule="exact"/>
        <w:rPr>
          <w:sz w:val="20"/>
          <w:szCs w:val="20"/>
          <w:color w:val="auto"/>
        </w:rPr>
      </w:pPr>
    </w:p>
    <w:p>
      <w:pPr>
        <w:ind w:left="860" w:right="200"/>
        <w:spacing w:after="0" w:line="23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Affiliate(s)</w:t>
      </w:r>
      <w:r>
        <w:rPr>
          <w:rFonts w:ascii="Arial" w:cs="Arial" w:eastAsia="Arial" w:hAnsi="Arial"/>
          <w:sz w:val="22"/>
          <w:szCs w:val="22"/>
          <w:color w:val="auto"/>
        </w:rPr>
        <w:t>” means, with respect to a particular party, a Person or other entity that controls, is controlled by or is under common control with such party. For the purposes of this definition, the word “control” (including, with correlative meaning, the terms “controlled by” or “under the common control with”) means the actual power, either directly or indirectly through one or more intermediaries, to direct or cause the direction of the management and policies of such entity, whether by the ownership of fifty percent (50%) or more of the voting stock of such entity, or by contract or otherwise.</w:t>
      </w:r>
    </w:p>
    <w:p>
      <w:pPr>
        <w:spacing w:after="0" w:line="182" w:lineRule="exact"/>
        <w:rPr>
          <w:sz w:val="20"/>
          <w:szCs w:val="20"/>
          <w:color w:val="auto"/>
        </w:rPr>
      </w:pPr>
    </w:p>
    <w:p>
      <w:pPr>
        <w:ind w:left="8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Acquiror</w:t>
      </w:r>
      <w:r>
        <w:rPr>
          <w:rFonts w:ascii="Arial" w:cs="Arial" w:eastAsia="Arial" w:hAnsi="Arial"/>
          <w:sz w:val="22"/>
          <w:szCs w:val="22"/>
          <w:color w:val="auto"/>
        </w:rPr>
        <w:t>” is defined in the Preamble.</w:t>
      </w:r>
    </w:p>
    <w:p>
      <w:pPr>
        <w:spacing w:after="0" w:line="206" w:lineRule="exact"/>
        <w:rPr>
          <w:sz w:val="20"/>
          <w:szCs w:val="20"/>
          <w:color w:val="auto"/>
        </w:rPr>
      </w:pPr>
    </w:p>
    <w:p>
      <w:pPr>
        <w:ind w:left="8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Agreement</w:t>
      </w:r>
      <w:r>
        <w:rPr>
          <w:rFonts w:ascii="Arial" w:cs="Arial" w:eastAsia="Arial" w:hAnsi="Arial"/>
          <w:sz w:val="22"/>
          <w:szCs w:val="22"/>
          <w:color w:val="auto"/>
        </w:rPr>
        <w:t>” is defined in the Preamble.</w:t>
      </w:r>
    </w:p>
    <w:p>
      <w:pPr>
        <w:spacing w:after="0" w:line="206" w:lineRule="exact"/>
        <w:rPr>
          <w:sz w:val="20"/>
          <w:szCs w:val="20"/>
          <w:color w:val="auto"/>
        </w:rPr>
      </w:pPr>
    </w:p>
    <w:p>
      <w:pPr>
        <w:ind w:left="860" w:right="680"/>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Authorization</w:t>
      </w:r>
      <w:r>
        <w:rPr>
          <w:rFonts w:ascii="Arial" w:cs="Arial" w:eastAsia="Arial" w:hAnsi="Arial"/>
          <w:sz w:val="22"/>
          <w:szCs w:val="22"/>
          <w:color w:val="auto"/>
        </w:rPr>
        <w:t>” means any authorization, approval, consent, certificate, license, notification, registration, permit, franchise, waiver, order, right, notification of any Governmental Entity.</w:t>
      </w:r>
    </w:p>
    <w:p>
      <w:pPr>
        <w:spacing w:after="0" w:line="163" w:lineRule="exact"/>
        <w:rPr>
          <w:sz w:val="20"/>
          <w:szCs w:val="20"/>
          <w:color w:val="auto"/>
        </w:rPr>
      </w:pPr>
    </w:p>
    <w:p>
      <w:pPr>
        <w:ind w:left="8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Base Purchase Price</w:t>
      </w:r>
      <w:r>
        <w:rPr>
          <w:rFonts w:ascii="Arial" w:cs="Arial" w:eastAsia="Arial" w:hAnsi="Arial"/>
          <w:sz w:val="22"/>
          <w:szCs w:val="22"/>
          <w:color w:val="auto"/>
        </w:rPr>
        <w:t xml:space="preserve">” is defined in </w:t>
      </w:r>
      <w:r>
        <w:rPr>
          <w:rFonts w:ascii="Arial" w:cs="Arial" w:eastAsia="Arial" w:hAnsi="Arial"/>
          <w:sz w:val="22"/>
          <w:szCs w:val="22"/>
          <w:u w:val="single" w:color="auto"/>
          <w:color w:val="auto"/>
        </w:rPr>
        <w:t>Section 2.3</w:t>
      </w:r>
      <w:r>
        <w:rPr>
          <w:rFonts w:ascii="Arial" w:cs="Arial" w:eastAsia="Arial" w:hAnsi="Arial"/>
          <w:sz w:val="22"/>
          <w:szCs w:val="22"/>
          <w:color w:val="auto"/>
        </w:rPr>
        <w:t>.</w:t>
      </w:r>
    </w:p>
    <w:p>
      <w:pPr>
        <w:spacing w:after="0" w:line="206" w:lineRule="exact"/>
        <w:rPr>
          <w:sz w:val="20"/>
          <w:szCs w:val="20"/>
          <w:color w:val="auto"/>
        </w:rPr>
      </w:pPr>
    </w:p>
    <w:p>
      <w:pPr>
        <w:ind w:left="860" w:right="300"/>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Business Day</w:t>
      </w:r>
      <w:r>
        <w:rPr>
          <w:rFonts w:ascii="Arial" w:cs="Arial" w:eastAsia="Arial" w:hAnsi="Arial"/>
          <w:sz w:val="22"/>
          <w:szCs w:val="22"/>
          <w:color w:val="auto"/>
        </w:rPr>
        <w:t>” means a day other than a Saturday, Sunday or other day on which banks located in New York City are authorized or required by Law to close.</w:t>
      </w:r>
    </w:p>
    <w:p>
      <w:pPr>
        <w:spacing w:after="0" w:line="163" w:lineRule="exact"/>
        <w:rPr>
          <w:sz w:val="20"/>
          <w:szCs w:val="20"/>
          <w:color w:val="auto"/>
        </w:rPr>
      </w:pPr>
    </w:p>
    <w:p>
      <w:pPr>
        <w:ind w:left="8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Closing</w:t>
      </w:r>
      <w:r>
        <w:rPr>
          <w:rFonts w:ascii="Arial" w:cs="Arial" w:eastAsia="Arial" w:hAnsi="Arial"/>
          <w:sz w:val="22"/>
          <w:szCs w:val="22"/>
          <w:color w:val="auto"/>
        </w:rPr>
        <w:t xml:space="preserve">” is defined in </w:t>
      </w:r>
      <w:r>
        <w:rPr>
          <w:rFonts w:ascii="Arial" w:cs="Arial" w:eastAsia="Arial" w:hAnsi="Arial"/>
          <w:sz w:val="22"/>
          <w:szCs w:val="22"/>
          <w:u w:val="single" w:color="auto"/>
          <w:color w:val="auto"/>
        </w:rPr>
        <w:t>Section 3.1</w:t>
      </w:r>
      <w:r>
        <w:rPr>
          <w:rFonts w:ascii="Arial" w:cs="Arial" w:eastAsia="Arial" w:hAnsi="Arial"/>
          <w:sz w:val="22"/>
          <w:szCs w:val="22"/>
          <w:color w:val="auto"/>
        </w:rPr>
        <w:t>.</w:t>
      </w:r>
    </w:p>
    <w:p>
      <w:pPr>
        <w:spacing w:after="0" w:line="206" w:lineRule="exact"/>
        <w:rPr>
          <w:sz w:val="20"/>
          <w:szCs w:val="20"/>
          <w:color w:val="auto"/>
        </w:rPr>
      </w:pPr>
    </w:p>
    <w:p>
      <w:pPr>
        <w:ind w:left="8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Closing Date</w:t>
      </w:r>
      <w:r>
        <w:rPr>
          <w:rFonts w:ascii="Arial" w:cs="Arial" w:eastAsia="Arial" w:hAnsi="Arial"/>
          <w:sz w:val="22"/>
          <w:szCs w:val="22"/>
          <w:color w:val="auto"/>
        </w:rPr>
        <w:t xml:space="preserve">” is defined in </w:t>
      </w:r>
      <w:r>
        <w:rPr>
          <w:rFonts w:ascii="Arial" w:cs="Arial" w:eastAsia="Arial" w:hAnsi="Arial"/>
          <w:sz w:val="22"/>
          <w:szCs w:val="22"/>
          <w:u w:val="single" w:color="auto"/>
          <w:color w:val="auto"/>
        </w:rPr>
        <w:t>Section 3.1</w:t>
      </w:r>
      <w:r>
        <w:rPr>
          <w:rFonts w:ascii="Arial" w:cs="Arial" w:eastAsia="Arial" w:hAnsi="Arial"/>
          <w:sz w:val="22"/>
          <w:szCs w:val="22"/>
          <w:color w:val="auto"/>
        </w:rPr>
        <w:t>.</w:t>
      </w:r>
    </w:p>
    <w:p>
      <w:pPr>
        <w:spacing w:after="0" w:line="215" w:lineRule="exact"/>
        <w:rPr>
          <w:sz w:val="20"/>
          <w:szCs w:val="20"/>
          <w:color w:val="auto"/>
        </w:rPr>
      </w:pPr>
    </w:p>
    <w:p>
      <w:pPr>
        <w:ind w:right="40" w:firstLine="8"/>
        <w:spacing w:after="0" w:line="253" w:lineRule="auto"/>
        <w:tabs>
          <w:tab w:leader="none" w:pos="204" w:val="left"/>
        </w:tabs>
        <w:numPr>
          <w:ilvl w:val="0"/>
          <w:numId w:val="116"/>
        </w:numPr>
        <w:rPr>
          <w:rFonts w:ascii="Arial" w:cs="Arial" w:eastAsia="Arial" w:hAnsi="Arial"/>
          <w:sz w:val="14"/>
          <w:szCs w:val="14"/>
          <w:color w:val="auto"/>
        </w:rPr>
      </w:pPr>
      <w:r>
        <w:rPr>
          <w:rFonts w:ascii="Arial" w:cs="Arial" w:eastAsia="Arial" w:hAnsi="Arial"/>
          <w:sz w:val="14"/>
          <w:szCs w:val="14"/>
          <w:color w:val="auto"/>
        </w:rPr>
        <w:t>DESIGNATES PORTIONS OF THIS DOCUMENT THAT HAVE BEEN OMITTED PURSUANT TO A REQUEST FOR CONFIDENTIAL TREATMENT FILED SEPARATELY WITH THE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40640</wp:posOffset>
            </wp:positionV>
            <wp:extent cx="7289165"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93" w:name="page94"/>
    <w:bookmarkEnd w:id="93"/>
    <w:p>
      <w:pPr>
        <w:ind w:left="852"/>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Compound Material Adverse Effect</w:t>
      </w:r>
      <w:r>
        <w:rPr>
          <w:rFonts w:ascii="Arial" w:cs="Arial" w:eastAsia="Arial" w:hAnsi="Arial"/>
          <w:sz w:val="22"/>
          <w:szCs w:val="22"/>
          <w:color w:val="auto"/>
        </w:rPr>
        <w:t>” means [†].</w:t>
      </w:r>
    </w:p>
    <w:p>
      <w:pPr>
        <w:spacing w:after="0" w:line="206" w:lineRule="exact"/>
        <w:rPr>
          <w:sz w:val="20"/>
          <w:szCs w:val="20"/>
          <w:color w:val="auto"/>
        </w:rPr>
      </w:pPr>
    </w:p>
    <w:p>
      <w:pPr>
        <w:ind w:left="852"/>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Compound</w:t>
      </w:r>
      <w:r>
        <w:rPr>
          <w:rFonts w:ascii="Arial" w:cs="Arial" w:eastAsia="Arial" w:hAnsi="Arial"/>
          <w:sz w:val="22"/>
          <w:szCs w:val="22"/>
          <w:color w:val="auto"/>
        </w:rPr>
        <w:t>” is defined in the preamble.</w:t>
      </w:r>
    </w:p>
    <w:p>
      <w:pPr>
        <w:spacing w:after="0" w:line="206" w:lineRule="exact"/>
        <w:rPr>
          <w:sz w:val="20"/>
          <w:szCs w:val="20"/>
          <w:color w:val="auto"/>
        </w:rPr>
      </w:pPr>
    </w:p>
    <w:p>
      <w:pPr>
        <w:ind w:left="852" w:right="240"/>
        <w:spacing w:after="0" w:line="280"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Compound Intellectual Property</w:t>
      </w:r>
      <w:r>
        <w:rPr>
          <w:rFonts w:ascii="Arial" w:cs="Arial" w:eastAsia="Arial" w:hAnsi="Arial"/>
          <w:sz w:val="21"/>
          <w:szCs w:val="21"/>
          <w:color w:val="auto"/>
        </w:rPr>
        <w:t xml:space="preserve">” means all Patent rights, Know-How and other Intellectual Property relating to the Compound, including, without limitation, the Intellectual Property set forth on </w:t>
      </w:r>
      <w:r>
        <w:rPr>
          <w:rFonts w:ascii="Arial" w:cs="Arial" w:eastAsia="Arial" w:hAnsi="Arial"/>
          <w:sz w:val="21"/>
          <w:szCs w:val="21"/>
          <w:u w:val="single" w:color="auto"/>
          <w:color w:val="auto"/>
        </w:rPr>
        <w:t>Schedule 4.3(a)</w:t>
      </w:r>
      <w:r>
        <w:rPr>
          <w:rFonts w:ascii="Arial" w:cs="Arial" w:eastAsia="Arial" w:hAnsi="Arial"/>
          <w:sz w:val="21"/>
          <w:szCs w:val="21"/>
          <w:color w:val="auto"/>
        </w:rPr>
        <w:t>.</w:t>
      </w:r>
    </w:p>
    <w:p>
      <w:pPr>
        <w:spacing w:after="0" w:line="139" w:lineRule="exact"/>
        <w:rPr>
          <w:sz w:val="20"/>
          <w:szCs w:val="20"/>
          <w:color w:val="auto"/>
        </w:rPr>
      </w:pPr>
    </w:p>
    <w:p>
      <w:pPr>
        <w:ind w:left="852"/>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Compound Registered Items</w:t>
      </w:r>
      <w:r>
        <w:rPr>
          <w:rFonts w:ascii="Arial" w:cs="Arial" w:eastAsia="Arial" w:hAnsi="Arial"/>
          <w:sz w:val="22"/>
          <w:szCs w:val="22"/>
          <w:color w:val="auto"/>
        </w:rPr>
        <w:t xml:space="preserve">” is defined in </w:t>
      </w:r>
      <w:r>
        <w:rPr>
          <w:rFonts w:ascii="Arial" w:cs="Arial" w:eastAsia="Arial" w:hAnsi="Arial"/>
          <w:sz w:val="22"/>
          <w:szCs w:val="22"/>
          <w:u w:val="single" w:color="auto"/>
          <w:color w:val="auto"/>
        </w:rPr>
        <w:t>Section 4.3(d)</w:t>
      </w:r>
      <w:r>
        <w:rPr>
          <w:rFonts w:ascii="Arial" w:cs="Arial" w:eastAsia="Arial" w:hAnsi="Arial"/>
          <w:sz w:val="22"/>
          <w:szCs w:val="22"/>
          <w:color w:val="auto"/>
        </w:rPr>
        <w:t>.</w:t>
      </w:r>
    </w:p>
    <w:p>
      <w:pPr>
        <w:spacing w:after="0" w:line="206" w:lineRule="exact"/>
        <w:rPr>
          <w:sz w:val="20"/>
          <w:szCs w:val="20"/>
          <w:color w:val="auto"/>
        </w:rPr>
      </w:pPr>
    </w:p>
    <w:p>
      <w:pPr>
        <w:ind w:left="852" w:right="560"/>
        <w:spacing w:after="0" w:line="284"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Compound Regulatory Documentation</w:t>
      </w:r>
      <w:r>
        <w:rPr>
          <w:rFonts w:ascii="Arial" w:cs="Arial" w:eastAsia="Arial" w:hAnsi="Arial"/>
          <w:sz w:val="19"/>
          <w:szCs w:val="19"/>
          <w:color w:val="auto"/>
        </w:rPr>
        <w:t>” means any and all Authorizations relating to the Compound, including, without limitation, applications, registrations, licenses, authorizations, approvals, non-clinical and clinical study authorization applications or notifications (including all supporting files, writings, data, studies and reports), correspondence to or with any Medical Product Regulatory Authority with respect to the Compound, and all data contained in any of the foregoing, including all adverse event files and manufacturing records.</w:t>
      </w:r>
    </w:p>
    <w:p>
      <w:pPr>
        <w:spacing w:after="0" w:line="139" w:lineRule="exact"/>
        <w:rPr>
          <w:sz w:val="20"/>
          <w:szCs w:val="20"/>
          <w:color w:val="auto"/>
        </w:rPr>
      </w:pPr>
    </w:p>
    <w:p>
      <w:pPr>
        <w:ind w:left="852"/>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Confidentiality Agreement</w:t>
      </w:r>
      <w:r>
        <w:rPr>
          <w:rFonts w:ascii="Arial" w:cs="Arial" w:eastAsia="Arial" w:hAnsi="Arial"/>
          <w:sz w:val="22"/>
          <w:szCs w:val="22"/>
          <w:color w:val="auto"/>
        </w:rPr>
        <w:t xml:space="preserve">” is defined in </w:t>
      </w:r>
      <w:r>
        <w:rPr>
          <w:rFonts w:ascii="Arial" w:cs="Arial" w:eastAsia="Arial" w:hAnsi="Arial"/>
          <w:sz w:val="22"/>
          <w:szCs w:val="22"/>
          <w:u w:val="single" w:color="auto"/>
          <w:color w:val="auto"/>
        </w:rPr>
        <w:t>Section 7.1</w:t>
      </w:r>
      <w:r>
        <w:rPr>
          <w:rFonts w:ascii="Arial" w:cs="Arial" w:eastAsia="Arial" w:hAnsi="Arial"/>
          <w:sz w:val="22"/>
          <w:szCs w:val="22"/>
          <w:color w:val="auto"/>
        </w:rPr>
        <w:t>.</w:t>
      </w:r>
    </w:p>
    <w:p>
      <w:pPr>
        <w:spacing w:after="0" w:line="206" w:lineRule="exact"/>
        <w:rPr>
          <w:sz w:val="20"/>
          <w:szCs w:val="20"/>
          <w:color w:val="auto"/>
        </w:rPr>
      </w:pPr>
    </w:p>
    <w:p>
      <w:pPr>
        <w:ind w:left="852"/>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Confidentiality Information</w:t>
      </w:r>
      <w:r>
        <w:rPr>
          <w:rFonts w:ascii="Arial" w:cs="Arial" w:eastAsia="Arial" w:hAnsi="Arial"/>
          <w:sz w:val="22"/>
          <w:szCs w:val="22"/>
          <w:color w:val="auto"/>
        </w:rPr>
        <w:t xml:space="preserve">” is defined in </w:t>
      </w:r>
      <w:r>
        <w:rPr>
          <w:rFonts w:ascii="Arial" w:cs="Arial" w:eastAsia="Arial" w:hAnsi="Arial"/>
          <w:sz w:val="22"/>
          <w:szCs w:val="22"/>
          <w:u w:val="single" w:color="auto"/>
          <w:color w:val="auto"/>
        </w:rPr>
        <w:t>Section 7.6</w:t>
      </w:r>
      <w:r>
        <w:rPr>
          <w:rFonts w:ascii="Arial" w:cs="Arial" w:eastAsia="Arial" w:hAnsi="Arial"/>
          <w:sz w:val="22"/>
          <w:szCs w:val="22"/>
          <w:color w:val="auto"/>
        </w:rPr>
        <w:t>.</w:t>
      </w:r>
    </w:p>
    <w:p>
      <w:pPr>
        <w:spacing w:after="0" w:line="206" w:lineRule="exact"/>
        <w:rPr>
          <w:sz w:val="20"/>
          <w:szCs w:val="20"/>
          <w:color w:val="auto"/>
        </w:rPr>
      </w:pPr>
    </w:p>
    <w:p>
      <w:pPr>
        <w:ind w:left="852"/>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Damages</w:t>
      </w:r>
      <w:r>
        <w:rPr>
          <w:rFonts w:ascii="Arial" w:cs="Arial" w:eastAsia="Arial" w:hAnsi="Arial"/>
          <w:sz w:val="22"/>
          <w:szCs w:val="22"/>
          <w:color w:val="auto"/>
        </w:rPr>
        <w:t xml:space="preserve">” is defined in </w:t>
      </w:r>
      <w:r>
        <w:rPr>
          <w:rFonts w:ascii="Arial" w:cs="Arial" w:eastAsia="Arial" w:hAnsi="Arial"/>
          <w:sz w:val="22"/>
          <w:szCs w:val="22"/>
          <w:u w:val="single" w:color="auto"/>
          <w:color w:val="auto"/>
        </w:rPr>
        <w:t>Section 10.1(a)</w:t>
      </w:r>
      <w:r>
        <w:rPr>
          <w:rFonts w:ascii="Arial" w:cs="Arial" w:eastAsia="Arial" w:hAnsi="Arial"/>
          <w:sz w:val="22"/>
          <w:szCs w:val="22"/>
          <w:color w:val="auto"/>
        </w:rPr>
        <w:t>.</w:t>
      </w:r>
    </w:p>
    <w:p>
      <w:pPr>
        <w:spacing w:after="0" w:line="206" w:lineRule="exact"/>
        <w:rPr>
          <w:sz w:val="20"/>
          <w:szCs w:val="20"/>
          <w:color w:val="auto"/>
        </w:rPr>
      </w:pPr>
    </w:p>
    <w:p>
      <w:pPr>
        <w:ind w:left="852" w:right="320"/>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Drug Product</w:t>
      </w:r>
      <w:r>
        <w:rPr>
          <w:rFonts w:ascii="Arial" w:cs="Arial" w:eastAsia="Arial" w:hAnsi="Arial"/>
          <w:sz w:val="22"/>
          <w:szCs w:val="22"/>
          <w:color w:val="auto"/>
        </w:rPr>
        <w:t>” means any formulation or presentation of the Compound approved by a Medical Product Regulatory Authority under an NDA for sale.</w:t>
      </w:r>
    </w:p>
    <w:p>
      <w:pPr>
        <w:spacing w:after="0" w:line="163" w:lineRule="exact"/>
        <w:rPr>
          <w:sz w:val="20"/>
          <w:szCs w:val="20"/>
          <w:color w:val="auto"/>
        </w:rPr>
      </w:pPr>
    </w:p>
    <w:p>
      <w:pPr>
        <w:ind w:left="852"/>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EMEA</w:t>
      </w:r>
      <w:r>
        <w:rPr>
          <w:rFonts w:ascii="Arial" w:cs="Arial" w:eastAsia="Arial" w:hAnsi="Arial"/>
          <w:sz w:val="22"/>
          <w:szCs w:val="22"/>
          <w:color w:val="auto"/>
        </w:rPr>
        <w:t>” means the European Medicines Agency.</w:t>
      </w:r>
    </w:p>
    <w:p>
      <w:pPr>
        <w:spacing w:after="0" w:line="206" w:lineRule="exact"/>
        <w:rPr>
          <w:sz w:val="20"/>
          <w:szCs w:val="20"/>
          <w:color w:val="auto"/>
        </w:rPr>
      </w:pPr>
    </w:p>
    <w:p>
      <w:pPr>
        <w:ind w:left="852"/>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EU Territory</w:t>
      </w:r>
      <w:r>
        <w:rPr>
          <w:rFonts w:ascii="Arial" w:cs="Arial" w:eastAsia="Arial" w:hAnsi="Arial"/>
          <w:sz w:val="22"/>
          <w:szCs w:val="22"/>
          <w:color w:val="auto"/>
        </w:rPr>
        <w:t xml:space="preserve">” is defined in </w:t>
      </w:r>
      <w:r>
        <w:rPr>
          <w:rFonts w:ascii="Arial" w:cs="Arial" w:eastAsia="Arial" w:hAnsi="Arial"/>
          <w:sz w:val="22"/>
          <w:szCs w:val="22"/>
          <w:u w:val="single" w:color="auto"/>
          <w:color w:val="auto"/>
        </w:rPr>
        <w:t>Section 2.5(b)</w:t>
      </w:r>
      <w:r>
        <w:rPr>
          <w:rFonts w:ascii="Arial" w:cs="Arial" w:eastAsia="Arial" w:hAnsi="Arial"/>
          <w:sz w:val="22"/>
          <w:szCs w:val="22"/>
          <w:color w:val="auto"/>
        </w:rPr>
        <w:t>.</w:t>
      </w:r>
    </w:p>
    <w:p>
      <w:pPr>
        <w:spacing w:after="0" w:line="206" w:lineRule="exact"/>
        <w:rPr>
          <w:sz w:val="20"/>
          <w:szCs w:val="20"/>
          <w:color w:val="auto"/>
        </w:rPr>
      </w:pPr>
    </w:p>
    <w:p>
      <w:pPr>
        <w:ind w:left="852"/>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FDA</w:t>
      </w:r>
      <w:r>
        <w:rPr>
          <w:rFonts w:ascii="Arial" w:cs="Arial" w:eastAsia="Arial" w:hAnsi="Arial"/>
          <w:sz w:val="22"/>
          <w:szCs w:val="22"/>
          <w:color w:val="auto"/>
        </w:rPr>
        <w:t>” means the United States Food and Drug Administration.</w:t>
      </w:r>
    </w:p>
    <w:p>
      <w:pPr>
        <w:spacing w:after="0" w:line="206" w:lineRule="exact"/>
        <w:rPr>
          <w:sz w:val="20"/>
          <w:szCs w:val="20"/>
          <w:color w:val="auto"/>
        </w:rPr>
      </w:pPr>
    </w:p>
    <w:p>
      <w:pPr>
        <w:ind w:left="852"/>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FFDCA</w:t>
      </w:r>
      <w:r>
        <w:rPr>
          <w:rFonts w:ascii="Arial" w:cs="Arial" w:eastAsia="Arial" w:hAnsi="Arial"/>
          <w:sz w:val="22"/>
          <w:szCs w:val="22"/>
          <w:color w:val="auto"/>
        </w:rPr>
        <w:t>” means the U.S. Federal Food, Drug, and Cosmetic Act.</w:t>
      </w:r>
    </w:p>
    <w:p>
      <w:pPr>
        <w:spacing w:after="0" w:line="206" w:lineRule="exact"/>
        <w:rPr>
          <w:sz w:val="20"/>
          <w:szCs w:val="20"/>
          <w:color w:val="auto"/>
        </w:rPr>
      </w:pPr>
    </w:p>
    <w:p>
      <w:pPr>
        <w:ind w:left="852" w:right="960"/>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Generic Equivalent</w:t>
      </w:r>
      <w:r>
        <w:rPr>
          <w:rFonts w:ascii="Arial" w:cs="Arial" w:eastAsia="Arial" w:hAnsi="Arial"/>
          <w:sz w:val="22"/>
          <w:szCs w:val="22"/>
          <w:color w:val="auto"/>
        </w:rPr>
        <w:t>” means any drug product that is comparable to a Drug Product in dosage form, strength, performance characteristics and intended use.</w:t>
      </w:r>
    </w:p>
    <w:p>
      <w:pPr>
        <w:spacing w:after="0" w:line="163" w:lineRule="exact"/>
        <w:rPr>
          <w:sz w:val="20"/>
          <w:szCs w:val="20"/>
          <w:color w:val="auto"/>
        </w:rPr>
      </w:pPr>
    </w:p>
    <w:p>
      <w:pPr>
        <w:ind w:left="852" w:right="40"/>
        <w:spacing w:after="0" w:line="254"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Governmental Entity</w:t>
      </w:r>
      <w:r>
        <w:rPr>
          <w:rFonts w:ascii="Arial" w:cs="Arial" w:eastAsia="Arial" w:hAnsi="Arial"/>
          <w:sz w:val="21"/>
          <w:szCs w:val="21"/>
          <w:color w:val="auto"/>
        </w:rPr>
        <w:t>” means any entity or body exercising executive, legislative, judicial, regulatory or administrative functions of or pertaining to United States federal, state, local, or municipal government, foreign, international, multinational or other government, including any department, commission, board, agency, bureau, subdivision, instrumentality, official or other regulatory, administrative or judicial authority thereof.</w:t>
      </w:r>
    </w:p>
    <w:p>
      <w:pPr>
        <w:spacing w:after="0" w:line="166" w:lineRule="exact"/>
        <w:rPr>
          <w:sz w:val="20"/>
          <w:szCs w:val="20"/>
          <w:color w:val="auto"/>
        </w:rPr>
      </w:pPr>
    </w:p>
    <w:p>
      <w:pPr>
        <w:ind w:left="852"/>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Grant-Back Intellectual Property</w:t>
      </w:r>
      <w:r>
        <w:rPr>
          <w:rFonts w:ascii="Arial" w:cs="Arial" w:eastAsia="Arial" w:hAnsi="Arial"/>
          <w:sz w:val="22"/>
          <w:szCs w:val="22"/>
          <w:color w:val="auto"/>
        </w:rPr>
        <w:t xml:space="preserve">” is defined in </w:t>
      </w:r>
      <w:r>
        <w:rPr>
          <w:rFonts w:ascii="Arial" w:cs="Arial" w:eastAsia="Arial" w:hAnsi="Arial"/>
          <w:sz w:val="22"/>
          <w:szCs w:val="22"/>
          <w:u w:val="single" w:color="auto"/>
          <w:color w:val="auto"/>
        </w:rPr>
        <w:t>Section 2.8</w:t>
      </w:r>
      <w:r>
        <w:rPr>
          <w:rFonts w:ascii="Arial" w:cs="Arial" w:eastAsia="Arial" w:hAnsi="Arial"/>
          <w:sz w:val="22"/>
          <w:szCs w:val="22"/>
          <w:color w:val="auto"/>
        </w:rPr>
        <w:t>.</w:t>
      </w:r>
    </w:p>
    <w:p>
      <w:pPr>
        <w:spacing w:after="0" w:line="206" w:lineRule="exact"/>
        <w:rPr>
          <w:sz w:val="20"/>
          <w:szCs w:val="20"/>
          <w:color w:val="auto"/>
        </w:rPr>
      </w:pPr>
    </w:p>
    <w:p>
      <w:pPr>
        <w:ind w:left="852"/>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In-Bound Licenses</w:t>
      </w:r>
      <w:r>
        <w:rPr>
          <w:rFonts w:ascii="Arial" w:cs="Arial" w:eastAsia="Arial" w:hAnsi="Arial"/>
          <w:sz w:val="22"/>
          <w:szCs w:val="22"/>
          <w:color w:val="auto"/>
        </w:rPr>
        <w:t xml:space="preserve">” is defined in </w:t>
      </w:r>
      <w:r>
        <w:rPr>
          <w:rFonts w:ascii="Arial" w:cs="Arial" w:eastAsia="Arial" w:hAnsi="Arial"/>
          <w:sz w:val="22"/>
          <w:szCs w:val="22"/>
          <w:u w:val="single" w:color="auto"/>
          <w:color w:val="auto"/>
        </w:rPr>
        <w:t>Section 4.3(b)</w:t>
      </w:r>
      <w:r>
        <w:rPr>
          <w:rFonts w:ascii="Arial" w:cs="Arial" w:eastAsia="Arial" w:hAnsi="Arial"/>
          <w:sz w:val="22"/>
          <w:szCs w:val="22"/>
          <w:color w:val="auto"/>
        </w:rPr>
        <w:t>.</w:t>
      </w:r>
    </w:p>
    <w:p>
      <w:pPr>
        <w:spacing w:after="0" w:line="206" w:lineRule="exact"/>
        <w:rPr>
          <w:sz w:val="20"/>
          <w:szCs w:val="20"/>
          <w:color w:val="auto"/>
        </w:rPr>
      </w:pPr>
    </w:p>
    <w:p>
      <w:pPr>
        <w:ind w:left="852"/>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Indemnified Acquiror Party</w:t>
      </w:r>
      <w:r>
        <w:rPr>
          <w:rFonts w:ascii="Arial" w:cs="Arial" w:eastAsia="Arial" w:hAnsi="Arial"/>
          <w:sz w:val="22"/>
          <w:szCs w:val="22"/>
          <w:color w:val="auto"/>
        </w:rPr>
        <w:t xml:space="preserve">” is defined in </w:t>
      </w:r>
      <w:r>
        <w:rPr>
          <w:rFonts w:ascii="Arial" w:cs="Arial" w:eastAsia="Arial" w:hAnsi="Arial"/>
          <w:sz w:val="22"/>
          <w:szCs w:val="22"/>
          <w:u w:val="single" w:color="auto"/>
          <w:color w:val="auto"/>
        </w:rPr>
        <w:t>Section 10.1</w:t>
      </w:r>
      <w:r>
        <w:rPr>
          <w:rFonts w:ascii="Arial" w:cs="Arial" w:eastAsia="Arial" w:hAnsi="Arial"/>
          <w:sz w:val="22"/>
          <w:szCs w:val="22"/>
          <w:color w:val="auto"/>
        </w:rPr>
        <w:t>.</w:t>
      </w:r>
    </w:p>
    <w:p>
      <w:pPr>
        <w:spacing w:after="0" w:line="212" w:lineRule="exact"/>
        <w:rPr>
          <w:sz w:val="20"/>
          <w:szCs w:val="20"/>
          <w:color w:val="auto"/>
        </w:rPr>
      </w:pPr>
    </w:p>
    <w:p>
      <w:pPr>
        <w:ind w:left="5572"/>
        <w:spacing w:after="0"/>
        <w:rPr>
          <w:sz w:val="20"/>
          <w:szCs w:val="20"/>
          <w:color w:val="auto"/>
        </w:rPr>
      </w:pPr>
      <w:r>
        <w:rPr>
          <w:rFonts w:ascii="Arial" w:cs="Arial" w:eastAsia="Arial" w:hAnsi="Arial"/>
          <w:sz w:val="22"/>
          <w:szCs w:val="22"/>
          <w:color w:val="auto"/>
        </w:rPr>
        <w:t>-3-</w:t>
      </w:r>
    </w:p>
    <w:p>
      <w:pPr>
        <w:spacing w:after="0" w:line="5" w:lineRule="exact"/>
        <w:rPr>
          <w:sz w:val="20"/>
          <w:szCs w:val="20"/>
          <w:color w:val="auto"/>
        </w:rPr>
      </w:pPr>
    </w:p>
    <w:p>
      <w:pPr>
        <w:ind w:left="-8" w:firstLine="8"/>
        <w:spacing w:after="0" w:line="237" w:lineRule="auto"/>
        <w:tabs>
          <w:tab w:leader="none" w:pos="196" w:val="left"/>
        </w:tabs>
        <w:numPr>
          <w:ilvl w:val="0"/>
          <w:numId w:val="117"/>
        </w:numPr>
        <w:rPr>
          <w:rFonts w:ascii="Arial" w:cs="Arial" w:eastAsia="Arial" w:hAnsi="Arial"/>
          <w:sz w:val="14"/>
          <w:szCs w:val="14"/>
          <w:color w:val="auto"/>
        </w:rPr>
      </w:pPr>
      <w:r>
        <w:rPr>
          <w:rFonts w:ascii="Arial" w:cs="Arial" w:eastAsia="Arial" w:hAnsi="Arial"/>
          <w:sz w:val="14"/>
          <w:szCs w:val="14"/>
          <w:color w:val="auto"/>
        </w:rPr>
        <w:t>DESIGNATES PORTIONS OF THIS DOCUMENT THAT HAVE BEEN OMITTED PURSUANT TO A REQUEST FOR CONFIDENTIAL TREATMENT FILED SEPARATELY WITH THE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46990</wp:posOffset>
            </wp:positionV>
            <wp:extent cx="7289165"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72"/>
          </w:cols>
          <w:pgMar w:left="248" w:top="558" w:right="279" w:bottom="1440" w:gutter="0" w:footer="0" w:header="0"/>
        </w:sectPr>
      </w:pPr>
    </w:p>
    <w:bookmarkStart w:id="94" w:name="page95"/>
    <w:bookmarkEnd w:id="94"/>
    <w:p>
      <w:pPr>
        <w:ind w:left="852"/>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Indemnified Party</w:t>
      </w:r>
      <w:r>
        <w:rPr>
          <w:rFonts w:ascii="Arial" w:cs="Arial" w:eastAsia="Arial" w:hAnsi="Arial"/>
          <w:sz w:val="22"/>
          <w:szCs w:val="22"/>
          <w:color w:val="auto"/>
        </w:rPr>
        <w:t xml:space="preserve">” is defined in </w:t>
      </w:r>
      <w:r>
        <w:rPr>
          <w:rFonts w:ascii="Arial" w:cs="Arial" w:eastAsia="Arial" w:hAnsi="Arial"/>
          <w:sz w:val="22"/>
          <w:szCs w:val="22"/>
          <w:u w:val="single" w:color="auto"/>
          <w:color w:val="auto"/>
        </w:rPr>
        <w:t>Section 10.2</w:t>
      </w:r>
      <w:r>
        <w:rPr>
          <w:rFonts w:ascii="Arial" w:cs="Arial" w:eastAsia="Arial" w:hAnsi="Arial"/>
          <w:sz w:val="22"/>
          <w:szCs w:val="22"/>
          <w:color w:val="auto"/>
        </w:rPr>
        <w:t>.</w:t>
      </w:r>
    </w:p>
    <w:p>
      <w:pPr>
        <w:spacing w:after="0" w:line="206" w:lineRule="exact"/>
        <w:rPr>
          <w:sz w:val="20"/>
          <w:szCs w:val="20"/>
          <w:color w:val="auto"/>
        </w:rPr>
      </w:pPr>
    </w:p>
    <w:p>
      <w:pPr>
        <w:ind w:left="852"/>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Indemnified Seller Party</w:t>
      </w:r>
      <w:r>
        <w:rPr>
          <w:rFonts w:ascii="Arial" w:cs="Arial" w:eastAsia="Arial" w:hAnsi="Arial"/>
          <w:sz w:val="22"/>
          <w:szCs w:val="22"/>
          <w:color w:val="auto"/>
        </w:rPr>
        <w:t xml:space="preserve">” is defined in </w:t>
      </w:r>
      <w:r>
        <w:rPr>
          <w:rFonts w:ascii="Arial" w:cs="Arial" w:eastAsia="Arial" w:hAnsi="Arial"/>
          <w:sz w:val="22"/>
          <w:szCs w:val="22"/>
          <w:u w:val="single" w:color="auto"/>
          <w:color w:val="auto"/>
        </w:rPr>
        <w:t>Section 10.2</w:t>
      </w:r>
      <w:r>
        <w:rPr>
          <w:rFonts w:ascii="Arial" w:cs="Arial" w:eastAsia="Arial" w:hAnsi="Arial"/>
          <w:sz w:val="22"/>
          <w:szCs w:val="22"/>
          <w:color w:val="auto"/>
        </w:rPr>
        <w:t>.</w:t>
      </w:r>
    </w:p>
    <w:p>
      <w:pPr>
        <w:spacing w:after="0" w:line="206" w:lineRule="exact"/>
        <w:rPr>
          <w:sz w:val="20"/>
          <w:szCs w:val="20"/>
          <w:color w:val="auto"/>
        </w:rPr>
      </w:pPr>
    </w:p>
    <w:p>
      <w:pPr>
        <w:ind w:left="852"/>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Indemnitor</w:t>
      </w:r>
      <w:r>
        <w:rPr>
          <w:rFonts w:ascii="Arial" w:cs="Arial" w:eastAsia="Arial" w:hAnsi="Arial"/>
          <w:sz w:val="22"/>
          <w:szCs w:val="22"/>
          <w:color w:val="auto"/>
        </w:rPr>
        <w:t xml:space="preserve">” is defined in </w:t>
      </w:r>
      <w:r>
        <w:rPr>
          <w:rFonts w:ascii="Arial" w:cs="Arial" w:eastAsia="Arial" w:hAnsi="Arial"/>
          <w:sz w:val="22"/>
          <w:szCs w:val="22"/>
          <w:u w:val="single" w:color="auto"/>
          <w:color w:val="auto"/>
        </w:rPr>
        <w:t>Section 10.3(a)</w:t>
      </w:r>
      <w:r>
        <w:rPr>
          <w:rFonts w:ascii="Arial" w:cs="Arial" w:eastAsia="Arial" w:hAnsi="Arial"/>
          <w:sz w:val="22"/>
          <w:szCs w:val="22"/>
          <w:color w:val="auto"/>
        </w:rPr>
        <w:t>.</w:t>
      </w:r>
    </w:p>
    <w:p>
      <w:pPr>
        <w:spacing w:after="0" w:line="212" w:lineRule="exact"/>
        <w:rPr>
          <w:sz w:val="20"/>
          <w:szCs w:val="20"/>
          <w:color w:val="auto"/>
        </w:rPr>
      </w:pPr>
    </w:p>
    <w:p>
      <w:pPr>
        <w:ind w:left="852"/>
        <w:spacing w:after="0"/>
        <w:rPr>
          <w:sz w:val="20"/>
          <w:szCs w:val="20"/>
          <w:color w:val="auto"/>
        </w:rPr>
      </w:pPr>
      <w:r>
        <w:rPr>
          <w:rFonts w:ascii="Arial" w:cs="Arial" w:eastAsia="Arial" w:hAnsi="Arial"/>
          <w:sz w:val="22"/>
          <w:szCs w:val="22"/>
          <w:color w:val="auto"/>
        </w:rPr>
        <w:t xml:space="preserve">“[†]” is defined in </w:t>
      </w:r>
      <w:r>
        <w:rPr>
          <w:rFonts w:ascii="Arial" w:cs="Arial" w:eastAsia="Arial" w:hAnsi="Arial"/>
          <w:sz w:val="22"/>
          <w:szCs w:val="22"/>
          <w:u w:val="single" w:color="auto"/>
          <w:color w:val="auto"/>
        </w:rPr>
        <w:t>Section 2.4(b)</w:t>
      </w:r>
      <w:r>
        <w:rPr>
          <w:rFonts w:ascii="Arial" w:cs="Arial" w:eastAsia="Arial" w:hAnsi="Arial"/>
          <w:sz w:val="22"/>
          <w:szCs w:val="22"/>
          <w:color w:val="auto"/>
        </w:rPr>
        <w:t>.</w:t>
      </w:r>
    </w:p>
    <w:p>
      <w:pPr>
        <w:spacing w:after="0" w:line="200" w:lineRule="exact"/>
        <w:rPr>
          <w:sz w:val="20"/>
          <w:szCs w:val="20"/>
          <w:color w:val="auto"/>
        </w:rPr>
      </w:pPr>
    </w:p>
    <w:p>
      <w:pPr>
        <w:ind w:left="852" w:right="80"/>
        <w:spacing w:after="0" w:line="273"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Intellectual Property</w:t>
      </w:r>
      <w:r>
        <w:rPr>
          <w:rFonts w:ascii="Arial" w:cs="Arial" w:eastAsia="Arial" w:hAnsi="Arial"/>
          <w:sz w:val="19"/>
          <w:szCs w:val="19"/>
          <w:color w:val="auto"/>
        </w:rPr>
        <w:t>” means: (i) inventions (whether or not patentable), trade secrets, technical data, databases, customer lists, designs, tools, methods, processes, technology, ideas, Know-How, source code, product road maps and other proprietary information and materials (“</w:t>
      </w:r>
      <w:r>
        <w:rPr>
          <w:rFonts w:ascii="Arial" w:cs="Arial" w:eastAsia="Arial" w:hAnsi="Arial"/>
          <w:sz w:val="19"/>
          <w:szCs w:val="19"/>
          <w:b w:val="1"/>
          <w:bCs w:val="1"/>
          <w:color w:val="auto"/>
        </w:rPr>
        <w:t>Proprietary Information</w:t>
      </w:r>
      <w:r>
        <w:rPr>
          <w:rFonts w:ascii="Arial" w:cs="Arial" w:eastAsia="Arial" w:hAnsi="Arial"/>
          <w:sz w:val="19"/>
          <w:szCs w:val="19"/>
          <w:color w:val="auto"/>
        </w:rPr>
        <w:t>”); (ii) trademarks and service marks (whether or not registered), trade names, logos, trade dress and other proprietary indicia and all goodwill associated therewith;</w:t>
      </w:r>
    </w:p>
    <w:p>
      <w:pPr>
        <w:spacing w:after="0" w:line="2" w:lineRule="exact"/>
        <w:rPr>
          <w:sz w:val="20"/>
          <w:szCs w:val="20"/>
          <w:color w:val="auto"/>
        </w:rPr>
      </w:pPr>
    </w:p>
    <w:p>
      <w:pPr>
        <w:ind w:left="852" w:right="80" w:hanging="6"/>
        <w:spacing w:after="0" w:line="270" w:lineRule="auto"/>
        <w:tabs>
          <w:tab w:leader="none" w:pos="1230" w:val="left"/>
        </w:tabs>
        <w:numPr>
          <w:ilvl w:val="0"/>
          <w:numId w:val="118"/>
        </w:numPr>
        <w:rPr>
          <w:rFonts w:ascii="Arial" w:cs="Arial" w:eastAsia="Arial" w:hAnsi="Arial"/>
          <w:sz w:val="19"/>
          <w:szCs w:val="19"/>
          <w:color w:val="auto"/>
        </w:rPr>
      </w:pPr>
      <w:r>
        <w:rPr>
          <w:rFonts w:ascii="Arial" w:cs="Arial" w:eastAsia="Arial" w:hAnsi="Arial"/>
          <w:sz w:val="19"/>
          <w:szCs w:val="19"/>
          <w:color w:val="auto"/>
        </w:rPr>
        <w:t>documentation, advertising copy, marketing materials, web-sites, specifications, mask works, drawings, graphics, databases, recordings and other works of authorship, whether or not protected by Copyright; (iv) computer programs, including any and all software implementations of algorithms, models and methodologies, whether in source code or object code, firmware, development tools, files, records and data, design documents, flow-charts, user manuals and training materials relating thereto and any translations thereof and all media on which any of the foregoing is recorded (collectively, “</w:t>
      </w:r>
      <w:r>
        <w:rPr>
          <w:rFonts w:ascii="Arial" w:cs="Arial" w:eastAsia="Arial" w:hAnsi="Arial"/>
          <w:sz w:val="19"/>
          <w:szCs w:val="19"/>
          <w:b w:val="1"/>
          <w:bCs w:val="1"/>
          <w:color w:val="auto"/>
        </w:rPr>
        <w:t>Software</w:t>
      </w:r>
      <w:r>
        <w:rPr>
          <w:rFonts w:ascii="Arial" w:cs="Arial" w:eastAsia="Arial" w:hAnsi="Arial"/>
          <w:sz w:val="19"/>
          <w:szCs w:val="19"/>
          <w:color w:val="auto"/>
        </w:rPr>
        <w:t>”); (v) domain names, uniform resource locators (“</w:t>
      </w:r>
      <w:r>
        <w:rPr>
          <w:rFonts w:ascii="Arial" w:cs="Arial" w:eastAsia="Arial" w:hAnsi="Arial"/>
          <w:sz w:val="19"/>
          <w:szCs w:val="19"/>
          <w:b w:val="1"/>
          <w:bCs w:val="1"/>
          <w:color w:val="auto"/>
        </w:rPr>
        <w:t>URLs</w:t>
      </w:r>
      <w:r>
        <w:rPr>
          <w:rFonts w:ascii="Arial" w:cs="Arial" w:eastAsia="Arial" w:hAnsi="Arial"/>
          <w:sz w:val="19"/>
          <w:szCs w:val="19"/>
          <w:color w:val="auto"/>
        </w:rPr>
        <w:t>”) and other names and locators associated with the Internet (collectively, “</w:t>
      </w:r>
      <w:r>
        <w:rPr>
          <w:rFonts w:ascii="Arial" w:cs="Arial" w:eastAsia="Arial" w:hAnsi="Arial"/>
          <w:sz w:val="19"/>
          <w:szCs w:val="19"/>
          <w:b w:val="1"/>
          <w:bCs w:val="1"/>
          <w:color w:val="auto"/>
        </w:rPr>
        <w:t>Domain Names</w:t>
      </w:r>
      <w:r>
        <w:rPr>
          <w:rFonts w:ascii="Arial" w:cs="Arial" w:eastAsia="Arial" w:hAnsi="Arial"/>
          <w:sz w:val="19"/>
          <w:szCs w:val="19"/>
          <w:color w:val="auto"/>
        </w:rPr>
        <w:t>”); and (vi) all forms of legal rights and protections that may be obtained for, or may pertain to, the Intellectual Property set forth in clauses (i) through (v) in any country of the world (“</w:t>
      </w:r>
      <w:r>
        <w:rPr>
          <w:rFonts w:ascii="Arial" w:cs="Arial" w:eastAsia="Arial" w:hAnsi="Arial"/>
          <w:sz w:val="19"/>
          <w:szCs w:val="19"/>
          <w:b w:val="1"/>
          <w:bCs w:val="1"/>
          <w:color w:val="auto"/>
        </w:rPr>
        <w:t>Intellectual Property Rights</w:t>
      </w:r>
      <w:r>
        <w:rPr>
          <w:rFonts w:ascii="Arial" w:cs="Arial" w:eastAsia="Arial" w:hAnsi="Arial"/>
          <w:sz w:val="19"/>
          <w:szCs w:val="19"/>
          <w:color w:val="auto"/>
        </w:rPr>
        <w:t>”), including all letters patent, patent applications, provisional patents, design patents, PCT filings, invention disclosures and other rights to inventions or designs (“</w:t>
      </w:r>
      <w:r>
        <w:rPr>
          <w:rFonts w:ascii="Arial" w:cs="Arial" w:eastAsia="Arial" w:hAnsi="Arial"/>
          <w:sz w:val="19"/>
          <w:szCs w:val="19"/>
          <w:b w:val="1"/>
          <w:bCs w:val="1"/>
          <w:color w:val="auto"/>
        </w:rPr>
        <w:t>Patents</w:t>
      </w:r>
      <w:r>
        <w:rPr>
          <w:rFonts w:ascii="Arial" w:cs="Arial" w:eastAsia="Arial" w:hAnsi="Arial"/>
          <w:sz w:val="19"/>
          <w:szCs w:val="19"/>
          <w:color w:val="auto"/>
        </w:rPr>
        <w:t>”), all registered and unregistered copyrights in both published and unpublished works (“</w:t>
      </w:r>
      <w:r>
        <w:rPr>
          <w:rFonts w:ascii="Arial" w:cs="Arial" w:eastAsia="Arial" w:hAnsi="Arial"/>
          <w:sz w:val="19"/>
          <w:szCs w:val="19"/>
          <w:b w:val="1"/>
          <w:bCs w:val="1"/>
          <w:color w:val="auto"/>
        </w:rPr>
        <w:t>Copyrights</w:t>
      </w:r>
      <w:r>
        <w:rPr>
          <w:rFonts w:ascii="Arial" w:cs="Arial" w:eastAsia="Arial" w:hAnsi="Arial"/>
          <w:sz w:val="19"/>
          <w:szCs w:val="19"/>
          <w:color w:val="auto"/>
        </w:rPr>
        <w:t>”), all trademarks, service marks, trade names and other proprietary indicia (whether or not registered) (“</w:t>
      </w:r>
      <w:r>
        <w:rPr>
          <w:rFonts w:ascii="Arial" w:cs="Arial" w:eastAsia="Arial" w:hAnsi="Arial"/>
          <w:sz w:val="19"/>
          <w:szCs w:val="19"/>
          <w:b w:val="1"/>
          <w:bCs w:val="1"/>
          <w:color w:val="auto"/>
        </w:rPr>
        <w:t>Marks</w:t>
      </w:r>
      <w:r>
        <w:rPr>
          <w:rFonts w:ascii="Arial" w:cs="Arial" w:eastAsia="Arial" w:hAnsi="Arial"/>
          <w:sz w:val="19"/>
          <w:szCs w:val="19"/>
          <w:color w:val="auto"/>
        </w:rPr>
        <w:t>”), trade secret rights, mask works, moral rights or other literary property or authors rights, and all applications, registrations, issuances, divisions, continuations, renewals, reissuances and extensions of the foregoing.</w:t>
      </w:r>
    </w:p>
    <w:p>
      <w:pPr>
        <w:spacing w:after="0" w:line="400" w:lineRule="exact"/>
        <w:rPr>
          <w:sz w:val="20"/>
          <w:szCs w:val="20"/>
          <w:color w:val="auto"/>
        </w:rPr>
      </w:pPr>
    </w:p>
    <w:p>
      <w:pPr>
        <w:ind w:left="852"/>
        <w:spacing w:after="0" w:line="234"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Know-How</w:t>
      </w:r>
      <w:r>
        <w:rPr>
          <w:rFonts w:ascii="Arial" w:cs="Arial" w:eastAsia="Arial" w:hAnsi="Arial"/>
          <w:sz w:val="22"/>
          <w:szCs w:val="22"/>
          <w:color w:val="auto"/>
        </w:rPr>
        <w:t>” means all technical, scientific and other know-how and information, trade secrets, knowledge, technology, means, methods, processes, practices, formulas, instructions, skills, techniques, procedures, experiences, ideas, technical assistance, designs, drawings, assembly procedures, computer programs, apparatuses, specifications, data (including biological, chemical, pharmacological, toxicological, pharmaceutical, physical and analytical, clinical, safety, manufacturing and quality control data), results and other material, including high-throughput screening, gene expression, genomics, proteomics and other drug discovery and development technology, assays and any other biological methodology, pre-clinical and clinical trial results, manufacturing procedures, test procedures and purification and isolation techniques, (whether or not confidential, proprietary, patented or patentable) in written, electronic or any other form.</w:t>
      </w:r>
    </w:p>
    <w:p>
      <w:pPr>
        <w:spacing w:after="0" w:line="184" w:lineRule="exact"/>
        <w:rPr>
          <w:sz w:val="20"/>
          <w:szCs w:val="20"/>
          <w:color w:val="auto"/>
        </w:rPr>
      </w:pPr>
    </w:p>
    <w:p>
      <w:pPr>
        <w:ind w:left="852"/>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Knowledge</w:t>
      </w:r>
      <w:r>
        <w:rPr>
          <w:rFonts w:ascii="Arial" w:cs="Arial" w:eastAsia="Arial" w:hAnsi="Arial"/>
          <w:sz w:val="22"/>
          <w:szCs w:val="22"/>
          <w:color w:val="auto"/>
        </w:rPr>
        <w:t>” means [†].</w:t>
      </w:r>
    </w:p>
    <w:p>
      <w:pPr>
        <w:spacing w:after="0" w:line="212" w:lineRule="exact"/>
        <w:rPr>
          <w:sz w:val="20"/>
          <w:szCs w:val="20"/>
          <w:color w:val="auto"/>
        </w:rPr>
      </w:pPr>
    </w:p>
    <w:p>
      <w:pPr>
        <w:jc w:val="center"/>
        <w:ind w:right="-31"/>
        <w:spacing w:after="0"/>
        <w:rPr>
          <w:sz w:val="20"/>
          <w:szCs w:val="20"/>
          <w:color w:val="auto"/>
        </w:rPr>
      </w:pPr>
      <w:r>
        <w:rPr>
          <w:rFonts w:ascii="Arial" w:cs="Arial" w:eastAsia="Arial" w:hAnsi="Arial"/>
          <w:sz w:val="22"/>
          <w:szCs w:val="22"/>
          <w:color w:val="auto"/>
        </w:rPr>
        <w:t>-4-</w:t>
      </w:r>
    </w:p>
    <w:p>
      <w:pPr>
        <w:spacing w:after="0" w:line="5" w:lineRule="exact"/>
        <w:rPr>
          <w:sz w:val="20"/>
          <w:szCs w:val="20"/>
          <w:color w:val="auto"/>
        </w:rPr>
      </w:pPr>
    </w:p>
    <w:p>
      <w:pPr>
        <w:ind w:left="-8" w:right="20" w:firstLine="8"/>
        <w:spacing w:after="0" w:line="237" w:lineRule="auto"/>
        <w:tabs>
          <w:tab w:leader="none" w:pos="196" w:val="left"/>
        </w:tabs>
        <w:numPr>
          <w:ilvl w:val="0"/>
          <w:numId w:val="119"/>
        </w:numPr>
        <w:rPr>
          <w:rFonts w:ascii="Arial" w:cs="Arial" w:eastAsia="Arial" w:hAnsi="Arial"/>
          <w:sz w:val="14"/>
          <w:szCs w:val="14"/>
          <w:color w:val="auto"/>
        </w:rPr>
      </w:pPr>
      <w:r>
        <w:rPr>
          <w:rFonts w:ascii="Arial" w:cs="Arial" w:eastAsia="Arial" w:hAnsi="Arial"/>
          <w:sz w:val="14"/>
          <w:szCs w:val="14"/>
          <w:color w:val="auto"/>
        </w:rPr>
        <w:t>DESIGNATES PORTIONS OF THIS DOCUMENT THAT HAVE BEEN OMITTED PURSUANT TO A REQUEST FOR CONFIDENTIAL TREATMENT FILED SEPARATELY WITH THE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46990</wp:posOffset>
            </wp:positionV>
            <wp:extent cx="7289165"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92"/>
          </w:cols>
          <w:pgMar w:left="248" w:top="558" w:right="259" w:bottom="1440" w:gutter="0" w:footer="0" w:header="0"/>
        </w:sectPr>
      </w:pPr>
    </w:p>
    <w:bookmarkStart w:id="95" w:name="page96"/>
    <w:bookmarkEnd w:id="95"/>
    <w:p>
      <w:pPr>
        <w:ind w:left="852" w:right="340"/>
        <w:spacing w:after="0" w:line="280"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Law</w:t>
      </w:r>
      <w:r>
        <w:rPr>
          <w:rFonts w:ascii="Arial" w:cs="Arial" w:eastAsia="Arial" w:hAnsi="Arial"/>
          <w:sz w:val="21"/>
          <w:szCs w:val="21"/>
          <w:color w:val="auto"/>
        </w:rPr>
        <w:t>” means any statute, law (including common law), constitution, treaty, ordinance, code, order, decree, judgment, rule, regulation and any other binding requirement or determination of any Governmental Entity.</w:t>
      </w:r>
    </w:p>
    <w:p>
      <w:pPr>
        <w:spacing w:after="0" w:line="139" w:lineRule="exact"/>
        <w:rPr>
          <w:sz w:val="20"/>
          <w:szCs w:val="20"/>
          <w:color w:val="auto"/>
        </w:rPr>
      </w:pPr>
    </w:p>
    <w:p>
      <w:pPr>
        <w:ind w:left="852" w:right="220"/>
        <w:spacing w:after="0" w:line="301"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Medical Product Regulatory Authority</w:t>
      </w:r>
      <w:r>
        <w:rPr>
          <w:rFonts w:ascii="Arial" w:cs="Arial" w:eastAsia="Arial" w:hAnsi="Arial"/>
          <w:sz w:val="19"/>
          <w:szCs w:val="19"/>
          <w:color w:val="auto"/>
        </w:rPr>
        <w:t xml:space="preserve"> ” means any Governmental Entity that is concerned with the safety, efficacy, reliability, manufacture, investigation, sale or marketing of pharmaceuticals, medical products, biologics or biopharmaceuticals, including, without limitation, FDA, the EMEA, and state and local government authorities.</w:t>
      </w:r>
    </w:p>
    <w:p>
      <w:pPr>
        <w:spacing w:after="0" w:line="123" w:lineRule="exact"/>
        <w:rPr>
          <w:sz w:val="20"/>
          <w:szCs w:val="20"/>
          <w:color w:val="auto"/>
        </w:rPr>
      </w:pPr>
    </w:p>
    <w:p>
      <w:pPr>
        <w:ind w:left="852"/>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Milestone</w:t>
      </w:r>
      <w:r>
        <w:rPr>
          <w:rFonts w:ascii="Arial" w:cs="Arial" w:eastAsia="Arial" w:hAnsi="Arial"/>
          <w:sz w:val="22"/>
          <w:szCs w:val="22"/>
          <w:color w:val="auto"/>
        </w:rPr>
        <w:t xml:space="preserve">” is defined in </w:t>
      </w:r>
      <w:r>
        <w:rPr>
          <w:rFonts w:ascii="Arial" w:cs="Arial" w:eastAsia="Arial" w:hAnsi="Arial"/>
          <w:sz w:val="22"/>
          <w:szCs w:val="22"/>
          <w:u w:val="single" w:color="auto"/>
          <w:color w:val="auto"/>
        </w:rPr>
        <w:t>Section 2.4(a)</w:t>
      </w:r>
      <w:r>
        <w:rPr>
          <w:rFonts w:ascii="Arial" w:cs="Arial" w:eastAsia="Arial" w:hAnsi="Arial"/>
          <w:sz w:val="22"/>
          <w:szCs w:val="22"/>
          <w:color w:val="auto"/>
        </w:rPr>
        <w:t>.</w:t>
      </w:r>
    </w:p>
    <w:p>
      <w:pPr>
        <w:spacing w:after="0" w:line="206" w:lineRule="exact"/>
        <w:rPr>
          <w:sz w:val="20"/>
          <w:szCs w:val="20"/>
          <w:color w:val="auto"/>
        </w:rPr>
      </w:pPr>
    </w:p>
    <w:p>
      <w:pPr>
        <w:ind w:left="852"/>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Milestone Payment</w:t>
      </w:r>
      <w:r>
        <w:rPr>
          <w:rFonts w:ascii="Arial" w:cs="Arial" w:eastAsia="Arial" w:hAnsi="Arial"/>
          <w:sz w:val="22"/>
          <w:szCs w:val="22"/>
          <w:color w:val="auto"/>
        </w:rPr>
        <w:t xml:space="preserve">” is defined in </w:t>
      </w:r>
      <w:r>
        <w:rPr>
          <w:rFonts w:ascii="Arial" w:cs="Arial" w:eastAsia="Arial" w:hAnsi="Arial"/>
          <w:sz w:val="22"/>
          <w:szCs w:val="22"/>
          <w:u w:val="single" w:color="auto"/>
          <w:color w:val="auto"/>
        </w:rPr>
        <w:t>Section 2.4(a)</w:t>
      </w:r>
      <w:r>
        <w:rPr>
          <w:rFonts w:ascii="Arial" w:cs="Arial" w:eastAsia="Arial" w:hAnsi="Arial"/>
          <w:sz w:val="22"/>
          <w:szCs w:val="22"/>
          <w:color w:val="auto"/>
        </w:rPr>
        <w:t>.</w:t>
      </w:r>
    </w:p>
    <w:p>
      <w:pPr>
        <w:spacing w:after="0" w:line="206" w:lineRule="exact"/>
        <w:rPr>
          <w:sz w:val="20"/>
          <w:szCs w:val="20"/>
          <w:color w:val="auto"/>
        </w:rPr>
      </w:pPr>
    </w:p>
    <w:p>
      <w:pPr>
        <w:ind w:left="852"/>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Net Sales</w:t>
      </w:r>
      <w:r>
        <w:rPr>
          <w:rFonts w:ascii="Arial" w:cs="Arial" w:eastAsia="Arial" w:hAnsi="Arial"/>
          <w:sz w:val="22"/>
          <w:szCs w:val="22"/>
          <w:color w:val="auto"/>
        </w:rPr>
        <w:t>” means [†].</w:t>
      </w:r>
    </w:p>
    <w:p>
      <w:pPr>
        <w:spacing w:after="0" w:line="206" w:lineRule="exact"/>
        <w:rPr>
          <w:sz w:val="20"/>
          <w:szCs w:val="20"/>
          <w:color w:val="auto"/>
        </w:rPr>
      </w:pPr>
    </w:p>
    <w:p>
      <w:pPr>
        <w:ind w:left="852" w:right="200"/>
        <w:spacing w:after="0" w:line="23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NDA</w:t>
      </w:r>
      <w:r>
        <w:rPr>
          <w:rFonts w:ascii="Arial" w:cs="Arial" w:eastAsia="Arial" w:hAnsi="Arial"/>
          <w:sz w:val="22"/>
          <w:szCs w:val="22"/>
          <w:color w:val="auto"/>
        </w:rPr>
        <w:t>” means (a) a New Drug Application, as defined in the FFDCA, which is required to be approved by FDA before the marketing of a product for its FDA-approved intended use, and its equivalent in other countries or regulatory jurisdictions or any successor application or procedure, and (b) all supplements and amendments that may be filed with respect to the foregoing.</w:t>
      </w:r>
    </w:p>
    <w:p>
      <w:pPr>
        <w:spacing w:after="0" w:line="181" w:lineRule="exact"/>
        <w:rPr>
          <w:sz w:val="20"/>
          <w:szCs w:val="20"/>
          <w:color w:val="auto"/>
        </w:rPr>
      </w:pPr>
    </w:p>
    <w:p>
      <w:pPr>
        <w:ind w:left="852" w:right="380"/>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Order</w:t>
      </w:r>
      <w:r>
        <w:rPr>
          <w:rFonts w:ascii="Arial" w:cs="Arial" w:eastAsia="Arial" w:hAnsi="Arial"/>
          <w:sz w:val="22"/>
          <w:szCs w:val="22"/>
          <w:color w:val="auto"/>
        </w:rPr>
        <w:t>” means any award, injunction, judgment, decree, order, ruling, subpoena or verdict or other decision entered, issued or rendered by any Governmental Entity.</w:t>
      </w:r>
    </w:p>
    <w:p>
      <w:pPr>
        <w:spacing w:after="0" w:line="163" w:lineRule="exact"/>
        <w:rPr>
          <w:sz w:val="20"/>
          <w:szCs w:val="20"/>
          <w:color w:val="auto"/>
        </w:rPr>
      </w:pPr>
    </w:p>
    <w:p>
      <w:pPr>
        <w:ind w:left="852"/>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Out-Bound License</w:t>
      </w:r>
      <w:r>
        <w:rPr>
          <w:rFonts w:ascii="Arial" w:cs="Arial" w:eastAsia="Arial" w:hAnsi="Arial"/>
          <w:sz w:val="22"/>
          <w:szCs w:val="22"/>
          <w:color w:val="auto"/>
        </w:rPr>
        <w:t xml:space="preserve">” is defined in </w:t>
      </w:r>
      <w:r>
        <w:rPr>
          <w:rFonts w:ascii="Arial" w:cs="Arial" w:eastAsia="Arial" w:hAnsi="Arial"/>
          <w:sz w:val="22"/>
          <w:szCs w:val="22"/>
          <w:u w:val="single" w:color="auto"/>
          <w:color w:val="auto"/>
        </w:rPr>
        <w:t>Section 4.3(c)</w:t>
      </w:r>
      <w:r>
        <w:rPr>
          <w:rFonts w:ascii="Arial" w:cs="Arial" w:eastAsia="Arial" w:hAnsi="Arial"/>
          <w:sz w:val="22"/>
          <w:szCs w:val="22"/>
          <w:color w:val="auto"/>
        </w:rPr>
        <w:t>.</w:t>
      </w:r>
    </w:p>
    <w:p>
      <w:pPr>
        <w:spacing w:after="0" w:line="206" w:lineRule="exact"/>
        <w:rPr>
          <w:sz w:val="20"/>
          <w:szCs w:val="20"/>
          <w:color w:val="auto"/>
        </w:rPr>
      </w:pPr>
    </w:p>
    <w:p>
      <w:pPr>
        <w:ind w:left="852" w:right="240"/>
        <w:spacing w:after="0" w:line="243"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Person</w:t>
      </w:r>
      <w:r>
        <w:rPr>
          <w:rFonts w:ascii="Arial" w:cs="Arial" w:eastAsia="Arial" w:hAnsi="Arial"/>
          <w:sz w:val="22"/>
          <w:szCs w:val="22"/>
          <w:color w:val="auto"/>
        </w:rPr>
        <w:t>” means an individual, a corporation, a partnership, a limited liability company, a trust, an unincorporated association, a Governmental Entity or any agency, instrumentality or political subdivision of a Governmental Entity, or any other entity or body.</w:t>
      </w:r>
    </w:p>
    <w:p>
      <w:pPr>
        <w:spacing w:after="0" w:line="183" w:lineRule="exact"/>
        <w:rPr>
          <w:sz w:val="20"/>
          <w:szCs w:val="20"/>
          <w:color w:val="auto"/>
        </w:rPr>
      </w:pPr>
    </w:p>
    <w:p>
      <w:pPr>
        <w:ind w:left="852"/>
        <w:spacing w:after="0"/>
        <w:rPr>
          <w:sz w:val="20"/>
          <w:szCs w:val="20"/>
          <w:color w:val="auto"/>
        </w:rPr>
      </w:pPr>
      <w:r>
        <w:rPr>
          <w:rFonts w:ascii="Arial" w:cs="Arial" w:eastAsia="Arial" w:hAnsi="Arial"/>
          <w:sz w:val="22"/>
          <w:szCs w:val="22"/>
          <w:color w:val="auto"/>
        </w:rPr>
        <w:t xml:space="preserve">“[†]” is defined in </w:t>
      </w:r>
      <w:r>
        <w:rPr>
          <w:rFonts w:ascii="Arial" w:cs="Arial" w:eastAsia="Arial" w:hAnsi="Arial"/>
          <w:sz w:val="22"/>
          <w:szCs w:val="22"/>
          <w:u w:val="single" w:color="auto"/>
          <w:color w:val="auto"/>
        </w:rPr>
        <w:t>Section 2.4(b)</w:t>
      </w:r>
      <w:r>
        <w:rPr>
          <w:rFonts w:ascii="Arial" w:cs="Arial" w:eastAsia="Arial" w:hAnsi="Arial"/>
          <w:sz w:val="22"/>
          <w:szCs w:val="22"/>
          <w:color w:val="auto"/>
        </w:rPr>
        <w:t>.</w:t>
      </w:r>
    </w:p>
    <w:p>
      <w:pPr>
        <w:spacing w:after="0" w:line="200" w:lineRule="exact"/>
        <w:rPr>
          <w:sz w:val="20"/>
          <w:szCs w:val="20"/>
          <w:color w:val="auto"/>
        </w:rPr>
      </w:pPr>
    </w:p>
    <w:p>
      <w:pPr>
        <w:ind w:left="852"/>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Purchased Assets</w:t>
      </w:r>
      <w:r>
        <w:rPr>
          <w:rFonts w:ascii="Arial" w:cs="Arial" w:eastAsia="Arial" w:hAnsi="Arial"/>
          <w:sz w:val="22"/>
          <w:szCs w:val="22"/>
          <w:color w:val="auto"/>
        </w:rPr>
        <w:t xml:space="preserve">” is defined in </w:t>
      </w:r>
      <w:r>
        <w:rPr>
          <w:rFonts w:ascii="Arial" w:cs="Arial" w:eastAsia="Arial" w:hAnsi="Arial"/>
          <w:sz w:val="22"/>
          <w:szCs w:val="22"/>
          <w:u w:val="single" w:color="auto"/>
          <w:color w:val="auto"/>
        </w:rPr>
        <w:t>Section 2.1</w:t>
      </w:r>
      <w:r>
        <w:rPr>
          <w:rFonts w:ascii="Arial" w:cs="Arial" w:eastAsia="Arial" w:hAnsi="Arial"/>
          <w:sz w:val="22"/>
          <w:szCs w:val="22"/>
          <w:color w:val="auto"/>
        </w:rPr>
        <w:t>.</w:t>
      </w:r>
    </w:p>
    <w:p>
      <w:pPr>
        <w:spacing w:after="0" w:line="206" w:lineRule="exact"/>
        <w:rPr>
          <w:sz w:val="20"/>
          <w:szCs w:val="20"/>
          <w:color w:val="auto"/>
        </w:rPr>
      </w:pPr>
    </w:p>
    <w:p>
      <w:pPr>
        <w:ind w:left="852"/>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Representatives</w:t>
      </w:r>
      <w:r>
        <w:rPr>
          <w:rFonts w:ascii="Arial" w:cs="Arial" w:eastAsia="Arial" w:hAnsi="Arial"/>
          <w:sz w:val="22"/>
          <w:szCs w:val="22"/>
          <w:color w:val="auto"/>
        </w:rPr>
        <w:t xml:space="preserve">” is defined in </w:t>
      </w:r>
      <w:r>
        <w:rPr>
          <w:rFonts w:ascii="Arial" w:cs="Arial" w:eastAsia="Arial" w:hAnsi="Arial"/>
          <w:sz w:val="22"/>
          <w:szCs w:val="22"/>
          <w:u w:val="single" w:color="auto"/>
          <w:color w:val="auto"/>
        </w:rPr>
        <w:t>Section 7.1</w:t>
      </w:r>
      <w:r>
        <w:rPr>
          <w:rFonts w:ascii="Arial" w:cs="Arial" w:eastAsia="Arial" w:hAnsi="Arial"/>
          <w:sz w:val="22"/>
          <w:szCs w:val="22"/>
          <w:color w:val="auto"/>
        </w:rPr>
        <w:t>.</w:t>
      </w:r>
    </w:p>
    <w:p>
      <w:pPr>
        <w:spacing w:after="0" w:line="206" w:lineRule="exact"/>
        <w:rPr>
          <w:sz w:val="20"/>
          <w:szCs w:val="20"/>
          <w:color w:val="auto"/>
        </w:rPr>
      </w:pPr>
    </w:p>
    <w:p>
      <w:pPr>
        <w:ind w:left="852"/>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ROW Territory</w:t>
      </w:r>
      <w:r>
        <w:rPr>
          <w:rFonts w:ascii="Arial" w:cs="Arial" w:eastAsia="Arial" w:hAnsi="Arial"/>
          <w:sz w:val="22"/>
          <w:szCs w:val="22"/>
          <w:color w:val="auto"/>
        </w:rPr>
        <w:t xml:space="preserve">” is defined in </w:t>
      </w:r>
      <w:r>
        <w:rPr>
          <w:rFonts w:ascii="Arial" w:cs="Arial" w:eastAsia="Arial" w:hAnsi="Arial"/>
          <w:sz w:val="22"/>
          <w:szCs w:val="22"/>
          <w:u w:val="single" w:color="auto"/>
          <w:color w:val="auto"/>
        </w:rPr>
        <w:t>Section 2.5(c)</w:t>
      </w:r>
      <w:r>
        <w:rPr>
          <w:rFonts w:ascii="Arial" w:cs="Arial" w:eastAsia="Arial" w:hAnsi="Arial"/>
          <w:sz w:val="22"/>
          <w:szCs w:val="22"/>
          <w:color w:val="auto"/>
        </w:rPr>
        <w:t>.</w:t>
      </w:r>
    </w:p>
    <w:p>
      <w:pPr>
        <w:spacing w:after="0" w:line="212" w:lineRule="exact"/>
        <w:rPr>
          <w:sz w:val="20"/>
          <w:szCs w:val="20"/>
          <w:color w:val="auto"/>
        </w:rPr>
      </w:pPr>
    </w:p>
    <w:p>
      <w:pPr>
        <w:ind w:left="852"/>
        <w:spacing w:after="0"/>
        <w:rPr>
          <w:sz w:val="20"/>
          <w:szCs w:val="20"/>
          <w:color w:val="auto"/>
        </w:rPr>
      </w:pPr>
      <w:r>
        <w:rPr>
          <w:rFonts w:ascii="Arial" w:cs="Arial" w:eastAsia="Arial" w:hAnsi="Arial"/>
          <w:sz w:val="22"/>
          <w:szCs w:val="22"/>
          <w:color w:val="auto"/>
        </w:rPr>
        <w:t xml:space="preserve">“[†]” is defined in </w:t>
      </w:r>
      <w:r>
        <w:rPr>
          <w:rFonts w:ascii="Arial" w:cs="Arial" w:eastAsia="Arial" w:hAnsi="Arial"/>
          <w:sz w:val="22"/>
          <w:szCs w:val="22"/>
          <w:u w:val="single" w:color="auto"/>
          <w:color w:val="auto"/>
        </w:rPr>
        <w:t>Section 2.4(b)</w:t>
      </w:r>
      <w:r>
        <w:rPr>
          <w:rFonts w:ascii="Arial" w:cs="Arial" w:eastAsia="Arial" w:hAnsi="Arial"/>
          <w:sz w:val="22"/>
          <w:szCs w:val="22"/>
          <w:color w:val="auto"/>
        </w:rPr>
        <w:t>.</w:t>
      </w:r>
    </w:p>
    <w:p>
      <w:pPr>
        <w:spacing w:after="0" w:line="206" w:lineRule="exact"/>
        <w:rPr>
          <w:sz w:val="20"/>
          <w:szCs w:val="20"/>
          <w:color w:val="auto"/>
        </w:rPr>
      </w:pPr>
    </w:p>
    <w:p>
      <w:pPr>
        <w:ind w:left="852"/>
        <w:spacing w:after="0"/>
        <w:rPr>
          <w:sz w:val="20"/>
          <w:szCs w:val="20"/>
          <w:color w:val="auto"/>
        </w:rPr>
      </w:pPr>
      <w:r>
        <w:rPr>
          <w:rFonts w:ascii="Arial" w:cs="Arial" w:eastAsia="Arial" w:hAnsi="Arial"/>
          <w:sz w:val="22"/>
          <w:szCs w:val="22"/>
          <w:color w:val="auto"/>
        </w:rPr>
        <w:t xml:space="preserve">“[†]” is defined in </w:t>
      </w:r>
      <w:r>
        <w:rPr>
          <w:rFonts w:ascii="Arial" w:cs="Arial" w:eastAsia="Arial" w:hAnsi="Arial"/>
          <w:sz w:val="22"/>
          <w:szCs w:val="22"/>
          <w:u w:val="single" w:color="auto"/>
          <w:color w:val="auto"/>
        </w:rPr>
        <w:t>Section 2.4(b)</w:t>
      </w:r>
      <w:r>
        <w:rPr>
          <w:rFonts w:ascii="Arial" w:cs="Arial" w:eastAsia="Arial" w:hAnsi="Arial"/>
          <w:sz w:val="22"/>
          <w:szCs w:val="22"/>
          <w:color w:val="auto"/>
        </w:rPr>
        <w:t>.</w:t>
      </w:r>
    </w:p>
    <w:p>
      <w:pPr>
        <w:spacing w:after="0" w:line="200" w:lineRule="exact"/>
        <w:rPr>
          <w:sz w:val="20"/>
          <w:szCs w:val="20"/>
          <w:color w:val="auto"/>
        </w:rPr>
      </w:pPr>
    </w:p>
    <w:p>
      <w:pPr>
        <w:ind w:left="852"/>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Third Party</w:t>
      </w:r>
      <w:r>
        <w:rPr>
          <w:rFonts w:ascii="Arial" w:cs="Arial" w:eastAsia="Arial" w:hAnsi="Arial"/>
          <w:sz w:val="22"/>
          <w:szCs w:val="22"/>
          <w:color w:val="auto"/>
        </w:rPr>
        <w:t>” shall mean any Person or entity other than Seller, Acquiror and their respective Affiliates.</w:t>
      </w:r>
    </w:p>
    <w:p>
      <w:pPr>
        <w:spacing w:after="0" w:line="200" w:lineRule="exact"/>
        <w:rPr>
          <w:sz w:val="20"/>
          <w:szCs w:val="20"/>
          <w:color w:val="auto"/>
        </w:rPr>
      </w:pPr>
    </w:p>
    <w:p>
      <w:pPr>
        <w:spacing w:after="0" w:line="255" w:lineRule="exact"/>
        <w:rPr>
          <w:sz w:val="20"/>
          <w:szCs w:val="20"/>
          <w:color w:val="auto"/>
        </w:rPr>
      </w:pPr>
    </w:p>
    <w:p>
      <w:pPr>
        <w:jc w:val="center"/>
        <w:ind w:right="-31"/>
        <w:spacing w:after="0"/>
        <w:rPr>
          <w:sz w:val="20"/>
          <w:szCs w:val="20"/>
          <w:color w:val="auto"/>
        </w:rPr>
      </w:pPr>
      <w:r>
        <w:rPr>
          <w:rFonts w:ascii="Arial" w:cs="Arial" w:eastAsia="Arial" w:hAnsi="Arial"/>
          <w:sz w:val="22"/>
          <w:szCs w:val="22"/>
          <w:color w:val="auto"/>
        </w:rPr>
        <w:t>-5-</w:t>
      </w:r>
    </w:p>
    <w:p>
      <w:pPr>
        <w:spacing w:after="0" w:line="5" w:lineRule="exact"/>
        <w:rPr>
          <w:sz w:val="20"/>
          <w:szCs w:val="20"/>
          <w:color w:val="auto"/>
        </w:rPr>
      </w:pPr>
    </w:p>
    <w:p>
      <w:pPr>
        <w:ind w:left="-8" w:firstLine="8"/>
        <w:spacing w:after="0" w:line="237" w:lineRule="auto"/>
        <w:tabs>
          <w:tab w:leader="none" w:pos="196" w:val="left"/>
        </w:tabs>
        <w:numPr>
          <w:ilvl w:val="0"/>
          <w:numId w:val="120"/>
        </w:numPr>
        <w:rPr>
          <w:rFonts w:ascii="Arial" w:cs="Arial" w:eastAsia="Arial" w:hAnsi="Arial"/>
          <w:sz w:val="14"/>
          <w:szCs w:val="14"/>
          <w:color w:val="auto"/>
        </w:rPr>
      </w:pPr>
      <w:r>
        <w:rPr>
          <w:rFonts w:ascii="Arial" w:cs="Arial" w:eastAsia="Arial" w:hAnsi="Arial"/>
          <w:sz w:val="14"/>
          <w:szCs w:val="14"/>
          <w:color w:val="auto"/>
        </w:rPr>
        <w:t>DESIGNATES PORTIONS OF THIS DOCUMENT THAT HAVE BEEN OMITTED PURSUANT TO A REQUEST FOR CONFIDENTIAL TREATMENT FILED SEPARATELY WITH THE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46990</wp:posOffset>
            </wp:positionV>
            <wp:extent cx="7289165"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72"/>
          </w:cols>
          <w:pgMar w:left="248" w:top="558" w:right="279" w:bottom="1440" w:gutter="0" w:footer="0" w:header="0"/>
        </w:sectPr>
      </w:pPr>
    </w:p>
    <w:bookmarkStart w:id="96" w:name="page97"/>
    <w:bookmarkEnd w:id="96"/>
    <w:p>
      <w:pPr>
        <w:ind w:left="860" w:right="100"/>
        <w:spacing w:after="0" w:line="23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Third Party Payments</w:t>
      </w:r>
      <w:r>
        <w:rPr>
          <w:rFonts w:ascii="Arial" w:cs="Arial" w:eastAsia="Arial" w:hAnsi="Arial"/>
          <w:sz w:val="22"/>
          <w:szCs w:val="22"/>
          <w:color w:val="auto"/>
        </w:rPr>
        <w:t>” means all fees, milestones or royalties paid to a Third Party that Acquiror determines are commercially, reasonably necessary to obtain a license to practice such Third Party’s Patent rights in order to sell a Drug Product without infringing such Third Party’s Patents (a “</w:t>
      </w:r>
      <w:r>
        <w:rPr>
          <w:rFonts w:ascii="Arial" w:cs="Arial" w:eastAsia="Arial" w:hAnsi="Arial"/>
          <w:sz w:val="22"/>
          <w:szCs w:val="22"/>
          <w:b w:val="1"/>
          <w:bCs w:val="1"/>
          <w:color w:val="auto"/>
        </w:rPr>
        <w:t>Third Party Patent</w:t>
      </w:r>
      <w:r>
        <w:rPr>
          <w:rFonts w:ascii="Arial" w:cs="Arial" w:eastAsia="Arial" w:hAnsi="Arial"/>
          <w:sz w:val="22"/>
          <w:szCs w:val="22"/>
          <w:color w:val="auto"/>
        </w:rPr>
        <w:t>”), provided, however, that Third Party Payments shall exclude fees, milestones or royalties (a) reasonably attributable to a product other than a Drug Product covered by the respective Third Party Patent, and (b) reasonably attributable to Intellectual Property other than a Third Party Patent;</w:t>
      </w:r>
    </w:p>
    <w:p>
      <w:pPr>
        <w:spacing w:after="0" w:line="182" w:lineRule="exact"/>
        <w:rPr>
          <w:sz w:val="20"/>
          <w:szCs w:val="20"/>
          <w:color w:val="auto"/>
        </w:rPr>
      </w:pPr>
    </w:p>
    <w:p>
      <w:pPr>
        <w:ind w:left="860" w:right="500"/>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Transaction Documents</w:t>
      </w:r>
      <w:r>
        <w:rPr>
          <w:rFonts w:ascii="Arial" w:cs="Arial" w:eastAsia="Arial" w:hAnsi="Arial"/>
          <w:sz w:val="22"/>
          <w:szCs w:val="22"/>
          <w:color w:val="auto"/>
        </w:rPr>
        <w:t>” means this Agreement and any other, instrument, agreement or document required to be delivered by the parties to this Agreement pursuant to the terms hereof.</w:t>
      </w:r>
    </w:p>
    <w:p>
      <w:pPr>
        <w:spacing w:after="0" w:line="163" w:lineRule="exact"/>
        <w:rPr>
          <w:sz w:val="20"/>
          <w:szCs w:val="20"/>
          <w:color w:val="auto"/>
        </w:rPr>
      </w:pPr>
    </w:p>
    <w:p>
      <w:pPr>
        <w:ind w:left="860" w:right="220"/>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Transaction</w:t>
      </w:r>
      <w:r>
        <w:rPr>
          <w:rFonts w:ascii="Arial" w:cs="Arial" w:eastAsia="Arial" w:hAnsi="Arial"/>
          <w:sz w:val="22"/>
          <w:szCs w:val="22"/>
          <w:color w:val="auto"/>
        </w:rPr>
        <w:t>” means the purchase and sale of the Purchased Assets hereunder and the other transactions contemplated by the Transaction Documents.</w:t>
      </w:r>
    </w:p>
    <w:p>
      <w:pPr>
        <w:spacing w:after="0" w:line="163" w:lineRule="exact"/>
        <w:rPr>
          <w:sz w:val="20"/>
          <w:szCs w:val="20"/>
          <w:color w:val="auto"/>
        </w:rPr>
      </w:pPr>
    </w:p>
    <w:p>
      <w:pPr>
        <w:ind w:left="8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US Territory</w:t>
      </w:r>
      <w:r>
        <w:rPr>
          <w:rFonts w:ascii="Arial" w:cs="Arial" w:eastAsia="Arial" w:hAnsi="Arial"/>
          <w:sz w:val="22"/>
          <w:szCs w:val="22"/>
          <w:color w:val="auto"/>
        </w:rPr>
        <w:t xml:space="preserve">” is defined in </w:t>
      </w:r>
      <w:r>
        <w:rPr>
          <w:rFonts w:ascii="Arial" w:cs="Arial" w:eastAsia="Arial" w:hAnsi="Arial"/>
          <w:sz w:val="22"/>
          <w:szCs w:val="22"/>
          <w:u w:val="single" w:color="auto"/>
          <w:color w:val="auto"/>
        </w:rPr>
        <w:t>Section 2.5(a)</w:t>
      </w:r>
      <w:r>
        <w:rPr>
          <w:rFonts w:ascii="Arial" w:cs="Arial" w:eastAsia="Arial" w:hAnsi="Arial"/>
          <w:sz w:val="22"/>
          <w:szCs w:val="22"/>
          <w:color w:val="auto"/>
        </w:rPr>
        <w:t>.</w:t>
      </w:r>
    </w:p>
    <w:p>
      <w:pPr>
        <w:spacing w:after="0" w:line="206" w:lineRule="exact"/>
        <w:rPr>
          <w:sz w:val="20"/>
          <w:szCs w:val="20"/>
          <w:color w:val="auto"/>
        </w:rPr>
      </w:pPr>
    </w:p>
    <w:p>
      <w:pPr>
        <w:ind w:left="3960"/>
        <w:spacing w:after="0"/>
        <w:rPr>
          <w:sz w:val="20"/>
          <w:szCs w:val="20"/>
          <w:color w:val="auto"/>
        </w:rPr>
      </w:pPr>
      <w:r>
        <w:rPr>
          <w:rFonts w:ascii="Arial" w:cs="Arial" w:eastAsia="Arial" w:hAnsi="Arial"/>
          <w:sz w:val="22"/>
          <w:szCs w:val="22"/>
          <w:b w:val="1"/>
          <w:bCs w:val="1"/>
          <w:color w:val="auto"/>
        </w:rPr>
        <w:t>ARTICLE 2 PURCHASE AND SALE</w:t>
      </w:r>
    </w:p>
    <w:p>
      <w:pPr>
        <w:spacing w:after="0" w:line="212" w:lineRule="exact"/>
        <w:rPr>
          <w:sz w:val="20"/>
          <w:szCs w:val="20"/>
          <w:color w:val="auto"/>
        </w:rPr>
      </w:pPr>
    </w:p>
    <w:p>
      <w:pPr>
        <w:ind w:left="860"/>
        <w:spacing w:after="0"/>
        <w:tabs>
          <w:tab w:leader="none" w:pos="1860" w:val="left"/>
        </w:tabs>
        <w:rPr>
          <w:sz w:val="20"/>
          <w:szCs w:val="20"/>
          <w:color w:val="auto"/>
        </w:rPr>
      </w:pPr>
      <w:r>
        <w:rPr>
          <w:rFonts w:ascii="Arial" w:cs="Arial" w:eastAsia="Arial" w:hAnsi="Arial"/>
          <w:sz w:val="22"/>
          <w:szCs w:val="22"/>
          <w:color w:val="auto"/>
        </w:rPr>
        <w:t>2.1</w:t>
      </w:r>
      <w:r>
        <w:rPr>
          <w:sz w:val="20"/>
          <w:szCs w:val="20"/>
          <w:color w:val="auto"/>
        </w:rPr>
        <w:tab/>
      </w:r>
      <w:r>
        <w:rPr>
          <w:rFonts w:ascii="Arial" w:cs="Arial" w:eastAsia="Arial" w:hAnsi="Arial"/>
          <w:sz w:val="19"/>
          <w:szCs w:val="19"/>
          <w:u w:val="single" w:color="auto"/>
          <w:color w:val="auto"/>
        </w:rPr>
        <w:t>Purchase and Sale of the Compound</w:t>
      </w:r>
      <w:r>
        <w:rPr>
          <w:rFonts w:ascii="Arial" w:cs="Arial" w:eastAsia="Arial" w:hAnsi="Arial"/>
          <w:sz w:val="19"/>
          <w:szCs w:val="19"/>
          <w:color w:val="auto"/>
        </w:rPr>
        <w:t>.</w:t>
      </w:r>
    </w:p>
    <w:p>
      <w:pPr>
        <w:spacing w:after="0" w:line="206" w:lineRule="exact"/>
        <w:rPr>
          <w:sz w:val="20"/>
          <w:szCs w:val="20"/>
          <w:color w:val="auto"/>
        </w:rPr>
      </w:pPr>
    </w:p>
    <w:p>
      <w:pPr>
        <w:ind w:right="120" w:firstLine="1698"/>
        <w:spacing w:after="0"/>
        <w:tabs>
          <w:tab w:leader="none" w:pos="2578" w:val="left"/>
        </w:tabs>
        <w:numPr>
          <w:ilvl w:val="0"/>
          <w:numId w:val="121"/>
        </w:numPr>
        <w:rPr>
          <w:rFonts w:ascii="Arial" w:cs="Arial" w:eastAsia="Arial" w:hAnsi="Arial"/>
          <w:sz w:val="22"/>
          <w:szCs w:val="22"/>
          <w:color w:val="auto"/>
        </w:rPr>
      </w:pPr>
      <w:r>
        <w:rPr>
          <w:rFonts w:ascii="Arial" w:cs="Arial" w:eastAsia="Arial" w:hAnsi="Arial"/>
          <w:sz w:val="22"/>
          <w:szCs w:val="22"/>
          <w:color w:val="auto"/>
        </w:rPr>
        <w:t>On the terms and subject to the conditions set forth in this Agreement, at the Closing, Acquiror shall purchase from Seller, and Seller shall sell to Acquiror, all of Seller’s rights, titles, and interest in and to the Compound (the “</w:t>
      </w:r>
      <w:r>
        <w:rPr>
          <w:rFonts w:ascii="Arial" w:cs="Arial" w:eastAsia="Arial" w:hAnsi="Arial"/>
          <w:sz w:val="22"/>
          <w:szCs w:val="22"/>
          <w:b w:val="1"/>
          <w:bCs w:val="1"/>
          <w:color w:val="auto"/>
        </w:rPr>
        <w:t>Purchased Assets</w:t>
      </w:r>
      <w:r>
        <w:rPr>
          <w:rFonts w:ascii="Arial" w:cs="Arial" w:eastAsia="Arial" w:hAnsi="Arial"/>
          <w:sz w:val="22"/>
          <w:szCs w:val="22"/>
          <w:color w:val="auto"/>
        </w:rPr>
        <w:t>”), including, without limitation, the following assets.</w:t>
      </w:r>
    </w:p>
    <w:p>
      <w:pPr>
        <w:spacing w:after="0" w:line="186" w:lineRule="exact"/>
        <w:rPr>
          <w:rFonts w:ascii="Arial" w:cs="Arial" w:eastAsia="Arial" w:hAnsi="Arial"/>
          <w:sz w:val="22"/>
          <w:szCs w:val="22"/>
          <w:color w:val="auto"/>
        </w:rPr>
      </w:pPr>
    </w:p>
    <w:p>
      <w:pPr>
        <w:ind w:left="3500" w:hanging="956"/>
        <w:spacing w:after="0"/>
        <w:tabs>
          <w:tab w:leader="none" w:pos="3500" w:val="left"/>
        </w:tabs>
        <w:numPr>
          <w:ilvl w:val="1"/>
          <w:numId w:val="121"/>
        </w:numPr>
        <w:rPr>
          <w:rFonts w:ascii="Arial" w:cs="Arial" w:eastAsia="Arial" w:hAnsi="Arial"/>
          <w:sz w:val="22"/>
          <w:szCs w:val="22"/>
          <w:color w:val="auto"/>
        </w:rPr>
      </w:pPr>
      <w:r>
        <w:rPr>
          <w:rFonts w:ascii="Arial" w:cs="Arial" w:eastAsia="Arial" w:hAnsi="Arial"/>
          <w:sz w:val="22"/>
          <w:szCs w:val="22"/>
          <w:color w:val="auto"/>
        </w:rPr>
        <w:t>The Compound Intellectual Property;</w:t>
      </w:r>
    </w:p>
    <w:p>
      <w:pPr>
        <w:spacing w:after="0" w:line="206" w:lineRule="exact"/>
        <w:rPr>
          <w:rFonts w:ascii="Arial" w:cs="Arial" w:eastAsia="Arial" w:hAnsi="Arial"/>
          <w:sz w:val="22"/>
          <w:szCs w:val="22"/>
          <w:color w:val="auto"/>
        </w:rPr>
      </w:pPr>
    </w:p>
    <w:p>
      <w:pPr>
        <w:ind w:left="3500" w:hanging="956"/>
        <w:spacing w:after="0"/>
        <w:tabs>
          <w:tab w:leader="none" w:pos="3500" w:val="left"/>
        </w:tabs>
        <w:numPr>
          <w:ilvl w:val="1"/>
          <w:numId w:val="121"/>
        </w:numPr>
        <w:rPr>
          <w:rFonts w:ascii="Arial" w:cs="Arial" w:eastAsia="Arial" w:hAnsi="Arial"/>
          <w:sz w:val="22"/>
          <w:szCs w:val="22"/>
          <w:color w:val="auto"/>
        </w:rPr>
      </w:pPr>
      <w:r>
        <w:rPr>
          <w:rFonts w:ascii="Arial" w:cs="Arial" w:eastAsia="Arial" w:hAnsi="Arial"/>
          <w:sz w:val="22"/>
          <w:szCs w:val="22"/>
          <w:color w:val="auto"/>
        </w:rPr>
        <w:t>The tangible drug substance material currently stored with [†]; and</w:t>
      </w:r>
    </w:p>
    <w:p>
      <w:pPr>
        <w:spacing w:after="0" w:line="206" w:lineRule="exact"/>
        <w:rPr>
          <w:rFonts w:ascii="Arial" w:cs="Arial" w:eastAsia="Arial" w:hAnsi="Arial"/>
          <w:sz w:val="22"/>
          <w:szCs w:val="22"/>
          <w:color w:val="auto"/>
        </w:rPr>
      </w:pPr>
    </w:p>
    <w:p>
      <w:pPr>
        <w:ind w:left="3520" w:hanging="976"/>
        <w:spacing w:after="0"/>
        <w:tabs>
          <w:tab w:leader="none" w:pos="3520" w:val="left"/>
        </w:tabs>
        <w:numPr>
          <w:ilvl w:val="1"/>
          <w:numId w:val="121"/>
        </w:numPr>
        <w:rPr>
          <w:rFonts w:ascii="Arial" w:cs="Arial" w:eastAsia="Arial" w:hAnsi="Arial"/>
          <w:sz w:val="22"/>
          <w:szCs w:val="22"/>
          <w:color w:val="auto"/>
        </w:rPr>
      </w:pPr>
      <w:r>
        <w:rPr>
          <w:rFonts w:ascii="Arial" w:cs="Arial" w:eastAsia="Arial" w:hAnsi="Arial"/>
          <w:sz w:val="22"/>
          <w:szCs w:val="22"/>
          <w:color w:val="auto"/>
        </w:rPr>
        <w:t>The Compound Regulatory Documentation.</w:t>
      </w:r>
    </w:p>
    <w:p>
      <w:pPr>
        <w:spacing w:after="0" w:line="206" w:lineRule="exact"/>
        <w:rPr>
          <w:rFonts w:ascii="Arial" w:cs="Arial" w:eastAsia="Arial" w:hAnsi="Arial"/>
          <w:sz w:val="22"/>
          <w:szCs w:val="22"/>
          <w:color w:val="auto"/>
        </w:rPr>
      </w:pPr>
    </w:p>
    <w:p>
      <w:pPr>
        <w:ind w:right="220" w:firstLine="1698"/>
        <w:spacing w:after="0"/>
        <w:tabs>
          <w:tab w:leader="none" w:pos="2590" w:val="left"/>
        </w:tabs>
        <w:numPr>
          <w:ilvl w:val="0"/>
          <w:numId w:val="121"/>
        </w:numPr>
        <w:rPr>
          <w:rFonts w:ascii="Arial" w:cs="Arial" w:eastAsia="Arial" w:hAnsi="Arial"/>
          <w:sz w:val="22"/>
          <w:szCs w:val="22"/>
          <w:color w:val="auto"/>
        </w:rPr>
      </w:pPr>
      <w:r>
        <w:rPr>
          <w:rFonts w:ascii="Arial" w:cs="Arial" w:eastAsia="Arial" w:hAnsi="Arial"/>
          <w:sz w:val="22"/>
          <w:szCs w:val="22"/>
          <w:color w:val="auto"/>
        </w:rPr>
        <w:t>Acquiror shall not assume pursuant to this Agreement or the transactions contemplated hereby, and shall have no liability for, any liabilities of Seller of any kind, character or description whatsoever, and Seller shall retain responsibility for all such liabilities and obligations.</w:t>
      </w:r>
    </w:p>
    <w:p>
      <w:pPr>
        <w:spacing w:after="0" w:line="186" w:lineRule="exact"/>
        <w:rPr>
          <w:sz w:val="20"/>
          <w:szCs w:val="20"/>
          <w:color w:val="auto"/>
        </w:rPr>
      </w:pPr>
    </w:p>
    <w:p>
      <w:pPr>
        <w:jc w:val="both"/>
        <w:ind w:right="80" w:firstLine="846"/>
        <w:spacing w:after="0"/>
        <w:rPr>
          <w:sz w:val="20"/>
          <w:szCs w:val="20"/>
          <w:color w:val="auto"/>
        </w:rPr>
      </w:pPr>
      <w:r>
        <w:rPr>
          <w:rFonts w:ascii="Arial" w:cs="Arial" w:eastAsia="Arial" w:hAnsi="Arial"/>
          <w:sz w:val="22"/>
          <w:szCs w:val="22"/>
          <w:color w:val="auto"/>
        </w:rPr>
        <w:t xml:space="preserve">2.2 </w:t>
      </w:r>
      <w:r>
        <w:rPr>
          <w:rFonts w:ascii="Arial" w:cs="Arial" w:eastAsia="Arial" w:hAnsi="Arial"/>
          <w:sz w:val="22"/>
          <w:szCs w:val="22"/>
          <w:u w:val="single" w:color="auto"/>
          <w:color w:val="auto"/>
        </w:rPr>
        <w:t>Purchase Price</w:t>
      </w:r>
      <w:r>
        <w:rPr>
          <w:rFonts w:ascii="Arial" w:cs="Arial" w:eastAsia="Arial" w:hAnsi="Arial"/>
          <w:sz w:val="22"/>
          <w:szCs w:val="22"/>
          <w:color w:val="auto"/>
        </w:rPr>
        <w:t xml:space="preserve">. The purchase price for the Purchased Assets shall be equal to the Base Purchase Price </w:t>
      </w:r>
      <w:r>
        <w:rPr>
          <w:rFonts w:ascii="Arial" w:cs="Arial" w:eastAsia="Arial" w:hAnsi="Arial"/>
          <w:sz w:val="22"/>
          <w:szCs w:val="22"/>
          <w:u w:val="single" w:color="auto"/>
          <w:color w:val="auto"/>
        </w:rPr>
        <w:t>plus</w:t>
      </w:r>
      <w:r>
        <w:rPr>
          <w:rFonts w:ascii="Arial" w:cs="Arial" w:eastAsia="Arial" w:hAnsi="Arial"/>
          <w:sz w:val="22"/>
          <w:szCs w:val="22"/>
          <w:color w:val="auto"/>
        </w:rPr>
        <w:t xml:space="preserve">, to the extent achieved, the Milestone Payments in accordance with </w:t>
      </w:r>
      <w:r>
        <w:rPr>
          <w:rFonts w:ascii="Arial" w:cs="Arial" w:eastAsia="Arial" w:hAnsi="Arial"/>
          <w:sz w:val="22"/>
          <w:szCs w:val="22"/>
          <w:u w:val="single" w:color="auto"/>
          <w:color w:val="auto"/>
        </w:rPr>
        <w:t>Section 2.4</w:t>
      </w:r>
      <w:r>
        <w:rPr>
          <w:rFonts w:ascii="Arial" w:cs="Arial" w:eastAsia="Arial" w:hAnsi="Arial"/>
          <w:sz w:val="22"/>
          <w:szCs w:val="22"/>
          <w:color w:val="auto"/>
        </w:rPr>
        <w:t xml:space="preserve">, </w:t>
      </w:r>
      <w:r>
        <w:rPr>
          <w:rFonts w:ascii="Arial" w:cs="Arial" w:eastAsia="Arial" w:hAnsi="Arial"/>
          <w:sz w:val="22"/>
          <w:szCs w:val="22"/>
          <w:u w:val="single" w:color="auto"/>
          <w:color w:val="auto"/>
        </w:rPr>
        <w:t>plus</w:t>
      </w:r>
      <w:r>
        <w:rPr>
          <w:rFonts w:ascii="Arial" w:cs="Arial" w:eastAsia="Arial" w:hAnsi="Arial"/>
          <w:sz w:val="22"/>
          <w:szCs w:val="22"/>
          <w:color w:val="auto"/>
        </w:rPr>
        <w:t xml:space="preserve">, to the extent payable, the royalty payments in accordance with </w:t>
      </w:r>
      <w:r>
        <w:rPr>
          <w:rFonts w:ascii="Arial" w:cs="Arial" w:eastAsia="Arial" w:hAnsi="Arial"/>
          <w:sz w:val="22"/>
          <w:szCs w:val="22"/>
          <w:u w:val="single" w:color="auto"/>
          <w:color w:val="auto"/>
        </w:rPr>
        <w:t>Section 2.5</w:t>
      </w:r>
      <w:r>
        <w:rPr>
          <w:rFonts w:ascii="Arial" w:cs="Arial" w:eastAsia="Arial" w:hAnsi="Arial"/>
          <w:sz w:val="22"/>
          <w:szCs w:val="22"/>
          <w:color w:val="auto"/>
        </w:rPr>
        <w:t>.</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880" w:type="dxa"/>
            <w:vAlign w:val="bottom"/>
          </w:tcPr>
          <w:p>
            <w:pPr>
              <w:jc w:val="right"/>
              <w:ind w:right="652"/>
              <w:spacing w:after="0"/>
              <w:rPr>
                <w:sz w:val="20"/>
                <w:szCs w:val="20"/>
                <w:color w:val="auto"/>
              </w:rPr>
            </w:pPr>
            <w:r>
              <w:rPr>
                <w:rFonts w:ascii="Arial" w:cs="Arial" w:eastAsia="Arial" w:hAnsi="Arial"/>
                <w:sz w:val="22"/>
                <w:szCs w:val="22"/>
                <w:color w:val="auto"/>
              </w:rPr>
              <w:t>2.3</w:t>
            </w:r>
          </w:p>
        </w:tc>
        <w:tc>
          <w:tcPr>
            <w:tcW w:w="9240" w:type="dxa"/>
            <w:vAlign w:val="bottom"/>
            <w:gridSpan w:val="3"/>
          </w:tcPr>
          <w:p>
            <w:pPr>
              <w:spacing w:after="0"/>
              <w:rPr>
                <w:sz w:val="20"/>
                <w:szCs w:val="20"/>
                <w:color w:val="auto"/>
              </w:rPr>
            </w:pPr>
            <w:r>
              <w:rPr>
                <w:rFonts w:ascii="Arial" w:cs="Arial" w:eastAsia="Arial" w:hAnsi="Arial"/>
                <w:sz w:val="22"/>
                <w:szCs w:val="22"/>
                <w:color w:val="auto"/>
                <w:w w:val="91"/>
              </w:rPr>
              <w:t>Payment of Closing Consideration. At the Closing, Acquiror shall deliver to Seller the amount of $[†] (the</w:t>
            </w:r>
          </w:p>
        </w:tc>
      </w:tr>
      <w:tr>
        <w:trPr>
          <w:trHeight w:val="274"/>
        </w:trPr>
        <w:tc>
          <w:tcPr>
            <w:tcW w:w="1880" w:type="dxa"/>
            <w:vAlign w:val="bottom"/>
          </w:tcPr>
          <w:p>
            <w:pPr>
              <w:jc w:val="right"/>
              <w:spacing w:after="0"/>
              <w:rPr>
                <w:sz w:val="20"/>
                <w:szCs w:val="20"/>
                <w:color w:val="auto"/>
              </w:rPr>
            </w:pPr>
            <w:r>
              <w:rPr>
                <w:rFonts w:ascii="Arial" w:cs="Arial" w:eastAsia="Arial" w:hAnsi="Arial"/>
                <w:sz w:val="22"/>
                <w:szCs w:val="22"/>
                <w:color w:val="auto"/>
                <w:w w:val="82"/>
              </w:rPr>
              <w:t>“</w:t>
            </w:r>
            <w:r>
              <w:rPr>
                <w:rFonts w:ascii="Arial" w:cs="Arial" w:eastAsia="Arial" w:hAnsi="Arial"/>
                <w:sz w:val="22"/>
                <w:szCs w:val="22"/>
                <w:b w:val="1"/>
                <w:bCs w:val="1"/>
                <w:color w:val="auto"/>
                <w:w w:val="82"/>
              </w:rPr>
              <w:t>Base Purchase Price</w:t>
            </w:r>
          </w:p>
        </w:tc>
        <w:tc>
          <w:tcPr>
            <w:tcW w:w="2980" w:type="dxa"/>
            <w:vAlign w:val="bottom"/>
            <w:tcBorders>
              <w:top w:val="single" w:sz="8" w:color="auto"/>
            </w:tcBorders>
            <w:gridSpan w:val="2"/>
          </w:tcPr>
          <w:p>
            <w:pPr>
              <w:ind w:left="100"/>
              <w:spacing w:after="0"/>
              <w:rPr>
                <w:sz w:val="20"/>
                <w:szCs w:val="20"/>
                <w:color w:val="auto"/>
              </w:rPr>
            </w:pPr>
            <w:r>
              <w:rPr>
                <w:rFonts w:ascii="Arial" w:cs="Arial" w:eastAsia="Arial" w:hAnsi="Arial"/>
                <w:sz w:val="22"/>
                <w:szCs w:val="22"/>
                <w:color w:val="auto"/>
              </w:rPr>
              <w:t>”).</w:t>
            </w:r>
          </w:p>
        </w:tc>
        <w:tc>
          <w:tcPr>
            <w:tcW w:w="6260" w:type="dxa"/>
            <w:vAlign w:val="bottom"/>
          </w:tcPr>
          <w:p>
            <w:pPr>
              <w:spacing w:after="0"/>
              <w:rPr>
                <w:sz w:val="23"/>
                <w:szCs w:val="23"/>
                <w:color w:val="auto"/>
              </w:rPr>
            </w:pPr>
          </w:p>
        </w:tc>
      </w:tr>
      <w:tr>
        <w:trPr>
          <w:trHeight w:val="409"/>
        </w:trPr>
        <w:tc>
          <w:tcPr>
            <w:tcW w:w="1880" w:type="dxa"/>
            <w:vAlign w:val="bottom"/>
          </w:tcPr>
          <w:p>
            <w:pPr>
              <w:jc w:val="right"/>
              <w:ind w:right="652"/>
              <w:spacing w:after="0"/>
              <w:rPr>
                <w:sz w:val="20"/>
                <w:szCs w:val="20"/>
                <w:color w:val="auto"/>
              </w:rPr>
            </w:pPr>
            <w:r>
              <w:rPr>
                <w:rFonts w:ascii="Arial" w:cs="Arial" w:eastAsia="Arial" w:hAnsi="Arial"/>
                <w:sz w:val="22"/>
                <w:szCs w:val="22"/>
                <w:color w:val="auto"/>
              </w:rPr>
              <w:t>2.4</w:t>
            </w:r>
          </w:p>
        </w:tc>
        <w:tc>
          <w:tcPr>
            <w:tcW w:w="9240" w:type="dxa"/>
            <w:vAlign w:val="bottom"/>
            <w:gridSpan w:val="3"/>
          </w:tcPr>
          <w:p>
            <w:pPr>
              <w:spacing w:after="0"/>
              <w:rPr>
                <w:sz w:val="20"/>
                <w:szCs w:val="20"/>
                <w:color w:val="auto"/>
              </w:rPr>
            </w:pPr>
            <w:r>
              <w:rPr>
                <w:rFonts w:ascii="Arial" w:cs="Arial" w:eastAsia="Arial" w:hAnsi="Arial"/>
                <w:sz w:val="22"/>
                <w:szCs w:val="22"/>
                <w:color w:val="auto"/>
              </w:rPr>
              <w:t>Milestone Payments.</w:t>
            </w:r>
          </w:p>
        </w:tc>
      </w:tr>
      <w:tr>
        <w:trPr>
          <w:trHeight w:val="20"/>
        </w:trPr>
        <w:tc>
          <w:tcPr>
            <w:tcW w:w="1880" w:type="dxa"/>
            <w:vAlign w:val="bottom"/>
          </w:tcPr>
          <w:p>
            <w:pPr>
              <w:spacing w:after="0" w:line="20" w:lineRule="exact"/>
              <w:rPr>
                <w:sz w:val="1"/>
                <w:szCs w:val="1"/>
                <w:color w:val="auto"/>
              </w:rPr>
            </w:pPr>
          </w:p>
        </w:tc>
        <w:tc>
          <w:tcPr>
            <w:tcW w:w="1760" w:type="dxa"/>
            <w:vAlign w:val="bottom"/>
            <w:shd w:val="clear" w:color="auto" w:fill="000000"/>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6260" w:type="dxa"/>
            <w:vAlign w:val="bottom"/>
          </w:tcPr>
          <w:p>
            <w:pPr>
              <w:spacing w:after="0" w:line="20" w:lineRule="exact"/>
              <w:rPr>
                <w:sz w:val="1"/>
                <w:szCs w:val="1"/>
                <w:color w:val="auto"/>
              </w:rPr>
            </w:pPr>
          </w:p>
        </w:tc>
      </w:tr>
    </w:tbl>
    <w:p>
      <w:pPr>
        <w:spacing w:after="0" w:line="222" w:lineRule="exact"/>
        <w:rPr>
          <w:sz w:val="20"/>
          <w:szCs w:val="20"/>
          <w:color w:val="auto"/>
        </w:rPr>
      </w:pPr>
    </w:p>
    <w:p>
      <w:pPr>
        <w:ind w:right="180" w:firstLine="1698"/>
        <w:spacing w:after="0" w:line="297" w:lineRule="auto"/>
        <w:tabs>
          <w:tab w:leader="none" w:pos="2578" w:val="left"/>
        </w:tabs>
        <w:numPr>
          <w:ilvl w:val="0"/>
          <w:numId w:val="122"/>
        </w:numPr>
        <w:rPr>
          <w:rFonts w:ascii="Arial" w:cs="Arial" w:eastAsia="Arial" w:hAnsi="Arial"/>
          <w:sz w:val="19"/>
          <w:szCs w:val="19"/>
          <w:color w:val="auto"/>
        </w:rPr>
      </w:pPr>
      <w:r>
        <w:rPr>
          <w:rFonts w:ascii="Arial" w:cs="Arial" w:eastAsia="Arial" w:hAnsi="Arial"/>
          <w:sz w:val="19"/>
          <w:szCs w:val="19"/>
          <w:color w:val="auto"/>
        </w:rPr>
        <w:t>Subject to the terms and conditions of this Agreement, the Seller shall be entitled to a milestone payment (each payment as it relates to a particular event for a product, a “</w:t>
      </w:r>
      <w:r>
        <w:rPr>
          <w:rFonts w:ascii="Arial" w:cs="Arial" w:eastAsia="Arial" w:hAnsi="Arial"/>
          <w:sz w:val="19"/>
          <w:szCs w:val="19"/>
          <w:b w:val="1"/>
          <w:bCs w:val="1"/>
          <w:color w:val="auto"/>
        </w:rPr>
        <w:t>Milestone Payment</w:t>
      </w:r>
      <w:r>
        <w:rPr>
          <w:rFonts w:ascii="Arial" w:cs="Arial" w:eastAsia="Arial" w:hAnsi="Arial"/>
          <w:sz w:val="19"/>
          <w:szCs w:val="19"/>
          <w:color w:val="auto"/>
        </w:rPr>
        <w:t>”) upon achievement of each of the following events (each, a “</w:t>
      </w:r>
      <w:r>
        <w:rPr>
          <w:rFonts w:ascii="Arial" w:cs="Arial" w:eastAsia="Arial" w:hAnsi="Arial"/>
          <w:sz w:val="19"/>
          <w:szCs w:val="19"/>
          <w:b w:val="1"/>
          <w:bCs w:val="1"/>
          <w:color w:val="auto"/>
        </w:rPr>
        <w:t>Milestone</w:t>
      </w:r>
      <w:r>
        <w:rPr>
          <w:rFonts w:ascii="Arial" w:cs="Arial" w:eastAsia="Arial" w:hAnsi="Arial"/>
          <w:sz w:val="19"/>
          <w:szCs w:val="19"/>
          <w:color w:val="auto"/>
        </w:rPr>
        <w:t>”) for the Compound in the particular amounts specified below:</w:t>
      </w:r>
    </w:p>
    <w:p>
      <w:pPr>
        <w:spacing w:after="0" w:line="134"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-6-</w:t>
      </w:r>
    </w:p>
    <w:p>
      <w:pPr>
        <w:spacing w:after="0" w:line="5" w:lineRule="exact"/>
        <w:rPr>
          <w:sz w:val="20"/>
          <w:szCs w:val="20"/>
          <w:color w:val="auto"/>
        </w:rPr>
      </w:pPr>
    </w:p>
    <w:p>
      <w:pPr>
        <w:ind w:firstLine="8"/>
        <w:spacing w:after="0" w:line="237" w:lineRule="auto"/>
        <w:tabs>
          <w:tab w:leader="none" w:pos="204" w:val="left"/>
        </w:tabs>
        <w:numPr>
          <w:ilvl w:val="0"/>
          <w:numId w:val="123"/>
        </w:numPr>
        <w:rPr>
          <w:rFonts w:ascii="Arial" w:cs="Arial" w:eastAsia="Arial" w:hAnsi="Arial"/>
          <w:sz w:val="14"/>
          <w:szCs w:val="14"/>
          <w:color w:val="auto"/>
        </w:rPr>
      </w:pPr>
      <w:r>
        <w:rPr>
          <w:rFonts w:ascii="Arial" w:cs="Arial" w:eastAsia="Arial" w:hAnsi="Arial"/>
          <w:sz w:val="14"/>
          <w:szCs w:val="14"/>
          <w:color w:val="auto"/>
        </w:rPr>
        <w:t>DESIGNATES PORTIONS OF THIS DOCUMENT THAT HAVE BEEN OMITTED PURSUANT TO A REQUEST FOR CONFIDENTIAL TREATMENT FILED SEPARATELY WITH THE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46990</wp:posOffset>
            </wp:positionV>
            <wp:extent cx="7289165"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558" w:right="279" w:bottom="1440" w:gutter="0" w:footer="0" w:header="0"/>
        </w:sectPr>
      </w:pPr>
    </w:p>
    <w:bookmarkStart w:id="97" w:name="page98"/>
    <w:bookmarkEnd w:id="97"/>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4500" w:type="dxa"/>
            <w:vAlign w:val="bottom"/>
            <w:tcBorders>
              <w:bottom w:val="single" w:sz="8" w:color="F2F2F2"/>
            </w:tcBorders>
            <w:shd w:val="clear" w:color="auto" w:fill="F2F2F2"/>
          </w:tcPr>
          <w:p>
            <w:pPr>
              <w:spacing w:after="0"/>
              <w:rPr>
                <w:sz w:val="17"/>
                <w:szCs w:val="17"/>
                <w:color w:val="auto"/>
              </w:rPr>
            </w:pPr>
          </w:p>
        </w:tc>
        <w:tc>
          <w:tcPr>
            <w:tcW w:w="220" w:type="dxa"/>
            <w:vAlign w:val="bottom"/>
            <w:tcBorders>
              <w:bottom w:val="single" w:sz="8" w:color="F2F2F2"/>
            </w:tcBorders>
            <w:shd w:val="clear" w:color="auto" w:fill="F2F2F2"/>
          </w:tcPr>
          <w:p>
            <w:pPr>
              <w:spacing w:after="0"/>
              <w:rPr>
                <w:sz w:val="17"/>
                <w:szCs w:val="17"/>
                <w:color w:val="auto"/>
              </w:rPr>
            </w:pPr>
          </w:p>
        </w:tc>
        <w:tc>
          <w:tcPr>
            <w:tcW w:w="1960" w:type="dxa"/>
            <w:vAlign w:val="bottom"/>
            <w:tcBorders>
              <w:bottom w:val="single" w:sz="8" w:color="auto"/>
            </w:tcBorders>
            <w:gridSpan w:val="2"/>
            <w:shd w:val="clear" w:color="auto" w:fill="F2F2F2"/>
          </w:tcPr>
          <w:p>
            <w:pPr>
              <w:spacing w:after="0"/>
              <w:rPr>
                <w:sz w:val="20"/>
                <w:szCs w:val="20"/>
                <w:color w:val="auto"/>
              </w:rPr>
            </w:pPr>
            <w:r>
              <w:rPr>
                <w:rFonts w:ascii="Arial" w:cs="Arial" w:eastAsia="Arial" w:hAnsi="Arial"/>
                <w:sz w:val="18"/>
                <w:szCs w:val="18"/>
                <w:b w:val="1"/>
                <w:bCs w:val="1"/>
                <w:color w:val="auto"/>
                <w:w w:val="92"/>
              </w:rPr>
              <w:t>Compound (VRX621698)</w:t>
            </w:r>
          </w:p>
        </w:tc>
        <w:tc>
          <w:tcPr>
            <w:tcW w:w="3240" w:type="dxa"/>
            <w:vAlign w:val="bottom"/>
            <w:tcBorders>
              <w:bottom w:val="single" w:sz="8" w:color="F2F2F2"/>
            </w:tcBorders>
            <w:shd w:val="clear" w:color="auto" w:fill="F2F2F2"/>
          </w:tcPr>
          <w:p>
            <w:pPr>
              <w:spacing w:after="0"/>
              <w:rPr>
                <w:sz w:val="17"/>
                <w:szCs w:val="17"/>
                <w:color w:val="auto"/>
              </w:rPr>
            </w:pPr>
          </w:p>
        </w:tc>
        <w:tc>
          <w:tcPr>
            <w:tcW w:w="1480" w:type="dxa"/>
            <w:vAlign w:val="bottom"/>
            <w:tcBorders>
              <w:bottom w:val="single" w:sz="8" w:color="F2F2F2"/>
            </w:tcBorders>
            <w:shd w:val="clear" w:color="auto" w:fill="F2F2F2"/>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500" w:type="dxa"/>
            <w:vAlign w:val="bottom"/>
            <w:tcBorders>
              <w:bottom w:val="single" w:sz="8" w:color="F2F2F2"/>
            </w:tcBorders>
            <w:shd w:val="clear" w:color="auto" w:fill="F2F2F2"/>
          </w:tcPr>
          <w:p>
            <w:pPr>
              <w:spacing w:after="0"/>
              <w:rPr>
                <w:sz w:val="18"/>
                <w:szCs w:val="18"/>
                <w:color w:val="auto"/>
              </w:rPr>
            </w:pPr>
          </w:p>
        </w:tc>
        <w:tc>
          <w:tcPr>
            <w:tcW w:w="760" w:type="dxa"/>
            <w:vAlign w:val="bottom"/>
            <w:tcBorders>
              <w:bottom w:val="single" w:sz="8" w:color="auto"/>
            </w:tcBorders>
            <w:gridSpan w:val="2"/>
            <w:shd w:val="clear" w:color="auto" w:fill="F2F2F2"/>
          </w:tcPr>
          <w:p>
            <w:pPr>
              <w:spacing w:after="0" w:line="196" w:lineRule="exact"/>
              <w:rPr>
                <w:sz w:val="20"/>
                <w:szCs w:val="20"/>
                <w:color w:val="auto"/>
              </w:rPr>
            </w:pPr>
            <w:r>
              <w:rPr>
                <w:rFonts w:ascii="Arial" w:cs="Arial" w:eastAsia="Arial" w:hAnsi="Arial"/>
                <w:sz w:val="18"/>
                <w:szCs w:val="18"/>
                <w:b w:val="1"/>
                <w:bCs w:val="1"/>
                <w:color w:val="auto"/>
                <w:w w:val="89"/>
              </w:rPr>
              <w:t>Milestone</w:t>
            </w:r>
          </w:p>
        </w:tc>
        <w:tc>
          <w:tcPr>
            <w:tcW w:w="4660" w:type="dxa"/>
            <w:vAlign w:val="bottom"/>
            <w:tcBorders>
              <w:bottom w:val="single" w:sz="8" w:color="F2F2F2"/>
            </w:tcBorders>
            <w:gridSpan w:val="2"/>
            <w:shd w:val="clear" w:color="auto" w:fill="F2F2F2"/>
          </w:tcPr>
          <w:p>
            <w:pPr>
              <w:spacing w:after="0"/>
              <w:rPr>
                <w:sz w:val="18"/>
                <w:szCs w:val="18"/>
                <w:color w:val="auto"/>
              </w:rPr>
            </w:pPr>
          </w:p>
        </w:tc>
        <w:tc>
          <w:tcPr>
            <w:tcW w:w="1480" w:type="dxa"/>
            <w:vAlign w:val="bottom"/>
            <w:tcBorders>
              <w:bottom w:val="single" w:sz="8" w:color="auto"/>
            </w:tcBorders>
            <w:shd w:val="clear" w:color="auto" w:fill="F2F2F2"/>
          </w:tcPr>
          <w:p>
            <w:pPr>
              <w:jc w:val="right"/>
              <w:spacing w:after="0" w:line="196" w:lineRule="exact"/>
              <w:rPr>
                <w:sz w:val="20"/>
                <w:szCs w:val="20"/>
                <w:color w:val="auto"/>
              </w:rPr>
            </w:pPr>
            <w:r>
              <w:rPr>
                <w:rFonts w:ascii="Arial" w:cs="Arial" w:eastAsia="Arial" w:hAnsi="Arial"/>
                <w:sz w:val="18"/>
                <w:szCs w:val="18"/>
                <w:b w:val="1"/>
                <w:bCs w:val="1"/>
                <w:color w:val="auto"/>
                <w:w w:val="89"/>
              </w:rPr>
              <w:t>Milestone Payment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9920" w:type="dxa"/>
            <w:vAlign w:val="bottom"/>
            <w:gridSpan w:val="5"/>
          </w:tcPr>
          <w:p>
            <w:pPr>
              <w:spacing w:after="0" w:line="201" w:lineRule="exact"/>
              <w:rPr>
                <w:sz w:val="20"/>
                <w:szCs w:val="20"/>
                <w:color w:val="auto"/>
              </w:rPr>
            </w:pPr>
            <w:r>
              <w:rPr>
                <w:rFonts w:ascii="Arial" w:cs="Arial" w:eastAsia="Arial" w:hAnsi="Arial"/>
                <w:sz w:val="18"/>
                <w:szCs w:val="18"/>
                <w:color w:val="auto"/>
              </w:rPr>
              <w:t>[†]</w:t>
            </w:r>
          </w:p>
        </w:tc>
        <w:tc>
          <w:tcPr>
            <w:tcW w:w="1480" w:type="dxa"/>
            <w:vAlign w:val="bottom"/>
          </w:tcPr>
          <w:p>
            <w:pPr>
              <w:jc w:val="right"/>
              <w:spacing w:after="0" w:line="201"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9940" w:type="dxa"/>
            <w:vAlign w:val="bottom"/>
            <w:gridSpan w:val="6"/>
          </w:tcPr>
          <w:p>
            <w:pPr>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9940" w:type="dxa"/>
            <w:vAlign w:val="bottom"/>
            <w:gridSpan w:val="6"/>
          </w:tcPr>
          <w:p>
            <w:pPr>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9940" w:type="dxa"/>
            <w:vAlign w:val="bottom"/>
            <w:gridSpan w:val="6"/>
          </w:tcPr>
          <w:p>
            <w:pPr>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9940" w:type="dxa"/>
            <w:vAlign w:val="bottom"/>
            <w:gridSpan w:val="6"/>
          </w:tcPr>
          <w:p>
            <w:pPr>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9940" w:type="dxa"/>
            <w:vAlign w:val="bottom"/>
            <w:gridSpan w:val="6"/>
          </w:tcPr>
          <w:p>
            <w:pPr>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9940" w:type="dxa"/>
            <w:vAlign w:val="bottom"/>
            <w:gridSpan w:val="6"/>
          </w:tcPr>
          <w:p>
            <w:pPr>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9940" w:type="dxa"/>
            <w:vAlign w:val="bottom"/>
            <w:gridSpan w:val="6"/>
          </w:tcPr>
          <w:p>
            <w:pPr>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9940" w:type="dxa"/>
            <w:vAlign w:val="bottom"/>
            <w:gridSpan w:val="6"/>
          </w:tcPr>
          <w:p>
            <w:pPr>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00" w:type="dxa"/>
            <w:vAlign w:val="bottom"/>
            <w:shd w:val="clear" w:color="auto" w:fill="F2F2F2"/>
          </w:tcPr>
          <w:p>
            <w:pPr>
              <w:spacing w:after="0"/>
              <w:rPr>
                <w:sz w:val="18"/>
                <w:szCs w:val="18"/>
                <w:color w:val="auto"/>
              </w:rPr>
            </w:pPr>
          </w:p>
        </w:tc>
        <w:tc>
          <w:tcPr>
            <w:tcW w:w="220" w:type="dxa"/>
            <w:vAlign w:val="bottom"/>
            <w:shd w:val="clear" w:color="auto" w:fill="F2F2F2"/>
          </w:tcPr>
          <w:p>
            <w:pPr>
              <w:spacing w:after="0"/>
              <w:rPr>
                <w:sz w:val="18"/>
                <w:szCs w:val="18"/>
                <w:color w:val="auto"/>
              </w:rPr>
            </w:pPr>
          </w:p>
        </w:tc>
        <w:tc>
          <w:tcPr>
            <w:tcW w:w="540" w:type="dxa"/>
            <w:vAlign w:val="bottom"/>
            <w:shd w:val="clear" w:color="auto" w:fill="F2F2F2"/>
          </w:tcPr>
          <w:p>
            <w:pPr>
              <w:spacing w:after="0"/>
              <w:rPr>
                <w:sz w:val="18"/>
                <w:szCs w:val="18"/>
                <w:color w:val="auto"/>
              </w:rPr>
            </w:pPr>
          </w:p>
        </w:tc>
        <w:tc>
          <w:tcPr>
            <w:tcW w:w="1420" w:type="dxa"/>
            <w:vAlign w:val="bottom"/>
            <w:shd w:val="clear" w:color="auto" w:fill="F2F2F2"/>
          </w:tcPr>
          <w:p>
            <w:pPr>
              <w:spacing w:after="0"/>
              <w:rPr>
                <w:sz w:val="18"/>
                <w:szCs w:val="18"/>
                <w:color w:val="auto"/>
              </w:rPr>
            </w:pPr>
          </w:p>
        </w:tc>
        <w:tc>
          <w:tcPr>
            <w:tcW w:w="3240" w:type="dxa"/>
            <w:vAlign w:val="bottom"/>
            <w:shd w:val="clear" w:color="auto" w:fill="F2F2F2"/>
          </w:tcPr>
          <w:p>
            <w:pPr>
              <w:spacing w:after="0"/>
              <w:rPr>
                <w:sz w:val="18"/>
                <w:szCs w:val="18"/>
                <w:color w:val="auto"/>
              </w:rPr>
            </w:pPr>
          </w:p>
        </w:tc>
        <w:tc>
          <w:tcPr>
            <w:tcW w:w="1480" w:type="dxa"/>
            <w:vAlign w:val="bottom"/>
            <w:shd w:val="clear" w:color="auto" w:fill="F2F2F2"/>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vMerge w:val="continue"/>
          </w:tcPr>
          <w:p>
            <w:pPr>
              <w:spacing w:after="0"/>
              <w:rPr>
                <w:sz w:val="20"/>
                <w:szCs w:val="20"/>
                <w:color w:val="auto"/>
              </w:rPr>
            </w:pPr>
          </w:p>
        </w:tc>
        <w:tc>
          <w:tcPr>
            <w:tcW w:w="9920" w:type="dxa"/>
            <w:vAlign w:val="bottom"/>
            <w:gridSpan w:val="5"/>
          </w:tcPr>
          <w:p>
            <w:pPr>
              <w:spacing w:after="0"/>
              <w:rPr>
                <w:sz w:val="20"/>
                <w:szCs w:val="20"/>
                <w:color w:val="auto"/>
              </w:rPr>
            </w:pPr>
            <w:r>
              <w:rPr>
                <w:rFonts w:ascii="Arial" w:cs="Arial" w:eastAsia="Arial" w:hAnsi="Arial"/>
                <w:sz w:val="18"/>
                <w:szCs w:val="18"/>
                <w:b w:val="1"/>
                <w:bCs w:val="1"/>
                <w:color w:val="auto"/>
              </w:rPr>
              <w:t>Total possible Milestone Payments:</w:t>
            </w:r>
          </w:p>
        </w:tc>
        <w:tc>
          <w:tcPr>
            <w:tcW w:w="148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spacing w:after="0" w:line="176" w:lineRule="exact"/>
        <w:rPr>
          <w:sz w:val="20"/>
          <w:szCs w:val="20"/>
          <w:color w:val="auto"/>
        </w:rPr>
      </w:pPr>
    </w:p>
    <w:p>
      <w:pPr>
        <w:ind w:left="2600" w:hanging="902"/>
        <w:spacing w:after="0"/>
        <w:tabs>
          <w:tab w:leader="none" w:pos="2600" w:val="left"/>
        </w:tabs>
        <w:numPr>
          <w:ilvl w:val="0"/>
          <w:numId w:val="124"/>
        </w:numPr>
        <w:rPr>
          <w:rFonts w:ascii="Arial" w:cs="Arial" w:eastAsia="Arial" w:hAnsi="Arial"/>
          <w:sz w:val="22"/>
          <w:szCs w:val="22"/>
          <w:color w:val="auto"/>
        </w:rPr>
      </w:pPr>
      <w:r>
        <w:rPr>
          <w:rFonts w:ascii="Arial" w:cs="Arial" w:eastAsia="Arial" w:hAnsi="Arial"/>
          <w:sz w:val="22"/>
          <w:szCs w:val="22"/>
          <w:u w:val="single" w:color="auto"/>
          <w:color w:val="auto"/>
        </w:rPr>
        <w:t>Definitions</w:t>
      </w:r>
      <w:r>
        <w:rPr>
          <w:rFonts w:ascii="Arial" w:cs="Arial" w:eastAsia="Arial" w:hAnsi="Arial"/>
          <w:sz w:val="22"/>
          <w:szCs w:val="22"/>
          <w:color w:val="auto"/>
        </w:rPr>
        <w:t>: For purposes of determining Milestone Payments:</w:t>
      </w:r>
    </w:p>
    <w:p>
      <w:pPr>
        <w:spacing w:after="0" w:line="206" w:lineRule="exact"/>
        <w:rPr>
          <w:rFonts w:ascii="Arial" w:cs="Arial" w:eastAsia="Arial" w:hAnsi="Arial"/>
          <w:sz w:val="22"/>
          <w:szCs w:val="22"/>
          <w:color w:val="auto"/>
        </w:rPr>
      </w:pPr>
    </w:p>
    <w:p>
      <w:pPr>
        <w:ind w:left="3500" w:hanging="956"/>
        <w:spacing w:after="0"/>
        <w:tabs>
          <w:tab w:leader="none" w:pos="3500" w:val="left"/>
        </w:tabs>
        <w:numPr>
          <w:ilvl w:val="1"/>
          <w:numId w:val="124"/>
        </w:numPr>
        <w:rPr>
          <w:rFonts w:ascii="Arial" w:cs="Arial" w:eastAsia="Arial" w:hAnsi="Arial"/>
          <w:sz w:val="22"/>
          <w:szCs w:val="22"/>
          <w:color w:val="auto"/>
        </w:rPr>
      </w:pPr>
      <w:r>
        <w:rPr>
          <w:rFonts w:ascii="Arial" w:cs="Arial" w:eastAsia="Arial" w:hAnsi="Arial"/>
          <w:sz w:val="22"/>
          <w:szCs w:val="22"/>
          <w:color w:val="auto"/>
        </w:rPr>
        <w:t>“[†]” means [†].</w:t>
      </w:r>
    </w:p>
    <w:p>
      <w:pPr>
        <w:spacing w:after="0" w:line="206" w:lineRule="exact"/>
        <w:rPr>
          <w:rFonts w:ascii="Arial" w:cs="Arial" w:eastAsia="Arial" w:hAnsi="Arial"/>
          <w:sz w:val="22"/>
          <w:szCs w:val="22"/>
          <w:color w:val="auto"/>
        </w:rPr>
      </w:pPr>
    </w:p>
    <w:p>
      <w:pPr>
        <w:ind w:left="3520" w:hanging="976"/>
        <w:spacing w:after="0"/>
        <w:tabs>
          <w:tab w:leader="none" w:pos="3520" w:val="left"/>
        </w:tabs>
        <w:numPr>
          <w:ilvl w:val="1"/>
          <w:numId w:val="124"/>
        </w:numPr>
        <w:rPr>
          <w:rFonts w:ascii="Arial" w:cs="Arial" w:eastAsia="Arial" w:hAnsi="Arial"/>
          <w:sz w:val="22"/>
          <w:szCs w:val="22"/>
          <w:color w:val="auto"/>
        </w:rPr>
      </w:pPr>
      <w:r>
        <w:rPr>
          <w:rFonts w:ascii="Arial" w:cs="Arial" w:eastAsia="Arial" w:hAnsi="Arial"/>
          <w:sz w:val="22"/>
          <w:szCs w:val="22"/>
          <w:color w:val="auto"/>
        </w:rPr>
        <w:t>“[†]” means [†].</w:t>
      </w:r>
    </w:p>
    <w:p>
      <w:pPr>
        <w:spacing w:after="0" w:line="206" w:lineRule="exact"/>
        <w:rPr>
          <w:rFonts w:ascii="Arial" w:cs="Arial" w:eastAsia="Arial" w:hAnsi="Arial"/>
          <w:sz w:val="22"/>
          <w:szCs w:val="22"/>
          <w:color w:val="auto"/>
        </w:rPr>
      </w:pPr>
    </w:p>
    <w:p>
      <w:pPr>
        <w:ind w:left="3520" w:hanging="976"/>
        <w:spacing w:after="0"/>
        <w:tabs>
          <w:tab w:leader="none" w:pos="3520" w:val="left"/>
        </w:tabs>
        <w:numPr>
          <w:ilvl w:val="1"/>
          <w:numId w:val="124"/>
        </w:numPr>
        <w:rPr>
          <w:rFonts w:ascii="Arial" w:cs="Arial" w:eastAsia="Arial" w:hAnsi="Arial"/>
          <w:sz w:val="22"/>
          <w:szCs w:val="22"/>
          <w:color w:val="auto"/>
        </w:rPr>
      </w:pPr>
      <w:r>
        <w:rPr>
          <w:rFonts w:ascii="Arial" w:cs="Arial" w:eastAsia="Arial" w:hAnsi="Arial"/>
          <w:sz w:val="22"/>
          <w:szCs w:val="22"/>
          <w:color w:val="auto"/>
        </w:rPr>
        <w:t>“[†]” means [†].</w:t>
      </w:r>
    </w:p>
    <w:p>
      <w:pPr>
        <w:spacing w:after="0" w:line="206" w:lineRule="exact"/>
        <w:rPr>
          <w:rFonts w:ascii="Arial" w:cs="Arial" w:eastAsia="Arial" w:hAnsi="Arial"/>
          <w:sz w:val="22"/>
          <w:szCs w:val="22"/>
          <w:color w:val="auto"/>
        </w:rPr>
      </w:pPr>
    </w:p>
    <w:p>
      <w:pPr>
        <w:ind w:left="3500" w:hanging="956"/>
        <w:spacing w:after="0"/>
        <w:tabs>
          <w:tab w:leader="none" w:pos="3500" w:val="left"/>
        </w:tabs>
        <w:numPr>
          <w:ilvl w:val="1"/>
          <w:numId w:val="124"/>
        </w:numPr>
        <w:rPr>
          <w:rFonts w:ascii="Arial" w:cs="Arial" w:eastAsia="Arial" w:hAnsi="Arial"/>
          <w:sz w:val="22"/>
          <w:szCs w:val="22"/>
          <w:color w:val="auto"/>
        </w:rPr>
      </w:pPr>
      <w:r>
        <w:rPr>
          <w:rFonts w:ascii="Arial" w:cs="Arial" w:eastAsia="Arial" w:hAnsi="Arial"/>
          <w:sz w:val="22"/>
          <w:szCs w:val="22"/>
          <w:color w:val="auto"/>
        </w:rPr>
        <w:t>“[†]” means [†].</w:t>
      </w:r>
    </w:p>
    <w:p>
      <w:pPr>
        <w:spacing w:after="0" w:line="206" w:lineRule="exact"/>
        <w:rPr>
          <w:rFonts w:ascii="Arial" w:cs="Arial" w:eastAsia="Arial" w:hAnsi="Arial"/>
          <w:sz w:val="22"/>
          <w:szCs w:val="22"/>
          <w:color w:val="auto"/>
        </w:rPr>
      </w:pPr>
    </w:p>
    <w:p>
      <w:pPr>
        <w:ind w:left="3500" w:hanging="956"/>
        <w:spacing w:after="0"/>
        <w:tabs>
          <w:tab w:leader="none" w:pos="3500" w:val="left"/>
        </w:tabs>
        <w:numPr>
          <w:ilvl w:val="1"/>
          <w:numId w:val="124"/>
        </w:numPr>
        <w:rPr>
          <w:rFonts w:ascii="Arial" w:cs="Arial" w:eastAsia="Arial" w:hAnsi="Arial"/>
          <w:sz w:val="22"/>
          <w:szCs w:val="22"/>
          <w:color w:val="auto"/>
        </w:rPr>
      </w:pPr>
      <w:r>
        <w:rPr>
          <w:rFonts w:ascii="Arial" w:cs="Arial" w:eastAsia="Arial" w:hAnsi="Arial"/>
          <w:sz w:val="22"/>
          <w:szCs w:val="22"/>
          <w:color w:val="auto"/>
        </w:rPr>
        <w:t>“[†]” means [†].</w:t>
      </w:r>
    </w:p>
    <w:p>
      <w:pPr>
        <w:spacing w:after="0" w:line="206" w:lineRule="exact"/>
        <w:rPr>
          <w:rFonts w:ascii="Arial" w:cs="Arial" w:eastAsia="Arial" w:hAnsi="Arial"/>
          <w:sz w:val="22"/>
          <w:szCs w:val="22"/>
          <w:color w:val="auto"/>
        </w:rPr>
      </w:pPr>
    </w:p>
    <w:p>
      <w:pPr>
        <w:ind w:left="3500" w:hanging="956"/>
        <w:spacing w:after="0"/>
        <w:tabs>
          <w:tab w:leader="none" w:pos="3500" w:val="left"/>
        </w:tabs>
        <w:numPr>
          <w:ilvl w:val="1"/>
          <w:numId w:val="124"/>
        </w:numPr>
        <w:rPr>
          <w:rFonts w:ascii="Arial" w:cs="Arial" w:eastAsia="Arial" w:hAnsi="Arial"/>
          <w:sz w:val="22"/>
          <w:szCs w:val="22"/>
          <w:color w:val="auto"/>
        </w:rPr>
      </w:pPr>
      <w:r>
        <w:rPr>
          <w:rFonts w:ascii="Arial" w:cs="Arial" w:eastAsia="Arial" w:hAnsi="Arial"/>
          <w:sz w:val="22"/>
          <w:szCs w:val="22"/>
          <w:color w:val="auto"/>
        </w:rPr>
        <w:t>“[†]” means [†].</w:t>
      </w:r>
    </w:p>
    <w:p>
      <w:pPr>
        <w:spacing w:after="0" w:line="206" w:lineRule="exact"/>
        <w:rPr>
          <w:rFonts w:ascii="Arial" w:cs="Arial" w:eastAsia="Arial" w:hAnsi="Arial"/>
          <w:sz w:val="22"/>
          <w:szCs w:val="22"/>
          <w:color w:val="auto"/>
        </w:rPr>
      </w:pPr>
    </w:p>
    <w:p>
      <w:pPr>
        <w:ind w:left="3520" w:hanging="976"/>
        <w:spacing w:after="0"/>
        <w:tabs>
          <w:tab w:leader="none" w:pos="3520" w:val="left"/>
        </w:tabs>
        <w:numPr>
          <w:ilvl w:val="1"/>
          <w:numId w:val="124"/>
        </w:numPr>
        <w:rPr>
          <w:rFonts w:ascii="Arial" w:cs="Arial" w:eastAsia="Arial" w:hAnsi="Arial"/>
          <w:sz w:val="22"/>
          <w:szCs w:val="22"/>
          <w:color w:val="auto"/>
        </w:rPr>
      </w:pPr>
      <w:r>
        <w:rPr>
          <w:rFonts w:ascii="Arial" w:cs="Arial" w:eastAsia="Arial" w:hAnsi="Arial"/>
          <w:sz w:val="22"/>
          <w:szCs w:val="22"/>
          <w:color w:val="auto"/>
        </w:rPr>
        <w:t>“[†]” means [†].</w:t>
      </w:r>
    </w:p>
    <w:p>
      <w:pPr>
        <w:spacing w:after="0" w:line="206" w:lineRule="exact"/>
        <w:rPr>
          <w:rFonts w:ascii="Arial" w:cs="Arial" w:eastAsia="Arial" w:hAnsi="Arial"/>
          <w:sz w:val="22"/>
          <w:szCs w:val="22"/>
          <w:color w:val="auto"/>
        </w:rPr>
      </w:pPr>
    </w:p>
    <w:p>
      <w:pPr>
        <w:ind w:left="3520" w:hanging="976"/>
        <w:spacing w:after="0"/>
        <w:tabs>
          <w:tab w:leader="none" w:pos="3520" w:val="left"/>
        </w:tabs>
        <w:numPr>
          <w:ilvl w:val="1"/>
          <w:numId w:val="124"/>
        </w:numPr>
        <w:rPr>
          <w:rFonts w:ascii="Arial" w:cs="Arial" w:eastAsia="Arial" w:hAnsi="Arial"/>
          <w:sz w:val="22"/>
          <w:szCs w:val="22"/>
          <w:color w:val="auto"/>
        </w:rPr>
      </w:pPr>
      <w:r>
        <w:rPr>
          <w:rFonts w:ascii="Arial" w:cs="Arial" w:eastAsia="Arial" w:hAnsi="Arial"/>
          <w:sz w:val="22"/>
          <w:szCs w:val="22"/>
          <w:color w:val="auto"/>
        </w:rPr>
        <w:t>“[†]” means [†].</w:t>
      </w:r>
    </w:p>
    <w:p>
      <w:pPr>
        <w:spacing w:after="0" w:line="206" w:lineRule="exact"/>
        <w:rPr>
          <w:rFonts w:ascii="Arial" w:cs="Arial" w:eastAsia="Arial" w:hAnsi="Arial"/>
          <w:sz w:val="22"/>
          <w:szCs w:val="22"/>
          <w:color w:val="auto"/>
        </w:rPr>
      </w:pPr>
    </w:p>
    <w:p>
      <w:pPr>
        <w:ind w:right="200" w:firstLine="1698"/>
        <w:spacing w:after="0" w:line="297" w:lineRule="auto"/>
        <w:tabs>
          <w:tab w:leader="none" w:pos="2578" w:val="left"/>
        </w:tabs>
        <w:numPr>
          <w:ilvl w:val="0"/>
          <w:numId w:val="124"/>
        </w:numPr>
        <w:rPr>
          <w:rFonts w:ascii="Arial" w:cs="Arial" w:eastAsia="Arial" w:hAnsi="Arial"/>
          <w:sz w:val="19"/>
          <w:szCs w:val="19"/>
          <w:color w:val="auto"/>
        </w:rPr>
      </w:pPr>
      <w:r>
        <w:rPr>
          <w:rFonts w:ascii="Arial" w:cs="Arial" w:eastAsia="Arial" w:hAnsi="Arial"/>
          <w:sz w:val="19"/>
          <w:szCs w:val="19"/>
          <w:u w:val="single" w:color="auto"/>
          <w:color w:val="auto"/>
        </w:rPr>
        <w:t>Milestones Payable Only Once</w:t>
      </w:r>
      <w:r>
        <w:rPr>
          <w:rFonts w:ascii="Arial" w:cs="Arial" w:eastAsia="Arial" w:hAnsi="Arial"/>
          <w:sz w:val="19"/>
          <w:szCs w:val="19"/>
          <w:color w:val="auto"/>
        </w:rPr>
        <w:t xml:space="preserve">. The Parties understand and agree that, except as otherwise noted in </w:t>
      </w:r>
      <w:r>
        <w:rPr>
          <w:rFonts w:ascii="Arial" w:cs="Arial" w:eastAsia="Arial" w:hAnsi="Arial"/>
          <w:sz w:val="19"/>
          <w:szCs w:val="19"/>
          <w:u w:val="single" w:color="auto"/>
          <w:color w:val="auto"/>
        </w:rPr>
        <w:t>Section 2.4(a)</w:t>
      </w:r>
      <w:r>
        <w:rPr>
          <w:rFonts w:ascii="Arial" w:cs="Arial" w:eastAsia="Arial" w:hAnsi="Arial"/>
          <w:sz w:val="19"/>
          <w:szCs w:val="19"/>
          <w:color w:val="auto"/>
        </w:rPr>
        <w:t xml:space="preserve"> above, each of the Milestone Payments referenced under </w:t>
      </w:r>
      <w:r>
        <w:rPr>
          <w:rFonts w:ascii="Arial" w:cs="Arial" w:eastAsia="Arial" w:hAnsi="Arial"/>
          <w:sz w:val="19"/>
          <w:szCs w:val="19"/>
          <w:u w:val="single" w:color="auto"/>
          <w:color w:val="auto"/>
        </w:rPr>
        <w:t>Section 2.4(a)</w:t>
      </w:r>
      <w:r>
        <w:rPr>
          <w:rFonts w:ascii="Arial" w:cs="Arial" w:eastAsia="Arial" w:hAnsi="Arial"/>
          <w:sz w:val="19"/>
          <w:szCs w:val="19"/>
          <w:color w:val="auto"/>
        </w:rPr>
        <w:t xml:space="preserve">, shall be payable only once, upon the first occurrence of the applicable Milestone, and are subject to the terms and conditions set forth in this </w:t>
      </w:r>
      <w:r>
        <w:rPr>
          <w:rFonts w:ascii="Arial" w:cs="Arial" w:eastAsia="Arial" w:hAnsi="Arial"/>
          <w:sz w:val="19"/>
          <w:szCs w:val="19"/>
          <w:u w:val="single" w:color="auto"/>
          <w:color w:val="auto"/>
        </w:rPr>
        <w:t>Section 2.4</w:t>
      </w:r>
      <w:r>
        <w:rPr>
          <w:rFonts w:ascii="Arial" w:cs="Arial" w:eastAsia="Arial" w:hAnsi="Arial"/>
          <w:sz w:val="19"/>
          <w:szCs w:val="19"/>
          <w:color w:val="auto"/>
        </w:rPr>
        <w:t>.</w:t>
      </w:r>
    </w:p>
    <w:p>
      <w:pPr>
        <w:spacing w:after="0" w:line="134" w:lineRule="exact"/>
        <w:rPr>
          <w:rFonts w:ascii="Arial" w:cs="Arial" w:eastAsia="Arial" w:hAnsi="Arial"/>
          <w:sz w:val="19"/>
          <w:szCs w:val="19"/>
          <w:color w:val="auto"/>
        </w:rPr>
      </w:pPr>
    </w:p>
    <w:p>
      <w:pPr>
        <w:ind w:right="120" w:firstLine="1698"/>
        <w:spacing w:after="0" w:line="238" w:lineRule="auto"/>
        <w:tabs>
          <w:tab w:leader="none" w:pos="2590" w:val="left"/>
        </w:tabs>
        <w:numPr>
          <w:ilvl w:val="0"/>
          <w:numId w:val="124"/>
        </w:numPr>
        <w:rPr>
          <w:rFonts w:ascii="Arial" w:cs="Arial" w:eastAsia="Arial" w:hAnsi="Arial"/>
          <w:sz w:val="22"/>
          <w:szCs w:val="22"/>
          <w:color w:val="auto"/>
        </w:rPr>
      </w:pPr>
      <w:r>
        <w:rPr>
          <w:rFonts w:ascii="Arial" w:cs="Arial" w:eastAsia="Arial" w:hAnsi="Arial"/>
          <w:sz w:val="22"/>
          <w:szCs w:val="22"/>
          <w:u w:val="single" w:color="auto"/>
          <w:color w:val="auto"/>
        </w:rPr>
        <w:t>Payment of Milestone Payments</w:t>
      </w:r>
      <w:r>
        <w:rPr>
          <w:rFonts w:ascii="Arial" w:cs="Arial" w:eastAsia="Arial" w:hAnsi="Arial"/>
          <w:sz w:val="22"/>
          <w:szCs w:val="22"/>
          <w:color w:val="auto"/>
        </w:rPr>
        <w:t xml:space="preserve">. Subject to Acquiror’s right to offset pursuant to </w:t>
      </w:r>
      <w:r>
        <w:rPr>
          <w:rFonts w:ascii="Arial" w:cs="Arial" w:eastAsia="Arial" w:hAnsi="Arial"/>
          <w:sz w:val="22"/>
          <w:szCs w:val="22"/>
          <w:u w:val="single" w:color="auto"/>
          <w:color w:val="auto"/>
        </w:rPr>
        <w:t>Section 10.6</w:t>
      </w:r>
      <w:r>
        <w:rPr>
          <w:rFonts w:ascii="Arial" w:cs="Arial" w:eastAsia="Arial" w:hAnsi="Arial"/>
          <w:sz w:val="22"/>
          <w:szCs w:val="22"/>
          <w:color w:val="auto"/>
        </w:rPr>
        <w:t>, Acquiror shall cause each Milestone Payment, if any, to be distributed to the Seller within [†] ([†]) [†] following the date the applicable Milestone relating thereto is achieved by bank wire transfer of immediately available funds to an account designated by Seller in writing.</w:t>
      </w:r>
    </w:p>
    <w:p>
      <w:pPr>
        <w:spacing w:after="0" w:line="185" w:lineRule="exact"/>
        <w:rPr>
          <w:sz w:val="20"/>
          <w:szCs w:val="20"/>
          <w:color w:val="auto"/>
        </w:rPr>
      </w:pPr>
    </w:p>
    <w:p>
      <w:pPr>
        <w:ind w:right="220" w:firstLine="846"/>
        <w:spacing w:after="0" w:line="251" w:lineRule="auto"/>
        <w:rPr>
          <w:sz w:val="20"/>
          <w:szCs w:val="20"/>
          <w:color w:val="auto"/>
        </w:rPr>
      </w:pPr>
      <w:r>
        <w:rPr>
          <w:rFonts w:ascii="Arial" w:cs="Arial" w:eastAsia="Arial" w:hAnsi="Arial"/>
          <w:sz w:val="22"/>
          <w:szCs w:val="22"/>
          <w:color w:val="auto"/>
        </w:rPr>
        <w:t xml:space="preserve">2.5 </w:t>
      </w:r>
      <w:r>
        <w:rPr>
          <w:rFonts w:ascii="Arial" w:cs="Arial" w:eastAsia="Arial" w:hAnsi="Arial"/>
          <w:sz w:val="22"/>
          <w:szCs w:val="22"/>
          <w:u w:val="single" w:color="auto"/>
          <w:color w:val="auto"/>
        </w:rPr>
        <w:t>Royalties</w:t>
      </w:r>
      <w:r>
        <w:rPr>
          <w:rFonts w:ascii="Arial" w:cs="Arial" w:eastAsia="Arial" w:hAnsi="Arial"/>
          <w:sz w:val="22"/>
          <w:szCs w:val="22"/>
          <w:color w:val="auto"/>
        </w:rPr>
        <w:t>. In addition to (and not in lieu of) the Base Purchase Price and the Milestone Payments, Acquiror shall pay to Seller the following:</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w:t>
      </w:r>
    </w:p>
    <w:p>
      <w:pPr>
        <w:spacing w:after="0" w:line="5" w:lineRule="exact"/>
        <w:rPr>
          <w:sz w:val="20"/>
          <w:szCs w:val="20"/>
          <w:color w:val="auto"/>
        </w:rPr>
      </w:pPr>
    </w:p>
    <w:p>
      <w:pPr>
        <w:ind w:right="40" w:firstLine="8"/>
        <w:spacing w:after="0" w:line="237" w:lineRule="auto"/>
        <w:tabs>
          <w:tab w:leader="none" w:pos="204" w:val="left"/>
        </w:tabs>
        <w:numPr>
          <w:ilvl w:val="0"/>
          <w:numId w:val="125"/>
        </w:numPr>
        <w:rPr>
          <w:rFonts w:ascii="Arial" w:cs="Arial" w:eastAsia="Arial" w:hAnsi="Arial"/>
          <w:sz w:val="14"/>
          <w:szCs w:val="14"/>
          <w:color w:val="auto"/>
        </w:rPr>
      </w:pPr>
      <w:r>
        <w:rPr>
          <w:rFonts w:ascii="Arial" w:cs="Arial" w:eastAsia="Arial" w:hAnsi="Arial"/>
          <w:sz w:val="14"/>
          <w:szCs w:val="14"/>
          <w:color w:val="auto"/>
        </w:rPr>
        <w:t>DESIGNATES PORTIONS OF THIS DOCUMENT THAT HAVE BEEN OMITTED PURSUANT TO A REQUEST FOR CONFIDENTIAL TREATMENT FILED SEPARATELY WITH THE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46990</wp:posOffset>
            </wp:positionV>
            <wp:extent cx="7289165"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81" w:right="239" w:bottom="1440" w:gutter="0" w:footer="0" w:header="0"/>
        </w:sectPr>
      </w:pPr>
    </w:p>
    <w:bookmarkStart w:id="98" w:name="page99"/>
    <w:bookmarkEnd w:id="98"/>
    <w:p>
      <w:pPr>
        <w:jc w:val="both"/>
        <w:ind w:left="-8" w:right="140" w:firstLine="1698"/>
        <w:spacing w:after="0" w:line="297" w:lineRule="auto"/>
        <w:tabs>
          <w:tab w:leader="none" w:pos="2570" w:val="left"/>
        </w:tabs>
        <w:numPr>
          <w:ilvl w:val="0"/>
          <w:numId w:val="126"/>
        </w:numPr>
        <w:rPr>
          <w:rFonts w:ascii="Arial" w:cs="Arial" w:eastAsia="Arial" w:hAnsi="Arial"/>
          <w:sz w:val="19"/>
          <w:szCs w:val="19"/>
          <w:color w:val="auto"/>
        </w:rPr>
      </w:pPr>
      <w:r>
        <w:rPr>
          <w:rFonts w:ascii="Arial" w:cs="Arial" w:eastAsia="Arial" w:hAnsi="Arial"/>
          <w:sz w:val="19"/>
          <w:szCs w:val="19"/>
          <w:u w:val="single" w:color="auto"/>
          <w:color w:val="auto"/>
        </w:rPr>
        <w:t>Royalties on Products in the United States (US) Territory</w:t>
      </w:r>
      <w:r>
        <w:rPr>
          <w:rFonts w:ascii="Arial" w:cs="Arial" w:eastAsia="Arial" w:hAnsi="Arial"/>
          <w:sz w:val="19"/>
          <w:szCs w:val="19"/>
          <w:color w:val="auto"/>
        </w:rPr>
        <w:t>. As partial consideration of the sale of the Compound to Acquiror hereunder, Acquiror shall pay to Seller amounts equal to the applicable percentage of aggregate Net Sales of Compound as a Drug Product sold in the United States (and its territories) (the “</w:t>
      </w:r>
      <w:r>
        <w:rPr>
          <w:rFonts w:ascii="Arial" w:cs="Arial" w:eastAsia="Arial" w:hAnsi="Arial"/>
          <w:sz w:val="19"/>
          <w:szCs w:val="19"/>
          <w:b w:val="1"/>
          <w:bCs w:val="1"/>
          <w:color w:val="auto"/>
        </w:rPr>
        <w:t>US Territory</w:t>
      </w:r>
      <w:r>
        <w:rPr>
          <w:rFonts w:ascii="Arial" w:cs="Arial" w:eastAsia="Arial" w:hAnsi="Arial"/>
          <w:sz w:val="19"/>
          <w:szCs w:val="19"/>
          <w:color w:val="auto"/>
        </w:rPr>
        <w:t>”) as described below, as follows:</w:t>
      </w:r>
    </w:p>
    <w:p>
      <w:pPr>
        <w:spacing w:after="0" w:line="134" w:lineRule="exact"/>
        <w:rPr>
          <w:rFonts w:ascii="Arial" w:cs="Arial" w:eastAsia="Arial" w:hAnsi="Arial"/>
          <w:sz w:val="19"/>
          <w:szCs w:val="19"/>
          <w:color w:val="auto"/>
        </w:rPr>
      </w:pPr>
    </w:p>
    <w:p>
      <w:pPr>
        <w:ind w:left="3492" w:hanging="956"/>
        <w:spacing w:after="0"/>
        <w:tabs>
          <w:tab w:leader="none" w:pos="3492" w:val="left"/>
        </w:tabs>
        <w:numPr>
          <w:ilvl w:val="1"/>
          <w:numId w:val="126"/>
        </w:numPr>
        <w:rPr>
          <w:rFonts w:ascii="Arial" w:cs="Arial" w:eastAsia="Arial" w:hAnsi="Arial"/>
          <w:sz w:val="22"/>
          <w:szCs w:val="22"/>
          <w:color w:val="auto"/>
        </w:rPr>
      </w:pPr>
      <w:r>
        <w:rPr>
          <w:rFonts w:ascii="Arial" w:cs="Arial" w:eastAsia="Arial" w:hAnsi="Arial"/>
          <w:sz w:val="22"/>
          <w:szCs w:val="22"/>
          <w:color w:val="auto"/>
        </w:rPr>
        <w:t>[†] ([†]) of Net Sales of such Drug Product in the US Territory; and</w:t>
      </w:r>
    </w:p>
    <w:p>
      <w:pPr>
        <w:spacing w:after="0" w:line="206" w:lineRule="exact"/>
        <w:rPr>
          <w:rFonts w:ascii="Arial" w:cs="Arial" w:eastAsia="Arial" w:hAnsi="Arial"/>
          <w:sz w:val="22"/>
          <w:szCs w:val="22"/>
          <w:color w:val="auto"/>
        </w:rPr>
      </w:pPr>
    </w:p>
    <w:p>
      <w:pPr>
        <w:ind w:left="3512" w:hanging="976"/>
        <w:spacing w:after="0"/>
        <w:tabs>
          <w:tab w:leader="none" w:pos="3512" w:val="left"/>
        </w:tabs>
        <w:numPr>
          <w:ilvl w:val="1"/>
          <w:numId w:val="126"/>
        </w:numPr>
        <w:rPr>
          <w:rFonts w:ascii="Arial" w:cs="Arial" w:eastAsia="Arial" w:hAnsi="Arial"/>
          <w:sz w:val="22"/>
          <w:szCs w:val="22"/>
          <w:color w:val="auto"/>
        </w:rPr>
      </w:pPr>
      <w:r>
        <w:rPr>
          <w:rFonts w:ascii="Arial" w:cs="Arial" w:eastAsia="Arial" w:hAnsi="Arial"/>
          <w:sz w:val="22"/>
          <w:szCs w:val="22"/>
          <w:color w:val="auto"/>
        </w:rPr>
        <w:t>[†] ([†]) of Net Sales of such Drug Product in the US Territory.</w:t>
      </w:r>
    </w:p>
    <w:p>
      <w:pPr>
        <w:spacing w:after="0" w:line="206" w:lineRule="exact"/>
        <w:rPr>
          <w:rFonts w:ascii="Arial" w:cs="Arial" w:eastAsia="Arial" w:hAnsi="Arial"/>
          <w:sz w:val="22"/>
          <w:szCs w:val="22"/>
          <w:color w:val="auto"/>
        </w:rPr>
      </w:pPr>
    </w:p>
    <w:p>
      <w:pPr>
        <w:ind w:left="-8" w:right="200" w:firstLine="1698"/>
        <w:spacing w:after="0" w:line="238" w:lineRule="auto"/>
        <w:tabs>
          <w:tab w:leader="none" w:pos="2582" w:val="left"/>
        </w:tabs>
        <w:numPr>
          <w:ilvl w:val="0"/>
          <w:numId w:val="126"/>
        </w:numPr>
        <w:rPr>
          <w:rFonts w:ascii="Arial" w:cs="Arial" w:eastAsia="Arial" w:hAnsi="Arial"/>
          <w:sz w:val="22"/>
          <w:szCs w:val="22"/>
          <w:color w:val="auto"/>
        </w:rPr>
      </w:pPr>
      <w:r>
        <w:rPr>
          <w:rFonts w:ascii="Arial" w:cs="Arial" w:eastAsia="Arial" w:hAnsi="Arial"/>
          <w:sz w:val="22"/>
          <w:szCs w:val="22"/>
          <w:u w:val="single" w:color="auto"/>
          <w:color w:val="auto"/>
        </w:rPr>
        <w:t>Royalties on Products in the European Union (EU) Territory</w:t>
      </w:r>
      <w:r>
        <w:rPr>
          <w:rFonts w:ascii="Arial" w:cs="Arial" w:eastAsia="Arial" w:hAnsi="Arial"/>
          <w:sz w:val="22"/>
          <w:szCs w:val="22"/>
          <w:color w:val="auto"/>
        </w:rPr>
        <w:t>. As partial consideration of the sale of the Compound to Acquiror hereunder, Acquiror shall pay to Seller amounts equal to the applicable percentage of aggregate Net Sales of Compound as a Drug Product sold in the European Union (and its territories) (the “</w:t>
      </w:r>
      <w:r>
        <w:rPr>
          <w:rFonts w:ascii="Arial" w:cs="Arial" w:eastAsia="Arial" w:hAnsi="Arial"/>
          <w:sz w:val="22"/>
          <w:szCs w:val="22"/>
          <w:b w:val="1"/>
          <w:bCs w:val="1"/>
          <w:color w:val="auto"/>
        </w:rPr>
        <w:t>EU Territory</w:t>
      </w:r>
      <w:r>
        <w:rPr>
          <w:rFonts w:ascii="Arial" w:cs="Arial" w:eastAsia="Arial" w:hAnsi="Arial"/>
          <w:sz w:val="22"/>
          <w:szCs w:val="22"/>
          <w:color w:val="auto"/>
        </w:rPr>
        <w:t>”) as described below, and country-by-country basis as follows:</w:t>
      </w:r>
    </w:p>
    <w:p>
      <w:pPr>
        <w:spacing w:after="0" w:line="185" w:lineRule="exact"/>
        <w:rPr>
          <w:rFonts w:ascii="Arial" w:cs="Arial" w:eastAsia="Arial" w:hAnsi="Arial"/>
          <w:sz w:val="22"/>
          <w:szCs w:val="22"/>
          <w:color w:val="auto"/>
        </w:rPr>
      </w:pPr>
    </w:p>
    <w:p>
      <w:pPr>
        <w:ind w:left="3492" w:hanging="956"/>
        <w:spacing w:after="0"/>
        <w:tabs>
          <w:tab w:leader="none" w:pos="3492" w:val="left"/>
        </w:tabs>
        <w:numPr>
          <w:ilvl w:val="1"/>
          <w:numId w:val="126"/>
        </w:numPr>
        <w:rPr>
          <w:rFonts w:ascii="Arial" w:cs="Arial" w:eastAsia="Arial" w:hAnsi="Arial"/>
          <w:sz w:val="22"/>
          <w:szCs w:val="22"/>
          <w:color w:val="auto"/>
        </w:rPr>
      </w:pPr>
      <w:r>
        <w:rPr>
          <w:rFonts w:ascii="Arial" w:cs="Arial" w:eastAsia="Arial" w:hAnsi="Arial"/>
          <w:sz w:val="22"/>
          <w:szCs w:val="22"/>
          <w:color w:val="auto"/>
        </w:rPr>
        <w:t>[†] ([†]) of Net Sales of such Drug Product in such country; and</w:t>
      </w:r>
    </w:p>
    <w:p>
      <w:pPr>
        <w:spacing w:after="0" w:line="206" w:lineRule="exact"/>
        <w:rPr>
          <w:rFonts w:ascii="Arial" w:cs="Arial" w:eastAsia="Arial" w:hAnsi="Arial"/>
          <w:sz w:val="22"/>
          <w:szCs w:val="22"/>
          <w:color w:val="auto"/>
        </w:rPr>
      </w:pPr>
    </w:p>
    <w:p>
      <w:pPr>
        <w:ind w:left="3512" w:hanging="976"/>
        <w:spacing w:after="0"/>
        <w:tabs>
          <w:tab w:leader="none" w:pos="3512" w:val="left"/>
        </w:tabs>
        <w:numPr>
          <w:ilvl w:val="1"/>
          <w:numId w:val="126"/>
        </w:numPr>
        <w:rPr>
          <w:rFonts w:ascii="Arial" w:cs="Arial" w:eastAsia="Arial" w:hAnsi="Arial"/>
          <w:sz w:val="22"/>
          <w:szCs w:val="22"/>
          <w:color w:val="auto"/>
        </w:rPr>
      </w:pPr>
      <w:r>
        <w:rPr>
          <w:rFonts w:ascii="Arial" w:cs="Arial" w:eastAsia="Arial" w:hAnsi="Arial"/>
          <w:sz w:val="22"/>
          <w:szCs w:val="22"/>
          <w:color w:val="auto"/>
        </w:rPr>
        <w:t>[†] ([†]) of Net Sales of such Drug Product in such country.</w:t>
      </w:r>
    </w:p>
    <w:p>
      <w:pPr>
        <w:spacing w:after="0" w:line="206" w:lineRule="exact"/>
        <w:rPr>
          <w:rFonts w:ascii="Arial" w:cs="Arial" w:eastAsia="Arial" w:hAnsi="Arial"/>
          <w:sz w:val="22"/>
          <w:szCs w:val="22"/>
          <w:color w:val="auto"/>
        </w:rPr>
      </w:pPr>
    </w:p>
    <w:p>
      <w:pPr>
        <w:ind w:left="-8" w:right="200" w:firstLine="1698"/>
        <w:spacing w:after="0" w:line="238" w:lineRule="auto"/>
        <w:tabs>
          <w:tab w:leader="none" w:pos="2570" w:val="left"/>
        </w:tabs>
        <w:numPr>
          <w:ilvl w:val="0"/>
          <w:numId w:val="126"/>
        </w:numPr>
        <w:rPr>
          <w:rFonts w:ascii="Arial" w:cs="Arial" w:eastAsia="Arial" w:hAnsi="Arial"/>
          <w:sz w:val="22"/>
          <w:szCs w:val="22"/>
          <w:color w:val="auto"/>
        </w:rPr>
      </w:pPr>
      <w:r>
        <w:rPr>
          <w:rFonts w:ascii="Arial" w:cs="Arial" w:eastAsia="Arial" w:hAnsi="Arial"/>
          <w:sz w:val="22"/>
          <w:szCs w:val="22"/>
          <w:u w:val="single" w:color="auto"/>
          <w:color w:val="auto"/>
        </w:rPr>
        <w:t>Royalties on Products in the Rest of World (ROW) Territory</w:t>
      </w:r>
      <w:r>
        <w:rPr>
          <w:rFonts w:ascii="Arial" w:cs="Arial" w:eastAsia="Arial" w:hAnsi="Arial"/>
          <w:sz w:val="22"/>
          <w:szCs w:val="22"/>
          <w:color w:val="auto"/>
        </w:rPr>
        <w:t>. As partial consideration of the sale of the Compound to Acquiror hereunder, Acquiror shall pay to Seller amounts equal to the applicable percentage of aggregate Net Sales of Compound as a Drug Product sold outside the US Territory or EU Territory (the “</w:t>
      </w:r>
      <w:r>
        <w:rPr>
          <w:rFonts w:ascii="Arial" w:cs="Arial" w:eastAsia="Arial" w:hAnsi="Arial"/>
          <w:sz w:val="22"/>
          <w:szCs w:val="22"/>
          <w:b w:val="1"/>
          <w:bCs w:val="1"/>
          <w:color w:val="auto"/>
        </w:rPr>
        <w:t>ROW Territory</w:t>
      </w:r>
      <w:r>
        <w:rPr>
          <w:rFonts w:ascii="Arial" w:cs="Arial" w:eastAsia="Arial" w:hAnsi="Arial"/>
          <w:sz w:val="22"/>
          <w:szCs w:val="22"/>
          <w:color w:val="auto"/>
        </w:rPr>
        <w:t>”) as described below, and country-by-country basis as follows:</w:t>
      </w:r>
    </w:p>
    <w:p>
      <w:pPr>
        <w:spacing w:after="0" w:line="185" w:lineRule="exact"/>
        <w:rPr>
          <w:rFonts w:ascii="Arial" w:cs="Arial" w:eastAsia="Arial" w:hAnsi="Arial"/>
          <w:sz w:val="22"/>
          <w:szCs w:val="22"/>
          <w:color w:val="auto"/>
        </w:rPr>
      </w:pPr>
    </w:p>
    <w:p>
      <w:pPr>
        <w:ind w:left="3492" w:hanging="956"/>
        <w:spacing w:after="0"/>
        <w:tabs>
          <w:tab w:leader="none" w:pos="3492" w:val="left"/>
        </w:tabs>
        <w:numPr>
          <w:ilvl w:val="1"/>
          <w:numId w:val="126"/>
        </w:numPr>
        <w:rPr>
          <w:rFonts w:ascii="Arial" w:cs="Arial" w:eastAsia="Arial" w:hAnsi="Arial"/>
          <w:sz w:val="22"/>
          <w:szCs w:val="22"/>
          <w:color w:val="auto"/>
        </w:rPr>
      </w:pPr>
      <w:r>
        <w:rPr>
          <w:rFonts w:ascii="Arial" w:cs="Arial" w:eastAsia="Arial" w:hAnsi="Arial"/>
          <w:sz w:val="22"/>
          <w:szCs w:val="22"/>
          <w:color w:val="auto"/>
        </w:rPr>
        <w:t>[†] ([†]) of Net Sales of such Drug Product in such country; and</w:t>
      </w:r>
    </w:p>
    <w:p>
      <w:pPr>
        <w:spacing w:after="0" w:line="206" w:lineRule="exact"/>
        <w:rPr>
          <w:rFonts w:ascii="Arial" w:cs="Arial" w:eastAsia="Arial" w:hAnsi="Arial"/>
          <w:sz w:val="22"/>
          <w:szCs w:val="22"/>
          <w:color w:val="auto"/>
        </w:rPr>
      </w:pPr>
    </w:p>
    <w:p>
      <w:pPr>
        <w:ind w:left="3512" w:hanging="976"/>
        <w:spacing w:after="0"/>
        <w:tabs>
          <w:tab w:leader="none" w:pos="3512" w:val="left"/>
        </w:tabs>
        <w:numPr>
          <w:ilvl w:val="1"/>
          <w:numId w:val="126"/>
        </w:numPr>
        <w:rPr>
          <w:rFonts w:ascii="Arial" w:cs="Arial" w:eastAsia="Arial" w:hAnsi="Arial"/>
          <w:sz w:val="22"/>
          <w:szCs w:val="22"/>
          <w:color w:val="auto"/>
        </w:rPr>
      </w:pPr>
      <w:r>
        <w:rPr>
          <w:rFonts w:ascii="Arial" w:cs="Arial" w:eastAsia="Arial" w:hAnsi="Arial"/>
          <w:sz w:val="22"/>
          <w:szCs w:val="22"/>
          <w:color w:val="auto"/>
        </w:rPr>
        <w:t>[†] ([†]) of Net Sales of such Drug Product.</w:t>
      </w:r>
    </w:p>
    <w:p>
      <w:pPr>
        <w:spacing w:after="0" w:line="206" w:lineRule="exact"/>
        <w:rPr>
          <w:rFonts w:ascii="Arial" w:cs="Arial" w:eastAsia="Arial" w:hAnsi="Arial"/>
          <w:sz w:val="22"/>
          <w:szCs w:val="22"/>
          <w:color w:val="auto"/>
        </w:rPr>
      </w:pPr>
    </w:p>
    <w:p>
      <w:pPr>
        <w:ind w:left="-8" w:firstLine="1698"/>
        <w:spacing w:after="0" w:line="273" w:lineRule="auto"/>
        <w:tabs>
          <w:tab w:leader="none" w:pos="2582" w:val="left"/>
        </w:tabs>
        <w:numPr>
          <w:ilvl w:val="0"/>
          <w:numId w:val="126"/>
        </w:numPr>
        <w:rPr>
          <w:rFonts w:ascii="Arial" w:cs="Arial" w:eastAsia="Arial" w:hAnsi="Arial"/>
          <w:sz w:val="19"/>
          <w:szCs w:val="19"/>
          <w:color w:val="auto"/>
        </w:rPr>
      </w:pPr>
      <w:r>
        <w:rPr>
          <w:rFonts w:ascii="Arial" w:cs="Arial" w:eastAsia="Arial" w:hAnsi="Arial"/>
          <w:sz w:val="19"/>
          <w:szCs w:val="19"/>
          <w:u w:val="single" w:color="auto"/>
          <w:color w:val="auto"/>
        </w:rPr>
        <w:t>Royalty Payments</w:t>
      </w:r>
      <w:r>
        <w:rPr>
          <w:rFonts w:ascii="Arial" w:cs="Arial" w:eastAsia="Arial" w:hAnsi="Arial"/>
          <w:sz w:val="19"/>
          <w:szCs w:val="19"/>
          <w:color w:val="auto"/>
        </w:rPr>
        <w:t>. All royalties due under this Section 2.5 shall be paid within [†] ([†]) [†] of the end of the calendar quarter during which the applicable Net Sales occur. Each royalty payment shall be accompanied by a statement (i) stating (as applicable) the aggregate Net Sales, by country, of each Drug Product sold during the relevant calendar quarter by Acquiror and its Affiliates or its or their licensees, or its or their direct or indirect sub-licensees, and (ii) detailing the calculation of royalties and amounts due for such calendar quarter. All payments due under this Section 2.5 shall be made by bank wire transfer in immediately available funds to an account designated by Seller in writing. All payments hereunder shall be made in the legal currency of the United States. With respect to Net Sales invoiced in a currency other than United States dollars, such Net Sales will be converted into the United States dollar equivalent using the average conversion rate existing in the United States (as reported in The Wall Street Journal, New York edition) during the applicable calendar quarter. If The Wall Street Journal ceases to be published, then the rate of exchange to be used shall be that reported in such other business publication of national circulation in the United States on which the Parties reasonably agree.</w:t>
      </w:r>
    </w:p>
    <w:p>
      <w:pPr>
        <w:spacing w:after="0" w:line="399" w:lineRule="exact"/>
        <w:rPr>
          <w:sz w:val="20"/>
          <w:szCs w:val="20"/>
          <w:color w:val="auto"/>
        </w:rPr>
      </w:pPr>
    </w:p>
    <w:p>
      <w:pPr>
        <w:jc w:val="center"/>
        <w:ind w:right="-31"/>
        <w:spacing w:after="0"/>
        <w:rPr>
          <w:sz w:val="20"/>
          <w:szCs w:val="20"/>
          <w:color w:val="auto"/>
        </w:rPr>
      </w:pPr>
      <w:r>
        <w:rPr>
          <w:rFonts w:ascii="Arial" w:cs="Arial" w:eastAsia="Arial" w:hAnsi="Arial"/>
          <w:sz w:val="22"/>
          <w:szCs w:val="22"/>
          <w:color w:val="auto"/>
        </w:rPr>
        <w:t>-8-</w:t>
      </w:r>
    </w:p>
    <w:p>
      <w:pPr>
        <w:spacing w:after="0" w:line="5" w:lineRule="exact"/>
        <w:rPr>
          <w:sz w:val="20"/>
          <w:szCs w:val="20"/>
          <w:color w:val="auto"/>
        </w:rPr>
      </w:pPr>
    </w:p>
    <w:p>
      <w:pPr>
        <w:ind w:left="-8" w:right="20" w:firstLine="8"/>
        <w:spacing w:after="0" w:line="237" w:lineRule="auto"/>
        <w:tabs>
          <w:tab w:leader="none" w:pos="196" w:val="left"/>
        </w:tabs>
        <w:numPr>
          <w:ilvl w:val="0"/>
          <w:numId w:val="127"/>
        </w:numPr>
        <w:rPr>
          <w:rFonts w:ascii="Arial" w:cs="Arial" w:eastAsia="Arial" w:hAnsi="Arial"/>
          <w:sz w:val="14"/>
          <w:szCs w:val="14"/>
          <w:color w:val="auto"/>
        </w:rPr>
      </w:pPr>
      <w:r>
        <w:rPr>
          <w:rFonts w:ascii="Arial" w:cs="Arial" w:eastAsia="Arial" w:hAnsi="Arial"/>
          <w:sz w:val="14"/>
          <w:szCs w:val="14"/>
          <w:color w:val="auto"/>
        </w:rPr>
        <w:t>DESIGNATES PORTIONS OF THIS DOCUMENT THAT HAVE BEEN OMITTED PURSUANT TO A REQUEST FOR CONFIDENTIAL TREATMENT FILED SEPARATELY WITH THE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46990</wp:posOffset>
            </wp:positionV>
            <wp:extent cx="7289165"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92"/>
          </w:cols>
          <w:pgMar w:left="248" w:top="564" w:right="259" w:bottom="1440" w:gutter="0" w:footer="0" w:header="0"/>
        </w:sectPr>
      </w:pPr>
    </w:p>
    <w:bookmarkStart w:id="99" w:name="page100"/>
    <w:bookmarkEnd w:id="99"/>
    <w:p>
      <w:pPr>
        <w:ind w:right="140" w:firstLine="846"/>
        <w:spacing w:after="0" w:line="273" w:lineRule="auto"/>
        <w:rPr>
          <w:sz w:val="20"/>
          <w:szCs w:val="20"/>
          <w:color w:val="auto"/>
        </w:rPr>
      </w:pPr>
      <w:r>
        <w:rPr>
          <w:rFonts w:ascii="Arial" w:cs="Arial" w:eastAsia="Arial" w:hAnsi="Arial"/>
          <w:sz w:val="19"/>
          <w:szCs w:val="19"/>
          <w:color w:val="auto"/>
        </w:rPr>
        <w:t xml:space="preserve">2.6 </w:t>
      </w:r>
      <w:r>
        <w:rPr>
          <w:rFonts w:ascii="Arial" w:cs="Arial" w:eastAsia="Arial" w:hAnsi="Arial"/>
          <w:sz w:val="19"/>
          <w:szCs w:val="19"/>
          <w:u w:val="single" w:color="auto"/>
          <w:color w:val="auto"/>
        </w:rPr>
        <w:t>Taxes</w:t>
      </w:r>
      <w:r>
        <w:rPr>
          <w:rFonts w:ascii="Arial" w:cs="Arial" w:eastAsia="Arial" w:hAnsi="Arial"/>
          <w:sz w:val="19"/>
          <w:szCs w:val="19"/>
          <w:color w:val="auto"/>
        </w:rPr>
        <w:t>. Notwithstanding anything in this Agreement to the contrary, each of Acquiror and Seller are responsible for payment of any tax for which it is required to pay to the applicable Governmental Entity in connection with the purchase of the Compound. In the event any tax or similar amount is paid or required to be withheld by Acquiror or any Affiliate thereof for the benefit of Seller on account of any royalties or other payments payable to Seller under this Agreement, the corresponding amounts payable to Seller shall be reduced by the amount of taxes or similar amounts deducted and withheld, and Acquiror shall pay the amounts of such taxes or similar amounts to the proper Governmental Entities in a timely manner and promptly transmit to Seller an official tax certificate or other evidence of such tax or other obligations together with proof of payment from the relevant Governmental Entity of all amounts deducted and withheld sufficient to enable Seller to claim such payment of taxes or similar amounts. Any such withholding taxes or similar amounts required under applicable Law to be paid or withheld shall be an expense of, and borne solely by, Seller. Acquiror will provide Seller with, at Seller’s expense, reasonable assistance to enable RNR to recover such taxes or amounts otherwise withheld as permitted by Law.</w:t>
      </w:r>
    </w:p>
    <w:p>
      <w:pPr>
        <w:spacing w:after="0" w:line="156" w:lineRule="exact"/>
        <w:rPr>
          <w:sz w:val="20"/>
          <w:szCs w:val="20"/>
          <w:color w:val="auto"/>
        </w:rPr>
      </w:pPr>
    </w:p>
    <w:p>
      <w:pPr>
        <w:ind w:right="180" w:firstLine="846"/>
        <w:spacing w:after="0" w:line="328" w:lineRule="auto"/>
        <w:rPr>
          <w:sz w:val="20"/>
          <w:szCs w:val="20"/>
          <w:color w:val="auto"/>
        </w:rPr>
      </w:pPr>
      <w:r>
        <w:rPr>
          <w:rFonts w:ascii="Arial" w:cs="Arial" w:eastAsia="Arial" w:hAnsi="Arial"/>
          <w:sz w:val="19"/>
          <w:szCs w:val="19"/>
          <w:color w:val="auto"/>
        </w:rPr>
        <w:t xml:space="preserve">2.7 </w:t>
      </w:r>
      <w:r>
        <w:rPr>
          <w:rFonts w:ascii="Arial" w:cs="Arial" w:eastAsia="Arial" w:hAnsi="Arial"/>
          <w:sz w:val="19"/>
          <w:szCs w:val="19"/>
          <w:u w:val="single" w:color="auto"/>
          <w:color w:val="auto"/>
        </w:rPr>
        <w:t>License by Acquiror to Seller</w:t>
      </w:r>
      <w:r>
        <w:rPr>
          <w:rFonts w:ascii="Arial" w:cs="Arial" w:eastAsia="Arial" w:hAnsi="Arial"/>
          <w:sz w:val="19"/>
          <w:szCs w:val="19"/>
          <w:color w:val="auto"/>
        </w:rPr>
        <w:t>. Effective as of the Closing Date, the Acquiror hereby grants to the Seller [†] license under the Patents listed on Part 1 of Schedule 4.3(a) (the “</w:t>
      </w:r>
      <w:r>
        <w:rPr>
          <w:rFonts w:ascii="Arial" w:cs="Arial" w:eastAsia="Arial" w:hAnsi="Arial"/>
          <w:sz w:val="19"/>
          <w:szCs w:val="19"/>
          <w:b w:val="1"/>
          <w:bCs w:val="1"/>
          <w:color w:val="auto"/>
        </w:rPr>
        <w:t>Grant-Back Intellectual Property</w:t>
      </w:r>
      <w:r>
        <w:rPr>
          <w:rFonts w:ascii="Arial" w:cs="Arial" w:eastAsia="Arial" w:hAnsi="Arial"/>
          <w:sz w:val="19"/>
          <w:szCs w:val="19"/>
          <w:color w:val="auto"/>
        </w:rPr>
        <w:t>”), which license may [†].</w:t>
      </w:r>
    </w:p>
    <w:p>
      <w:pPr>
        <w:spacing w:after="0" w:line="105" w:lineRule="exact"/>
        <w:rPr>
          <w:sz w:val="20"/>
          <w:szCs w:val="20"/>
          <w:color w:val="auto"/>
        </w:rPr>
      </w:pPr>
    </w:p>
    <w:p>
      <w:pPr>
        <w:ind w:left="860"/>
        <w:spacing w:after="0"/>
        <w:tabs>
          <w:tab w:leader="none" w:pos="1860" w:val="left"/>
        </w:tabs>
        <w:rPr>
          <w:sz w:val="20"/>
          <w:szCs w:val="20"/>
          <w:color w:val="auto"/>
        </w:rPr>
      </w:pPr>
      <w:r>
        <w:rPr>
          <w:rFonts w:ascii="Arial" w:cs="Arial" w:eastAsia="Arial" w:hAnsi="Arial"/>
          <w:sz w:val="22"/>
          <w:szCs w:val="22"/>
          <w:color w:val="auto"/>
        </w:rPr>
        <w:t>2.8</w:t>
      </w:r>
      <w:r>
        <w:rPr>
          <w:sz w:val="20"/>
          <w:szCs w:val="20"/>
          <w:color w:val="auto"/>
        </w:rPr>
        <w:tab/>
      </w:r>
      <w:r>
        <w:rPr>
          <w:rFonts w:ascii="Arial" w:cs="Arial" w:eastAsia="Arial" w:hAnsi="Arial"/>
          <w:sz w:val="19"/>
          <w:szCs w:val="19"/>
          <w:u w:val="single" w:color="auto"/>
          <w:color w:val="auto"/>
        </w:rPr>
        <w:t>Filing, Prosecution and Maintenance of Patents</w:t>
      </w:r>
      <w:r>
        <w:rPr>
          <w:rFonts w:ascii="Arial" w:cs="Arial" w:eastAsia="Arial" w:hAnsi="Arial"/>
          <w:sz w:val="19"/>
          <w:szCs w:val="19"/>
          <w:color w:val="auto"/>
        </w:rPr>
        <w:t>. Except as set forth herein, Acquiror will be solely</w:t>
      </w:r>
    </w:p>
    <w:p>
      <w:pPr>
        <w:spacing w:after="0" w:line="238" w:lineRule="auto"/>
        <w:rPr>
          <w:sz w:val="20"/>
          <w:szCs w:val="20"/>
          <w:color w:val="auto"/>
        </w:rPr>
      </w:pPr>
      <w:r>
        <w:rPr>
          <w:rFonts w:ascii="Arial" w:cs="Arial" w:eastAsia="Arial" w:hAnsi="Arial"/>
          <w:sz w:val="22"/>
          <w:szCs w:val="22"/>
          <w:color w:val="auto"/>
        </w:rPr>
        <w:t>responsible for the preparation, filing, prosecution and maintenance of the Grant-Back Intellectual Property at its sole</w:t>
      </w:r>
    </w:p>
    <w:p>
      <w:pPr>
        <w:spacing w:after="0"/>
        <w:rPr>
          <w:sz w:val="20"/>
          <w:szCs w:val="20"/>
          <w:color w:val="auto"/>
        </w:rPr>
      </w:pPr>
      <w:r>
        <w:rPr>
          <w:rFonts w:ascii="Arial" w:cs="Arial" w:eastAsia="Arial" w:hAnsi="Arial"/>
          <w:sz w:val="19"/>
          <w:szCs w:val="19"/>
          <w:color w:val="auto"/>
        </w:rPr>
        <w:t>expense. Acquiror will keep the Seller advised on the status of the preparation, filing, prosecution and maintenance of all patent</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applications included within the Grant-Back Intellectual Property and the maintenance of any issued patents included within the</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Grant-Back Intellectual Property. If Acquiror elects not to file a patent application included in the Grant-Back Intellectual Property</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in any jurisdiction or elects to cease the prosecution or maintenance of any Grant-Back Intellectual Property in any jurisdiction,</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Acquiror will provide Seller with written notice immediately, but not less than [†] ([†]) [†] before any action is required, upon the</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decision to not file or continue the prosecution of such patent application or maintenance of such Patent. In such event, Acquiror</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will permit Seller, in Seller’s sole discretion, to file or continue prosecution or maintenance of any such Grant-Back Intellectual</w:t>
      </w:r>
    </w:p>
    <w:p>
      <w:pPr>
        <w:spacing w:after="0" w:line="25" w:lineRule="exact"/>
        <w:rPr>
          <w:sz w:val="20"/>
          <w:szCs w:val="20"/>
          <w:color w:val="auto"/>
        </w:rPr>
      </w:pPr>
    </w:p>
    <w:p>
      <w:pPr>
        <w:spacing w:after="0"/>
        <w:rPr>
          <w:sz w:val="20"/>
          <w:szCs w:val="20"/>
          <w:color w:val="auto"/>
        </w:rPr>
      </w:pPr>
      <w:r>
        <w:rPr>
          <w:rFonts w:ascii="Arial" w:cs="Arial" w:eastAsia="Arial" w:hAnsi="Arial"/>
          <w:sz w:val="21"/>
          <w:szCs w:val="21"/>
          <w:color w:val="auto"/>
        </w:rPr>
        <w:t>Property in such jurisdiction on Acquiror’s behalf at Seller’s sole expense. If Seller elects to continue such prosecution or</w:t>
      </w:r>
    </w:p>
    <w:p>
      <w:pPr>
        <w:spacing w:after="0" w:line="2" w:lineRule="exact"/>
        <w:rPr>
          <w:sz w:val="20"/>
          <w:szCs w:val="20"/>
          <w:color w:val="auto"/>
        </w:rPr>
      </w:pPr>
    </w:p>
    <w:p>
      <w:pPr>
        <w:spacing w:after="0"/>
        <w:rPr>
          <w:sz w:val="20"/>
          <w:szCs w:val="20"/>
          <w:color w:val="auto"/>
        </w:rPr>
      </w:pPr>
      <w:r>
        <w:rPr>
          <w:rFonts w:ascii="Arial" w:cs="Arial" w:eastAsia="Arial" w:hAnsi="Arial"/>
          <w:sz w:val="19"/>
          <w:szCs w:val="19"/>
          <w:color w:val="auto"/>
        </w:rPr>
        <w:t>maintenance, Acquiror will execute such documents and perform such acts, at Seller’s expense, as may be reasonably necessary to</w:t>
      </w:r>
    </w:p>
    <w:p>
      <w:pPr>
        <w:spacing w:after="0" w:line="25" w:lineRule="exact"/>
        <w:rPr>
          <w:sz w:val="20"/>
          <w:szCs w:val="20"/>
          <w:color w:val="auto"/>
        </w:rPr>
      </w:pPr>
    </w:p>
    <w:p>
      <w:pPr>
        <w:spacing w:after="0"/>
        <w:rPr>
          <w:sz w:val="20"/>
          <w:szCs w:val="20"/>
          <w:color w:val="auto"/>
        </w:rPr>
      </w:pPr>
      <w:r>
        <w:rPr>
          <w:rFonts w:ascii="Arial" w:cs="Arial" w:eastAsia="Arial" w:hAnsi="Arial"/>
          <w:sz w:val="22"/>
          <w:szCs w:val="22"/>
          <w:color w:val="auto"/>
        </w:rPr>
        <w:t>assign to Seller all right, title and interest in and to such Grant-Back Intellectual Property in such jurisdiction.</w:t>
      </w:r>
    </w:p>
    <w:p>
      <w:pPr>
        <w:spacing w:after="0" w:line="200" w:lineRule="exact"/>
        <w:rPr>
          <w:sz w:val="20"/>
          <w:szCs w:val="20"/>
          <w:color w:val="auto"/>
        </w:rPr>
      </w:pPr>
    </w:p>
    <w:p>
      <w:pPr>
        <w:spacing w:after="0" w:line="231"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-9-</w:t>
      </w:r>
    </w:p>
    <w:p>
      <w:pPr>
        <w:spacing w:after="0" w:line="5" w:lineRule="exact"/>
        <w:rPr>
          <w:sz w:val="20"/>
          <w:szCs w:val="20"/>
          <w:color w:val="auto"/>
        </w:rPr>
      </w:pPr>
    </w:p>
    <w:p>
      <w:pPr>
        <w:ind w:firstLine="8"/>
        <w:spacing w:after="0" w:line="237" w:lineRule="auto"/>
        <w:tabs>
          <w:tab w:leader="none" w:pos="204" w:val="left"/>
        </w:tabs>
        <w:numPr>
          <w:ilvl w:val="0"/>
          <w:numId w:val="128"/>
        </w:numPr>
        <w:rPr>
          <w:rFonts w:ascii="Arial" w:cs="Arial" w:eastAsia="Arial" w:hAnsi="Arial"/>
          <w:sz w:val="14"/>
          <w:szCs w:val="14"/>
          <w:color w:val="auto"/>
        </w:rPr>
      </w:pPr>
      <w:r>
        <w:rPr>
          <w:rFonts w:ascii="Arial" w:cs="Arial" w:eastAsia="Arial" w:hAnsi="Arial"/>
          <w:sz w:val="14"/>
          <w:szCs w:val="14"/>
          <w:color w:val="auto"/>
        </w:rPr>
        <w:t>DESIGNATES PORTIONS OF THIS DOCUMENT THAT HAVE BEEN OMITTED PURSUANT TO A REQUEST FOR CONFIDENTIAL TREATMENT FILED SEPARATELY WITH THE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46990</wp:posOffset>
            </wp:positionV>
            <wp:extent cx="7289165"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564" w:right="279" w:bottom="1440" w:gutter="0" w:footer="0" w:header="0"/>
        </w:sectPr>
      </w:pPr>
    </w:p>
    <w:bookmarkStart w:id="100" w:name="page101"/>
    <w:bookmarkEnd w:id="100"/>
    <w:p>
      <w:pPr>
        <w:ind w:firstLine="846"/>
        <w:spacing w:after="0" w:line="270" w:lineRule="auto"/>
        <w:rPr>
          <w:sz w:val="20"/>
          <w:szCs w:val="20"/>
          <w:color w:val="auto"/>
        </w:rPr>
      </w:pPr>
      <w:r>
        <w:rPr>
          <w:rFonts w:ascii="Arial" w:cs="Arial" w:eastAsia="Arial" w:hAnsi="Arial"/>
          <w:sz w:val="19"/>
          <w:szCs w:val="19"/>
          <w:color w:val="auto"/>
        </w:rPr>
        <w:t xml:space="preserve">2.9 </w:t>
      </w:r>
      <w:r>
        <w:rPr>
          <w:rFonts w:ascii="Arial" w:cs="Arial" w:eastAsia="Arial" w:hAnsi="Arial"/>
          <w:sz w:val="19"/>
          <w:szCs w:val="19"/>
          <w:u w:val="single" w:color="auto"/>
          <w:color w:val="auto"/>
        </w:rPr>
        <w:t>Enforcement and Defense of Patent Rights</w:t>
      </w:r>
      <w:r>
        <w:rPr>
          <w:rFonts w:ascii="Arial" w:cs="Arial" w:eastAsia="Arial" w:hAnsi="Arial"/>
          <w:sz w:val="19"/>
          <w:szCs w:val="19"/>
          <w:color w:val="auto"/>
        </w:rPr>
        <w:t>. Except as otherwise provided in this Section 2.9 as between the Parties, Acquiror will have the exclusive right, but not the obligation, to institute litigation or take other steps to remedy any infringement of the Grant-Back Intellectual Property by a Third Party or to defend any declaratory judgment action against any Grant-Bank Intellectual Property (or alternatively that such patent rights are invalid or unenforceable), and any such litigation, steps or defense will be at the Acquiror’s expense. Acquiror will not, without the prior written consent of Seller, enter into any compromise or settlement relating to such litigation that (i) admits the invalidity or unenforceability of any Grant-Back Intellectual Property or (ii) requires either party to abandon any Grant-Back Intellectual Property; provided, that Seller’s consent shall be deemed given if Seller does not respond to Acquiror within [†] ([†]) [†] after delivery of written notice to Seller of such proposed action. Seller will cooperate with the Acquiror in such litigation, steps or defense at Seller’s expense. Seller will have the right to consult with the Acquiror about such litigation and to participate in and be represented by independent counsel in such litigation at Seller’s own expense. If Acquiror fails to defend any declaratory judgment action against any Grant-Back Intellectual Property within [†] ([†]) [†] of its receipt of notice thereof, then Seller will have the right, but not the obligation, upon [†] ([†]) [†] prior notice to Acquiror, to defend such litigation at Seller’s expense. In such event, at Seller’s request and expense, Acquiror will timely commence or join in any such litigation and in any event will cooperate with the Seller in such litigation, steps or defense at the Seller’s expense. Acquiror will have the right to consult with Seller about such litigation and to participate in and be represented by independent counsel in such litigation at Acquiror’s own expense. Seller will not, without the prior written consent of Acquiror, enter into any compromise or settlement relating to such litigation that (i) admits the invalidity or unenforceability of any Grant-Back Intellectual Property or (ii) requires Acquiror to abandon any Grant-Back Intellectual Property. All recoveries collected by the Parties in such litigation, steps or defense will first be allocated between the Parties on a pro rata basis to reimburse the Parties for their costs incurred in connection with such litigation, steps or defense, and any remaining recoveries will be retained by the party controlling such litigation, steps or defense.</w:t>
      </w:r>
    </w:p>
    <w:p>
      <w:pPr>
        <w:spacing w:after="0" w:line="399" w:lineRule="exact"/>
        <w:rPr>
          <w:sz w:val="20"/>
          <w:szCs w:val="20"/>
          <w:color w:val="auto"/>
        </w:rPr>
      </w:pPr>
    </w:p>
    <w:tbl>
      <w:tblPr>
        <w:tblLayout w:type="fixed"/>
        <w:tblInd w:w="860" w:type="dxa"/>
        <w:tblCellMar>
          <w:top w:w="0" w:type="dxa"/>
          <w:left w:w="0" w:type="dxa"/>
          <w:bottom w:w="0" w:type="dxa"/>
          <w:right w:w="0" w:type="dxa"/>
        </w:tblCellMar>
      </w:tblPr>
      <w:tr>
        <w:trPr>
          <w:trHeight w:val="281"/>
        </w:trPr>
        <w:tc>
          <w:tcPr>
            <w:tcW w:w="640" w:type="dxa"/>
            <w:vAlign w:val="bottom"/>
          </w:tcPr>
          <w:p>
            <w:pPr>
              <w:spacing w:after="0"/>
              <w:rPr>
                <w:sz w:val="24"/>
                <w:szCs w:val="24"/>
                <w:color w:val="auto"/>
              </w:rPr>
            </w:pPr>
          </w:p>
        </w:tc>
        <w:tc>
          <w:tcPr>
            <w:tcW w:w="9740" w:type="dxa"/>
            <w:vAlign w:val="bottom"/>
          </w:tcPr>
          <w:p>
            <w:pPr>
              <w:ind w:left="1660"/>
              <w:spacing w:after="0"/>
              <w:rPr>
                <w:sz w:val="20"/>
                <w:szCs w:val="20"/>
                <w:color w:val="auto"/>
              </w:rPr>
            </w:pPr>
            <w:r>
              <w:rPr>
                <w:rFonts w:ascii="Arial" w:cs="Arial" w:eastAsia="Arial" w:hAnsi="Arial"/>
                <w:sz w:val="22"/>
                <w:szCs w:val="22"/>
                <w:b w:val="1"/>
                <w:bCs w:val="1"/>
                <w:color w:val="auto"/>
              </w:rPr>
              <w:t>ARTICLE 3 CLOSING; TERMINATION AND TERM</w:t>
            </w:r>
          </w:p>
        </w:tc>
      </w:tr>
      <w:tr>
        <w:trPr>
          <w:trHeight w:val="446"/>
        </w:trPr>
        <w:tc>
          <w:tcPr>
            <w:tcW w:w="640" w:type="dxa"/>
            <w:vAlign w:val="bottom"/>
          </w:tcPr>
          <w:p>
            <w:pPr>
              <w:jc w:val="right"/>
              <w:ind w:right="272"/>
              <w:spacing w:after="0"/>
              <w:rPr>
                <w:sz w:val="20"/>
                <w:szCs w:val="20"/>
                <w:color w:val="auto"/>
              </w:rPr>
            </w:pPr>
            <w:r>
              <w:rPr>
                <w:rFonts w:ascii="Arial" w:cs="Arial" w:eastAsia="Arial" w:hAnsi="Arial"/>
                <w:sz w:val="22"/>
                <w:szCs w:val="22"/>
                <w:color w:val="auto"/>
                <w:w w:val="78"/>
              </w:rPr>
              <w:t>3.1</w:t>
            </w:r>
          </w:p>
        </w:tc>
        <w:tc>
          <w:tcPr>
            <w:tcW w:w="9740" w:type="dxa"/>
            <w:vAlign w:val="bottom"/>
          </w:tcPr>
          <w:p>
            <w:pPr>
              <w:ind w:left="380"/>
              <w:spacing w:after="0"/>
              <w:rPr>
                <w:sz w:val="20"/>
                <w:szCs w:val="20"/>
                <w:color w:val="auto"/>
              </w:rPr>
            </w:pPr>
            <w:r>
              <w:rPr>
                <w:rFonts w:ascii="Arial" w:cs="Arial" w:eastAsia="Arial" w:hAnsi="Arial"/>
                <w:sz w:val="22"/>
                <w:szCs w:val="22"/>
                <w:u w:val="single" w:color="auto"/>
                <w:color w:val="auto"/>
                <w:w w:val="90"/>
              </w:rPr>
              <w:t>Location; Date</w:t>
            </w:r>
            <w:r>
              <w:rPr>
                <w:rFonts w:ascii="Arial" w:cs="Arial" w:eastAsia="Arial" w:hAnsi="Arial"/>
                <w:sz w:val="22"/>
                <w:szCs w:val="22"/>
                <w:color w:val="auto"/>
                <w:w w:val="90"/>
              </w:rPr>
              <w:t>. The consummation of the Transaction (the “</w:t>
            </w:r>
            <w:r>
              <w:rPr>
                <w:rFonts w:ascii="Arial" w:cs="Arial" w:eastAsia="Arial" w:hAnsi="Arial"/>
                <w:sz w:val="22"/>
                <w:szCs w:val="22"/>
                <w:b w:val="1"/>
                <w:bCs w:val="1"/>
                <w:color w:val="auto"/>
                <w:w w:val="90"/>
              </w:rPr>
              <w:t>Closing</w:t>
            </w:r>
            <w:r>
              <w:rPr>
                <w:rFonts w:ascii="Arial" w:cs="Arial" w:eastAsia="Arial" w:hAnsi="Arial"/>
                <w:sz w:val="22"/>
                <w:szCs w:val="22"/>
                <w:color w:val="auto"/>
                <w:w w:val="90"/>
              </w:rPr>
              <w:t>”) shall be held at the offices of Wyrick</w:t>
            </w:r>
          </w:p>
        </w:tc>
      </w:tr>
    </w:tbl>
    <w:p>
      <w:pPr>
        <w:ind w:right="60"/>
        <w:spacing w:after="0" w:line="233" w:lineRule="auto"/>
        <w:rPr>
          <w:sz w:val="20"/>
          <w:szCs w:val="20"/>
          <w:color w:val="auto"/>
        </w:rPr>
      </w:pPr>
      <w:r>
        <w:rPr>
          <w:rFonts w:ascii="Arial" w:cs="Arial" w:eastAsia="Arial" w:hAnsi="Arial"/>
          <w:sz w:val="22"/>
          <w:szCs w:val="22"/>
          <w:color w:val="auto"/>
        </w:rPr>
        <w:t xml:space="preserve">Robbins Yates &amp; Ponton, LLP, at 4101 Lake Boone Trail, Suite 300, Raleigh, NC 27607 on a date which shall be no later than [†] ([†]) [†] after satisfaction or waiver of the conditions set forth in </w:t>
      </w:r>
      <w:r>
        <w:rPr>
          <w:rFonts w:ascii="Arial" w:cs="Arial" w:eastAsia="Arial" w:hAnsi="Arial"/>
          <w:sz w:val="22"/>
          <w:szCs w:val="22"/>
          <w:u w:val="single" w:color="auto"/>
          <w:color w:val="auto"/>
        </w:rPr>
        <w:t>ARTICLE 9</w:t>
      </w:r>
      <w:r>
        <w:rPr>
          <w:rFonts w:ascii="Arial" w:cs="Arial" w:eastAsia="Arial" w:hAnsi="Arial"/>
          <w:sz w:val="22"/>
          <w:szCs w:val="22"/>
          <w:color w:val="auto"/>
        </w:rPr>
        <w:t xml:space="preserve"> or at such other date and place as may be mutually agreed upon by Acquiror and Seller (the “</w:t>
      </w:r>
      <w:r>
        <w:rPr>
          <w:rFonts w:ascii="Arial" w:cs="Arial" w:eastAsia="Arial" w:hAnsi="Arial"/>
          <w:sz w:val="22"/>
          <w:szCs w:val="22"/>
          <w:b w:val="1"/>
          <w:bCs w:val="1"/>
          <w:color w:val="auto"/>
        </w:rPr>
        <w:t>Closing Date</w:t>
      </w:r>
      <w:r>
        <w:rPr>
          <w:rFonts w:ascii="Arial" w:cs="Arial" w:eastAsia="Arial" w:hAnsi="Arial"/>
          <w:sz w:val="22"/>
          <w:szCs w:val="22"/>
          <w:color w:val="auto"/>
        </w:rPr>
        <w:t>”). The Closing shall be effective for all purposes as of 11:59 p.m. (Eastern Time) on the Closing Date.</w:t>
      </w:r>
    </w:p>
    <w:p>
      <w:pPr>
        <w:spacing w:after="0" w:line="188" w:lineRule="exact"/>
        <w:rPr>
          <w:sz w:val="20"/>
          <w:szCs w:val="20"/>
          <w:color w:val="auto"/>
        </w:rPr>
      </w:pPr>
    </w:p>
    <w:p>
      <w:pPr>
        <w:ind w:right="160" w:firstLine="846"/>
        <w:spacing w:after="0" w:line="251" w:lineRule="auto"/>
        <w:rPr>
          <w:sz w:val="20"/>
          <w:szCs w:val="20"/>
          <w:color w:val="auto"/>
        </w:rPr>
      </w:pPr>
      <w:r>
        <w:rPr>
          <w:rFonts w:ascii="Arial" w:cs="Arial" w:eastAsia="Arial" w:hAnsi="Arial"/>
          <w:sz w:val="22"/>
          <w:szCs w:val="22"/>
          <w:color w:val="auto"/>
        </w:rPr>
        <w:t xml:space="preserve">3.2 </w:t>
      </w:r>
      <w:r>
        <w:rPr>
          <w:rFonts w:ascii="Arial" w:cs="Arial" w:eastAsia="Arial" w:hAnsi="Arial"/>
          <w:sz w:val="22"/>
          <w:szCs w:val="22"/>
          <w:u w:val="single" w:color="auto"/>
          <w:color w:val="auto"/>
        </w:rPr>
        <w:t>Deliveries</w:t>
      </w:r>
      <w:r>
        <w:rPr>
          <w:rFonts w:ascii="Arial" w:cs="Arial" w:eastAsia="Arial" w:hAnsi="Arial"/>
          <w:sz w:val="22"/>
          <w:szCs w:val="22"/>
          <w:color w:val="auto"/>
        </w:rPr>
        <w:t>. At the Closing and as a condition to Closing, Seller shall deliver or cause to be delivered each of the following to Acquiror, unless Acquiror waives the delivery thereof:</w:t>
      </w:r>
    </w:p>
    <w:p>
      <w:pPr>
        <w:spacing w:after="0" w:line="173" w:lineRule="exact"/>
        <w:rPr>
          <w:sz w:val="20"/>
          <w:szCs w:val="20"/>
          <w:color w:val="auto"/>
        </w:rPr>
      </w:pPr>
    </w:p>
    <w:p>
      <w:pPr>
        <w:ind w:left="3500" w:hanging="956"/>
        <w:spacing w:after="0"/>
        <w:tabs>
          <w:tab w:leader="none" w:pos="3500" w:val="left"/>
        </w:tabs>
        <w:numPr>
          <w:ilvl w:val="0"/>
          <w:numId w:val="129"/>
        </w:numPr>
        <w:rPr>
          <w:rFonts w:ascii="Arial" w:cs="Arial" w:eastAsia="Arial" w:hAnsi="Arial"/>
          <w:sz w:val="19"/>
          <w:szCs w:val="19"/>
          <w:color w:val="auto"/>
        </w:rPr>
      </w:pPr>
      <w:r>
        <w:rPr>
          <w:rFonts w:ascii="Arial" w:cs="Arial" w:eastAsia="Arial" w:hAnsi="Arial"/>
          <w:sz w:val="19"/>
          <w:szCs w:val="19"/>
          <w:color w:val="auto"/>
        </w:rPr>
        <w:t>Evidence reasonably satisfactory to Acquiror that the tangible drug substance material</w:t>
      </w:r>
    </w:p>
    <w:p>
      <w:pPr>
        <w:spacing w:after="0" w:line="4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currently stored with [†] will be shipped to the address provided by the Acquiror to the Seller [†];</w:t>
      </w:r>
    </w:p>
    <w:p>
      <w:pPr>
        <w:spacing w:after="0" w:line="188" w:lineRule="exact"/>
        <w:rPr>
          <w:rFonts w:ascii="Arial" w:cs="Arial" w:eastAsia="Arial" w:hAnsi="Arial"/>
          <w:sz w:val="19"/>
          <w:szCs w:val="19"/>
          <w:color w:val="auto"/>
        </w:rPr>
      </w:pPr>
    </w:p>
    <w:p>
      <w:pPr>
        <w:ind w:right="260" w:firstLine="2544"/>
        <w:spacing w:after="0" w:line="328" w:lineRule="auto"/>
        <w:tabs>
          <w:tab w:leader="none" w:pos="3502" w:val="left"/>
        </w:tabs>
        <w:numPr>
          <w:ilvl w:val="0"/>
          <w:numId w:val="129"/>
        </w:numPr>
        <w:rPr>
          <w:rFonts w:ascii="Arial" w:cs="Arial" w:eastAsia="Arial" w:hAnsi="Arial"/>
          <w:sz w:val="19"/>
          <w:szCs w:val="19"/>
          <w:color w:val="auto"/>
        </w:rPr>
      </w:pPr>
      <w:r>
        <w:rPr>
          <w:rFonts w:ascii="Arial" w:cs="Arial" w:eastAsia="Arial" w:hAnsi="Arial"/>
          <w:sz w:val="19"/>
          <w:szCs w:val="19"/>
          <w:color w:val="auto"/>
        </w:rPr>
        <w:t>Evidence reasonably satisfactory to Acquiror that any and all physical files, reports, data and other documentation related to Compound will be shipped to the address provided by the Acquiror to the Seller [†];</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-10-</w:t>
      </w:r>
    </w:p>
    <w:p>
      <w:pPr>
        <w:spacing w:after="0" w:line="5" w:lineRule="exact"/>
        <w:rPr>
          <w:sz w:val="20"/>
          <w:szCs w:val="20"/>
          <w:color w:val="auto"/>
        </w:rPr>
      </w:pPr>
    </w:p>
    <w:p>
      <w:pPr>
        <w:ind w:right="40" w:firstLine="8"/>
        <w:spacing w:after="0" w:line="237" w:lineRule="auto"/>
        <w:tabs>
          <w:tab w:leader="none" w:pos="204" w:val="left"/>
        </w:tabs>
        <w:numPr>
          <w:ilvl w:val="0"/>
          <w:numId w:val="130"/>
        </w:numPr>
        <w:rPr>
          <w:rFonts w:ascii="Arial" w:cs="Arial" w:eastAsia="Arial" w:hAnsi="Arial"/>
          <w:sz w:val="14"/>
          <w:szCs w:val="14"/>
          <w:color w:val="auto"/>
        </w:rPr>
      </w:pPr>
      <w:r>
        <w:rPr>
          <w:rFonts w:ascii="Arial" w:cs="Arial" w:eastAsia="Arial" w:hAnsi="Arial"/>
          <w:sz w:val="14"/>
          <w:szCs w:val="14"/>
          <w:color w:val="auto"/>
        </w:rPr>
        <w:t>DESIGNATES PORTIONS OF THIS DOCUMENT THAT HAVE BEEN OMITTED PURSUANT TO A REQUEST FOR CONFIDENTIAL TREATMENT FILED SEPARATELY WITH THE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46990</wp:posOffset>
            </wp:positionV>
            <wp:extent cx="7289165"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64" w:right="239" w:bottom="1440" w:gutter="0" w:footer="0" w:header="0"/>
        </w:sectPr>
      </w:pPr>
    </w:p>
    <w:bookmarkStart w:id="101" w:name="page102"/>
    <w:bookmarkEnd w:id="101"/>
    <w:p>
      <w:pPr>
        <w:jc w:val="both"/>
        <w:ind w:left="-8" w:right="700" w:firstLine="2544"/>
        <w:spacing w:after="0" w:line="258" w:lineRule="auto"/>
        <w:tabs>
          <w:tab w:leader="none" w:pos="3500" w:val="left"/>
        </w:tabs>
        <w:numPr>
          <w:ilvl w:val="0"/>
          <w:numId w:val="131"/>
        </w:numPr>
        <w:rPr>
          <w:rFonts w:ascii="Arial" w:cs="Arial" w:eastAsia="Arial" w:hAnsi="Arial"/>
          <w:sz w:val="21"/>
          <w:szCs w:val="21"/>
          <w:color w:val="auto"/>
        </w:rPr>
      </w:pPr>
      <w:r>
        <w:rPr>
          <w:rFonts w:ascii="Arial" w:cs="Arial" w:eastAsia="Arial" w:hAnsi="Arial"/>
          <w:sz w:val="21"/>
          <w:szCs w:val="21"/>
          <w:color w:val="auto"/>
        </w:rPr>
        <w:t>Evidence reasonably satisfactory to Acquiror that each consent, approval, order or authorization of, or registration, declaration or filing with any Person required in connection with the execution, delivery or performance of this Agreement has been obtained or made and is in full force and effect;</w:t>
      </w:r>
    </w:p>
    <w:p>
      <w:pPr>
        <w:spacing w:after="0" w:line="166" w:lineRule="exact"/>
        <w:rPr>
          <w:rFonts w:ascii="Arial" w:cs="Arial" w:eastAsia="Arial" w:hAnsi="Arial"/>
          <w:sz w:val="21"/>
          <w:szCs w:val="21"/>
          <w:color w:val="auto"/>
        </w:rPr>
      </w:pPr>
    </w:p>
    <w:p>
      <w:pPr>
        <w:jc w:val="both"/>
        <w:ind w:left="-8" w:right="120" w:firstLine="2544"/>
        <w:spacing w:after="0"/>
        <w:tabs>
          <w:tab w:leader="none" w:pos="3488" w:val="left"/>
        </w:tabs>
        <w:numPr>
          <w:ilvl w:val="0"/>
          <w:numId w:val="131"/>
        </w:numPr>
        <w:rPr>
          <w:rFonts w:ascii="Arial" w:cs="Arial" w:eastAsia="Arial" w:hAnsi="Arial"/>
          <w:sz w:val="22"/>
          <w:szCs w:val="22"/>
          <w:color w:val="auto"/>
        </w:rPr>
      </w:pPr>
      <w:r>
        <w:rPr>
          <w:rFonts w:ascii="Arial" w:cs="Arial" w:eastAsia="Arial" w:hAnsi="Arial"/>
          <w:sz w:val="22"/>
          <w:szCs w:val="22"/>
          <w:color w:val="auto"/>
        </w:rPr>
        <w:t>Transfer documents in form and substance reasonably satisfactory to Acquiror required to transfer the Compound Intellectual Property that is registered Compound Intellectual Property to Acquiror as of the Closing Date, duly executed by an authorized officer of Seller;</w:t>
      </w:r>
    </w:p>
    <w:p>
      <w:pPr>
        <w:spacing w:after="0" w:line="186" w:lineRule="exact"/>
        <w:rPr>
          <w:rFonts w:ascii="Arial" w:cs="Arial" w:eastAsia="Arial" w:hAnsi="Arial"/>
          <w:sz w:val="22"/>
          <w:szCs w:val="22"/>
          <w:color w:val="auto"/>
        </w:rPr>
      </w:pPr>
    </w:p>
    <w:p>
      <w:pPr>
        <w:ind w:left="-8" w:right="120" w:firstLine="2544"/>
        <w:spacing w:after="0" w:line="251" w:lineRule="auto"/>
        <w:tabs>
          <w:tab w:leader="none" w:pos="3478" w:val="left"/>
        </w:tabs>
        <w:numPr>
          <w:ilvl w:val="0"/>
          <w:numId w:val="131"/>
        </w:numPr>
        <w:rPr>
          <w:rFonts w:ascii="Arial" w:cs="Arial" w:eastAsia="Arial" w:hAnsi="Arial"/>
          <w:sz w:val="22"/>
          <w:szCs w:val="22"/>
          <w:color w:val="auto"/>
        </w:rPr>
      </w:pPr>
      <w:r>
        <w:rPr>
          <w:rFonts w:ascii="Arial" w:cs="Arial" w:eastAsia="Arial" w:hAnsi="Arial"/>
          <w:sz w:val="22"/>
          <w:szCs w:val="22"/>
          <w:color w:val="auto"/>
        </w:rPr>
        <w:t>Termination or other modification of the Confidentiality Agreement reasonably necessary for Acquiror to commercialize and develop the Compound after Closing; and</w:t>
      </w:r>
    </w:p>
    <w:p>
      <w:pPr>
        <w:spacing w:after="0" w:line="173" w:lineRule="exact"/>
        <w:rPr>
          <w:rFonts w:ascii="Arial" w:cs="Arial" w:eastAsia="Arial" w:hAnsi="Arial"/>
          <w:sz w:val="22"/>
          <w:szCs w:val="22"/>
          <w:color w:val="auto"/>
        </w:rPr>
      </w:pPr>
    </w:p>
    <w:p>
      <w:pPr>
        <w:ind w:left="-8" w:right="100" w:firstLine="2544"/>
        <w:spacing w:after="0" w:line="297" w:lineRule="auto"/>
        <w:tabs>
          <w:tab w:leader="none" w:pos="3488" w:val="left"/>
        </w:tabs>
        <w:numPr>
          <w:ilvl w:val="0"/>
          <w:numId w:val="131"/>
        </w:numPr>
        <w:rPr>
          <w:rFonts w:ascii="Arial" w:cs="Arial" w:eastAsia="Arial" w:hAnsi="Arial"/>
          <w:sz w:val="19"/>
          <w:szCs w:val="19"/>
          <w:color w:val="auto"/>
        </w:rPr>
      </w:pPr>
      <w:r>
        <w:rPr>
          <w:rFonts w:ascii="Arial" w:cs="Arial" w:eastAsia="Arial" w:hAnsi="Arial"/>
          <w:sz w:val="19"/>
          <w:szCs w:val="19"/>
          <w:color w:val="auto"/>
        </w:rPr>
        <w:t>Such other and further certificates, assurances and documents as Seller may reasonably request in order to evidence the accuracy of Seller’s representations and warranties, the performance of covenants to be performed by Seller at or prior to the Closing and the fulfillment of the conditions to Acquiror’s obligations hereunder.</w:t>
      </w:r>
    </w:p>
    <w:p>
      <w:pPr>
        <w:spacing w:after="0" w:line="134" w:lineRule="exact"/>
        <w:rPr>
          <w:sz w:val="20"/>
          <w:szCs w:val="20"/>
          <w:color w:val="auto"/>
        </w:rPr>
      </w:pPr>
    </w:p>
    <w:p>
      <w:pPr>
        <w:ind w:left="852"/>
        <w:spacing w:after="0"/>
        <w:tabs>
          <w:tab w:leader="none" w:pos="1852" w:val="left"/>
        </w:tabs>
        <w:rPr>
          <w:sz w:val="20"/>
          <w:szCs w:val="20"/>
          <w:color w:val="auto"/>
        </w:rPr>
      </w:pPr>
      <w:r>
        <w:rPr>
          <w:rFonts w:ascii="Arial" w:cs="Arial" w:eastAsia="Arial" w:hAnsi="Arial"/>
          <w:sz w:val="22"/>
          <w:szCs w:val="22"/>
          <w:color w:val="auto"/>
        </w:rPr>
        <w:t>3.3</w:t>
      </w:r>
      <w:r>
        <w:rPr>
          <w:sz w:val="20"/>
          <w:szCs w:val="20"/>
          <w:color w:val="auto"/>
        </w:rPr>
        <w:tab/>
      </w:r>
      <w:r>
        <w:rPr>
          <w:rFonts w:ascii="Arial" w:cs="Arial" w:eastAsia="Arial" w:hAnsi="Arial"/>
          <w:sz w:val="19"/>
          <w:szCs w:val="19"/>
          <w:u w:val="single" w:color="auto"/>
          <w:color w:val="auto"/>
        </w:rPr>
        <w:t>Termination</w:t>
      </w:r>
      <w:r>
        <w:rPr>
          <w:rFonts w:ascii="Arial" w:cs="Arial" w:eastAsia="Arial" w:hAnsi="Arial"/>
          <w:sz w:val="19"/>
          <w:szCs w:val="19"/>
          <w:color w:val="auto"/>
        </w:rPr>
        <w:t>.</w:t>
      </w:r>
    </w:p>
    <w:p>
      <w:pPr>
        <w:spacing w:after="0" w:line="206" w:lineRule="exact"/>
        <w:rPr>
          <w:sz w:val="20"/>
          <w:szCs w:val="20"/>
          <w:color w:val="auto"/>
        </w:rPr>
      </w:pPr>
    </w:p>
    <w:p>
      <w:pPr>
        <w:ind w:left="2572" w:hanging="882"/>
        <w:spacing w:after="0"/>
        <w:tabs>
          <w:tab w:leader="none" w:pos="2572" w:val="left"/>
        </w:tabs>
        <w:numPr>
          <w:ilvl w:val="0"/>
          <w:numId w:val="132"/>
        </w:numPr>
        <w:rPr>
          <w:rFonts w:ascii="Arial" w:cs="Arial" w:eastAsia="Arial" w:hAnsi="Arial"/>
          <w:sz w:val="22"/>
          <w:szCs w:val="22"/>
          <w:color w:val="auto"/>
        </w:rPr>
      </w:pPr>
      <w:r>
        <w:rPr>
          <w:rFonts w:ascii="Arial" w:cs="Arial" w:eastAsia="Arial" w:hAnsi="Arial"/>
          <w:sz w:val="22"/>
          <w:szCs w:val="22"/>
          <w:color w:val="auto"/>
        </w:rPr>
        <w:t>This Agreement may be terminated on or prior to the Closing Date only as follows:</w:t>
      </w:r>
    </w:p>
    <w:p>
      <w:pPr>
        <w:spacing w:after="0" w:line="206" w:lineRule="exact"/>
        <w:rPr>
          <w:rFonts w:ascii="Arial" w:cs="Arial" w:eastAsia="Arial" w:hAnsi="Arial"/>
          <w:sz w:val="22"/>
          <w:szCs w:val="22"/>
          <w:color w:val="auto"/>
        </w:rPr>
      </w:pPr>
    </w:p>
    <w:p>
      <w:pPr>
        <w:ind w:left="3492" w:hanging="956"/>
        <w:spacing w:after="0"/>
        <w:tabs>
          <w:tab w:leader="none" w:pos="3492" w:val="left"/>
        </w:tabs>
        <w:numPr>
          <w:ilvl w:val="1"/>
          <w:numId w:val="132"/>
        </w:numPr>
        <w:rPr>
          <w:rFonts w:ascii="Arial" w:cs="Arial" w:eastAsia="Arial" w:hAnsi="Arial"/>
          <w:sz w:val="22"/>
          <w:szCs w:val="22"/>
          <w:color w:val="auto"/>
        </w:rPr>
      </w:pPr>
      <w:r>
        <w:rPr>
          <w:rFonts w:ascii="Arial" w:cs="Arial" w:eastAsia="Arial" w:hAnsi="Arial"/>
          <w:sz w:val="22"/>
          <w:szCs w:val="22"/>
          <w:color w:val="auto"/>
        </w:rPr>
        <w:t>by mutual written consent of Acquiror and Seller;</w:t>
      </w:r>
    </w:p>
    <w:p>
      <w:pPr>
        <w:spacing w:after="0" w:line="206" w:lineRule="exact"/>
        <w:rPr>
          <w:rFonts w:ascii="Arial" w:cs="Arial" w:eastAsia="Arial" w:hAnsi="Arial"/>
          <w:sz w:val="22"/>
          <w:szCs w:val="22"/>
          <w:color w:val="auto"/>
        </w:rPr>
      </w:pPr>
    </w:p>
    <w:p>
      <w:pPr>
        <w:jc w:val="both"/>
        <w:ind w:left="-8" w:right="100" w:firstLine="2544"/>
        <w:spacing w:after="0" w:line="236" w:lineRule="auto"/>
        <w:tabs>
          <w:tab w:leader="none" w:pos="3494" w:val="left"/>
        </w:tabs>
        <w:numPr>
          <w:ilvl w:val="1"/>
          <w:numId w:val="132"/>
        </w:numPr>
        <w:rPr>
          <w:rFonts w:ascii="Arial" w:cs="Arial" w:eastAsia="Arial" w:hAnsi="Arial"/>
          <w:sz w:val="22"/>
          <w:szCs w:val="22"/>
          <w:color w:val="auto"/>
        </w:rPr>
      </w:pPr>
      <w:r>
        <w:rPr>
          <w:rFonts w:ascii="Arial" w:cs="Arial" w:eastAsia="Arial" w:hAnsi="Arial"/>
          <w:sz w:val="22"/>
          <w:szCs w:val="22"/>
          <w:color w:val="auto"/>
        </w:rPr>
        <w:t xml:space="preserve">by either Acquiror or Seller if a court of competent jurisdiction shall have issued an order, decree or ruling permanently restraining, enjoining or otherwise prohibiting the Transaction, and such order, decree or ruling shall have become final and nonappealable; </w:t>
      </w:r>
      <w:r>
        <w:rPr>
          <w:rFonts w:ascii="Arial" w:cs="Arial" w:eastAsia="Arial" w:hAnsi="Arial"/>
          <w:sz w:val="22"/>
          <w:szCs w:val="22"/>
          <w:i w:val="1"/>
          <w:iCs w:val="1"/>
          <w:color w:val="auto"/>
        </w:rPr>
        <w:t>provided</w:t>
      </w:r>
      <w:r>
        <w:rPr>
          <w:rFonts w:ascii="Arial" w:cs="Arial" w:eastAsia="Arial" w:hAnsi="Arial"/>
          <w:sz w:val="22"/>
          <w:szCs w:val="22"/>
          <w:color w:val="auto"/>
        </w:rPr>
        <w:t xml:space="preserve">, </w:t>
      </w:r>
      <w:r>
        <w:rPr>
          <w:rFonts w:ascii="Arial" w:cs="Arial" w:eastAsia="Arial" w:hAnsi="Arial"/>
          <w:sz w:val="22"/>
          <w:szCs w:val="22"/>
          <w:i w:val="1"/>
          <w:iCs w:val="1"/>
          <w:color w:val="auto"/>
        </w:rPr>
        <w:t>however</w:t>
      </w:r>
      <w:r>
        <w:rPr>
          <w:rFonts w:ascii="Arial" w:cs="Arial" w:eastAsia="Arial" w:hAnsi="Arial"/>
          <w:sz w:val="22"/>
          <w:szCs w:val="22"/>
          <w:color w:val="auto"/>
        </w:rPr>
        <w:t xml:space="preserve">, that the right to terminate this Agreement under this </w:t>
      </w:r>
      <w:r>
        <w:rPr>
          <w:rFonts w:ascii="Arial" w:cs="Arial" w:eastAsia="Arial" w:hAnsi="Arial"/>
          <w:sz w:val="22"/>
          <w:szCs w:val="22"/>
          <w:u w:val="single" w:color="auto"/>
          <w:color w:val="auto"/>
        </w:rPr>
        <w:t>Section 3.3(a)(ii)</w:t>
      </w:r>
      <w:r>
        <w:rPr>
          <w:rFonts w:ascii="Arial" w:cs="Arial" w:eastAsia="Arial" w:hAnsi="Arial"/>
          <w:sz w:val="22"/>
          <w:szCs w:val="22"/>
          <w:color w:val="auto"/>
        </w:rPr>
        <w:t xml:space="preserve"> shall not be available to a party if such order, decree or ruling was primarily due to the failure of such party to perform any of its obligations under this Agreement;</w:t>
      </w:r>
    </w:p>
    <w:p>
      <w:pPr>
        <w:spacing w:after="0" w:line="187" w:lineRule="exact"/>
        <w:rPr>
          <w:rFonts w:ascii="Arial" w:cs="Arial" w:eastAsia="Arial" w:hAnsi="Arial"/>
          <w:sz w:val="22"/>
          <w:szCs w:val="22"/>
          <w:color w:val="auto"/>
        </w:rPr>
      </w:pPr>
    </w:p>
    <w:p>
      <w:pPr>
        <w:ind w:left="-8" w:right="220" w:firstLine="2544"/>
        <w:spacing w:after="0" w:line="236" w:lineRule="auto"/>
        <w:tabs>
          <w:tab w:leader="none" w:pos="3500" w:val="left"/>
        </w:tabs>
        <w:numPr>
          <w:ilvl w:val="1"/>
          <w:numId w:val="132"/>
        </w:numPr>
        <w:rPr>
          <w:rFonts w:ascii="Arial" w:cs="Arial" w:eastAsia="Arial" w:hAnsi="Arial"/>
          <w:sz w:val="22"/>
          <w:szCs w:val="22"/>
          <w:color w:val="auto"/>
        </w:rPr>
      </w:pPr>
      <w:r>
        <w:rPr>
          <w:rFonts w:ascii="Arial" w:cs="Arial" w:eastAsia="Arial" w:hAnsi="Arial"/>
          <w:sz w:val="22"/>
          <w:szCs w:val="22"/>
          <w:color w:val="auto"/>
        </w:rPr>
        <w:t xml:space="preserve">by Acquiror if Acquiror is not in material breach of its obligations under this Agreement and there has been a material breach of any representation, warranty, covenant, or agreement of the Seller contained in this Agreement such that the conditions set forth in </w:t>
      </w:r>
      <w:r>
        <w:rPr>
          <w:rFonts w:ascii="Arial" w:cs="Arial" w:eastAsia="Arial" w:hAnsi="Arial"/>
          <w:sz w:val="22"/>
          <w:szCs w:val="22"/>
          <w:u w:val="single" w:color="auto"/>
          <w:color w:val="auto"/>
        </w:rPr>
        <w:t>Section 9.2</w:t>
      </w:r>
      <w:r>
        <w:rPr>
          <w:rFonts w:ascii="Arial" w:cs="Arial" w:eastAsia="Arial" w:hAnsi="Arial"/>
          <w:sz w:val="22"/>
          <w:szCs w:val="22"/>
          <w:color w:val="auto"/>
        </w:rPr>
        <w:t xml:space="preserve"> would not be satisfied and such breach has not been cured within [†] ([†]) [†] after written notice thereof to the Seller; provided that no cure period shall be required for a breach which by its nature cannot be cured; or</w:t>
      </w:r>
    </w:p>
    <w:p>
      <w:pPr>
        <w:spacing w:after="0" w:line="187" w:lineRule="exact"/>
        <w:rPr>
          <w:rFonts w:ascii="Arial" w:cs="Arial" w:eastAsia="Arial" w:hAnsi="Arial"/>
          <w:sz w:val="22"/>
          <w:szCs w:val="22"/>
          <w:color w:val="auto"/>
        </w:rPr>
      </w:pPr>
    </w:p>
    <w:p>
      <w:pPr>
        <w:jc w:val="both"/>
        <w:ind w:left="-8" w:right="100" w:firstLine="2544"/>
        <w:spacing w:after="0" w:line="287" w:lineRule="auto"/>
        <w:tabs>
          <w:tab w:leader="none" w:pos="3488" w:val="left"/>
        </w:tabs>
        <w:numPr>
          <w:ilvl w:val="1"/>
          <w:numId w:val="132"/>
        </w:numPr>
        <w:rPr>
          <w:rFonts w:ascii="Arial" w:cs="Arial" w:eastAsia="Arial" w:hAnsi="Arial"/>
          <w:sz w:val="19"/>
          <w:szCs w:val="19"/>
          <w:color w:val="auto"/>
        </w:rPr>
      </w:pPr>
      <w:r>
        <w:rPr>
          <w:rFonts w:ascii="Arial" w:cs="Arial" w:eastAsia="Arial" w:hAnsi="Arial"/>
          <w:sz w:val="19"/>
          <w:szCs w:val="19"/>
          <w:color w:val="auto"/>
        </w:rPr>
        <w:t xml:space="preserve">by the Seller if Seller is not in material breach of its obligations under this Agreement and there has been a material breach of any representation, warranty, covenant, or agreement of Acquiror contained in this Agreement such that the conditions set forth in </w:t>
      </w:r>
      <w:r>
        <w:rPr>
          <w:rFonts w:ascii="Arial" w:cs="Arial" w:eastAsia="Arial" w:hAnsi="Arial"/>
          <w:sz w:val="19"/>
          <w:szCs w:val="19"/>
          <w:u w:val="single" w:color="auto"/>
          <w:color w:val="auto"/>
        </w:rPr>
        <w:t>Section 9.3</w:t>
      </w:r>
      <w:r>
        <w:rPr>
          <w:rFonts w:ascii="Arial" w:cs="Arial" w:eastAsia="Arial" w:hAnsi="Arial"/>
          <w:sz w:val="19"/>
          <w:szCs w:val="19"/>
          <w:color w:val="auto"/>
        </w:rPr>
        <w:t xml:space="preserve"> would not be satisfied and such breach has not been cured within [†] ([†]) [†] after written notice thereof to Acquiror; provided that no cure period shall be required for a breach which by its nature cannot be cured.</w:t>
      </w:r>
    </w:p>
    <w:p>
      <w:pPr>
        <w:spacing w:after="0" w:line="386" w:lineRule="exact"/>
        <w:rPr>
          <w:sz w:val="20"/>
          <w:szCs w:val="20"/>
          <w:color w:val="auto"/>
        </w:rPr>
      </w:pPr>
    </w:p>
    <w:p>
      <w:pPr>
        <w:jc w:val="center"/>
        <w:ind w:right="-31"/>
        <w:spacing w:after="0"/>
        <w:rPr>
          <w:sz w:val="20"/>
          <w:szCs w:val="20"/>
          <w:color w:val="auto"/>
        </w:rPr>
      </w:pPr>
      <w:r>
        <w:rPr>
          <w:rFonts w:ascii="Arial" w:cs="Arial" w:eastAsia="Arial" w:hAnsi="Arial"/>
          <w:sz w:val="22"/>
          <w:szCs w:val="22"/>
          <w:color w:val="auto"/>
        </w:rPr>
        <w:t>-11-</w:t>
      </w:r>
    </w:p>
    <w:p>
      <w:pPr>
        <w:spacing w:after="0" w:line="5" w:lineRule="exact"/>
        <w:rPr>
          <w:sz w:val="20"/>
          <w:szCs w:val="20"/>
          <w:color w:val="auto"/>
        </w:rPr>
      </w:pPr>
    </w:p>
    <w:p>
      <w:pPr>
        <w:ind w:left="-8" w:firstLine="8"/>
        <w:spacing w:after="0" w:line="237" w:lineRule="auto"/>
        <w:tabs>
          <w:tab w:leader="none" w:pos="196" w:val="left"/>
        </w:tabs>
        <w:numPr>
          <w:ilvl w:val="0"/>
          <w:numId w:val="133"/>
        </w:numPr>
        <w:rPr>
          <w:rFonts w:ascii="Arial" w:cs="Arial" w:eastAsia="Arial" w:hAnsi="Arial"/>
          <w:sz w:val="14"/>
          <w:szCs w:val="14"/>
          <w:color w:val="auto"/>
        </w:rPr>
      </w:pPr>
      <w:r>
        <w:rPr>
          <w:rFonts w:ascii="Arial" w:cs="Arial" w:eastAsia="Arial" w:hAnsi="Arial"/>
          <w:sz w:val="14"/>
          <w:szCs w:val="14"/>
          <w:color w:val="auto"/>
        </w:rPr>
        <w:t>DESIGNATES PORTIONS OF THIS DOCUMENT THAT HAVE BEEN OMITTED PURSUANT TO A REQUEST FOR CONFIDENTIAL TREATMENT FILED SEPARATELY WITH THE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46990</wp:posOffset>
            </wp:positionV>
            <wp:extent cx="7289165"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72"/>
          </w:cols>
          <w:pgMar w:left="248" w:top="564" w:right="279" w:bottom="1440" w:gutter="0" w:footer="0" w:header="0"/>
        </w:sectPr>
      </w:pPr>
    </w:p>
    <w:bookmarkStart w:id="102" w:name="page103"/>
    <w:bookmarkEnd w:id="102"/>
    <w:p>
      <w:pPr>
        <w:ind w:right="320" w:firstLine="1698"/>
        <w:spacing w:after="0"/>
        <w:tabs>
          <w:tab w:leader="none" w:pos="2590" w:val="left"/>
        </w:tabs>
        <w:numPr>
          <w:ilvl w:val="0"/>
          <w:numId w:val="134"/>
        </w:numPr>
        <w:rPr>
          <w:rFonts w:ascii="Arial" w:cs="Arial" w:eastAsia="Arial" w:hAnsi="Arial"/>
          <w:sz w:val="22"/>
          <w:szCs w:val="22"/>
          <w:color w:val="auto"/>
        </w:rPr>
      </w:pPr>
      <w:r>
        <w:rPr>
          <w:rFonts w:ascii="Arial" w:cs="Arial" w:eastAsia="Arial" w:hAnsi="Arial"/>
          <w:sz w:val="22"/>
          <w:szCs w:val="22"/>
          <w:color w:val="auto"/>
        </w:rPr>
        <w:t>The termination of this Agreement by Acquiror shall be effectuated by the delivery by Acquiror to the Seller of a written notice of such termination. The termination of this Agreement by the Seller shall be effectuated by the delivery by the Seller to Acquiror of a written notice of such termination.</w:t>
      </w:r>
    </w:p>
    <w:p>
      <w:pPr>
        <w:spacing w:after="0" w:line="186" w:lineRule="exact"/>
        <w:rPr>
          <w:rFonts w:ascii="Arial" w:cs="Arial" w:eastAsia="Arial" w:hAnsi="Arial"/>
          <w:sz w:val="22"/>
          <w:szCs w:val="22"/>
          <w:color w:val="auto"/>
        </w:rPr>
      </w:pPr>
    </w:p>
    <w:p>
      <w:pPr>
        <w:ind w:right="20" w:firstLine="1698"/>
        <w:spacing w:after="0" w:line="277" w:lineRule="auto"/>
        <w:tabs>
          <w:tab w:leader="none" w:pos="2578" w:val="left"/>
        </w:tabs>
        <w:numPr>
          <w:ilvl w:val="0"/>
          <w:numId w:val="134"/>
        </w:numPr>
        <w:rPr>
          <w:rFonts w:ascii="Arial" w:cs="Arial" w:eastAsia="Arial" w:hAnsi="Arial"/>
          <w:sz w:val="19"/>
          <w:szCs w:val="19"/>
          <w:color w:val="auto"/>
        </w:rPr>
      </w:pPr>
      <w:r>
        <w:rPr>
          <w:rFonts w:ascii="Arial" w:cs="Arial" w:eastAsia="Arial" w:hAnsi="Arial"/>
          <w:sz w:val="19"/>
          <w:szCs w:val="19"/>
          <w:color w:val="auto"/>
        </w:rPr>
        <w:t xml:space="preserve">In the event of the termination of this Agreement pursuant to this </w:t>
      </w:r>
      <w:r>
        <w:rPr>
          <w:rFonts w:ascii="Arial" w:cs="Arial" w:eastAsia="Arial" w:hAnsi="Arial"/>
          <w:sz w:val="19"/>
          <w:szCs w:val="19"/>
          <w:u w:val="single" w:color="auto"/>
          <w:color w:val="auto"/>
        </w:rPr>
        <w:t>Section 3.3</w:t>
      </w:r>
      <w:r>
        <w:rPr>
          <w:rFonts w:ascii="Arial" w:cs="Arial" w:eastAsia="Arial" w:hAnsi="Arial"/>
          <w:sz w:val="19"/>
          <w:szCs w:val="19"/>
          <w:color w:val="auto"/>
        </w:rPr>
        <w:t xml:space="preserve">, this Agreement shall forthwith become void, and there shall be no Liability on the part of any party hereto (except for </w:t>
      </w:r>
      <w:r>
        <w:rPr>
          <w:rFonts w:ascii="Arial" w:cs="Arial" w:eastAsia="Arial" w:hAnsi="Arial"/>
          <w:sz w:val="19"/>
          <w:szCs w:val="19"/>
          <w:u w:val="single" w:color="auto"/>
          <w:color w:val="auto"/>
        </w:rPr>
        <w:t>Sections 3.3</w:t>
      </w:r>
      <w:r>
        <w:rPr>
          <w:rFonts w:ascii="Arial" w:cs="Arial" w:eastAsia="Arial" w:hAnsi="Arial"/>
          <w:sz w:val="19"/>
          <w:szCs w:val="19"/>
          <w:color w:val="auto"/>
        </w:rPr>
        <w:t xml:space="preserve">, </w:t>
      </w:r>
      <w:r>
        <w:rPr>
          <w:rFonts w:ascii="Arial" w:cs="Arial" w:eastAsia="Arial" w:hAnsi="Arial"/>
          <w:sz w:val="19"/>
          <w:szCs w:val="19"/>
          <w:u w:val="single" w:color="auto"/>
          <w:color w:val="auto"/>
        </w:rPr>
        <w:t>8.2</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11</w:t>
      </w:r>
      <w:r>
        <w:rPr>
          <w:rFonts w:ascii="Arial" w:cs="Arial" w:eastAsia="Arial" w:hAnsi="Arial"/>
          <w:sz w:val="19"/>
          <w:szCs w:val="19"/>
          <w:color w:val="auto"/>
        </w:rPr>
        <w:t xml:space="preserve"> and the Confidentiality Agreement). Notwithstanding the foregoing, in the event that this Agreement is terminated due to a material breach or material failure to fulfill of any of the representations, warranties, covenants or agreements set forth in this Agreement, nothing in this </w:t>
      </w:r>
      <w:r>
        <w:rPr>
          <w:rFonts w:ascii="Arial" w:cs="Arial" w:eastAsia="Arial" w:hAnsi="Arial"/>
          <w:sz w:val="19"/>
          <w:szCs w:val="19"/>
          <w:u w:val="single" w:color="auto"/>
          <w:color w:val="auto"/>
        </w:rPr>
        <w:t>Section 3.3(c)</w:t>
      </w:r>
      <w:r>
        <w:rPr>
          <w:rFonts w:ascii="Arial" w:cs="Arial" w:eastAsia="Arial" w:hAnsi="Arial"/>
          <w:sz w:val="19"/>
          <w:szCs w:val="19"/>
          <w:color w:val="auto"/>
        </w:rPr>
        <w:t xml:space="preserve"> shall be deemed to release any party from any liability for any willful and intentional breach of any of the representations, warranties, covenants or agreements set forth in this Agreement following such termination. This </w:t>
      </w:r>
      <w:r>
        <w:rPr>
          <w:rFonts w:ascii="Arial" w:cs="Arial" w:eastAsia="Arial" w:hAnsi="Arial"/>
          <w:sz w:val="19"/>
          <w:szCs w:val="19"/>
          <w:u w:val="single" w:color="auto"/>
          <w:color w:val="auto"/>
        </w:rPr>
        <w:t>Section 3.3(c)</w:t>
      </w:r>
      <w:r>
        <w:rPr>
          <w:rFonts w:ascii="Arial" w:cs="Arial" w:eastAsia="Arial" w:hAnsi="Arial"/>
          <w:sz w:val="19"/>
          <w:szCs w:val="19"/>
          <w:color w:val="auto"/>
        </w:rPr>
        <w:t xml:space="preserve"> shall not impair the right of any party to compel specific performance by any other party of its obligations under this Agreement.</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ARTICLE 4 REPRESENTATIONS AND WARRANTIES OF THE SELLER</w:t>
      </w:r>
    </w:p>
    <w:p>
      <w:pPr>
        <w:spacing w:after="0" w:line="212" w:lineRule="exact"/>
        <w:rPr>
          <w:sz w:val="20"/>
          <w:szCs w:val="20"/>
          <w:color w:val="auto"/>
        </w:rPr>
      </w:pPr>
    </w:p>
    <w:p>
      <w:pPr>
        <w:ind w:left="860"/>
        <w:spacing w:after="0"/>
        <w:tabs>
          <w:tab w:leader="none" w:pos="1860" w:val="left"/>
        </w:tabs>
        <w:rPr>
          <w:sz w:val="20"/>
          <w:szCs w:val="20"/>
          <w:color w:val="auto"/>
        </w:rPr>
      </w:pPr>
      <w:r>
        <w:rPr>
          <w:rFonts w:ascii="Arial" w:cs="Arial" w:eastAsia="Arial" w:hAnsi="Arial"/>
          <w:sz w:val="22"/>
          <w:szCs w:val="22"/>
          <w:color w:val="auto"/>
        </w:rPr>
        <w:t>4.1</w:t>
      </w:r>
      <w:r>
        <w:rPr>
          <w:sz w:val="20"/>
          <w:szCs w:val="20"/>
          <w:color w:val="auto"/>
        </w:rPr>
        <w:tab/>
      </w:r>
      <w:r>
        <w:rPr>
          <w:rFonts w:ascii="Arial" w:cs="Arial" w:eastAsia="Arial" w:hAnsi="Arial"/>
          <w:sz w:val="19"/>
          <w:szCs w:val="19"/>
          <w:u w:val="single" w:color="auto"/>
          <w:color w:val="auto"/>
        </w:rPr>
        <w:t>No Conflict; Authorizations</w:t>
      </w:r>
      <w:r>
        <w:rPr>
          <w:rFonts w:ascii="Arial" w:cs="Arial" w:eastAsia="Arial" w:hAnsi="Arial"/>
          <w:sz w:val="19"/>
          <w:szCs w:val="19"/>
          <w:color w:val="auto"/>
        </w:rPr>
        <w:t>. No Authorization or Order of, or notice to, any domestic or foreign</w:t>
      </w:r>
    </w:p>
    <w:p>
      <w:pPr>
        <w:spacing w:after="0" w:line="8" w:lineRule="exact"/>
        <w:rPr>
          <w:sz w:val="20"/>
          <w:szCs w:val="20"/>
          <w:color w:val="auto"/>
        </w:rPr>
      </w:pPr>
    </w:p>
    <w:p>
      <w:pPr>
        <w:spacing w:after="0" w:line="245" w:lineRule="auto"/>
        <w:rPr>
          <w:sz w:val="20"/>
          <w:szCs w:val="20"/>
          <w:color w:val="auto"/>
        </w:rPr>
      </w:pPr>
      <w:r>
        <w:rPr>
          <w:rFonts w:ascii="Arial" w:cs="Arial" w:eastAsia="Arial" w:hAnsi="Arial"/>
          <w:sz w:val="21"/>
          <w:szCs w:val="21"/>
          <w:color w:val="auto"/>
        </w:rPr>
        <w:t>Governmental Entity, is required to be made or obtained by Seller at or prior to the Closing in connection with the execution and delivery of this Agreement or the consummation by the Seller of the transactions contemplated by this Agreement or compliance by the Seller with the provisions hereof and thereof other than such customary filings regarding any change of beneficial ownership or similar filings in foreign jurisdictions that would not reasonably be expected to preclude or materially impede the Seller’s ability to consummate the transactions contemplated by this Agreement.</w:t>
      </w:r>
    </w:p>
    <w:p>
      <w:pPr>
        <w:spacing w:after="0" w:line="152" w:lineRule="exact"/>
        <w:rPr>
          <w:sz w:val="20"/>
          <w:szCs w:val="20"/>
          <w:color w:val="auto"/>
        </w:rPr>
      </w:pPr>
    </w:p>
    <w:tbl>
      <w:tblPr>
        <w:tblLayout w:type="fixed"/>
        <w:tblInd w:w="860" w:type="dxa"/>
        <w:tblCellMar>
          <w:top w:w="0" w:type="dxa"/>
          <w:left w:w="0" w:type="dxa"/>
          <w:bottom w:w="0" w:type="dxa"/>
          <w:right w:w="0" w:type="dxa"/>
        </w:tblCellMar>
      </w:tblPr>
      <w:tr>
        <w:trPr>
          <w:trHeight w:val="253"/>
        </w:trPr>
        <w:tc>
          <w:tcPr>
            <w:tcW w:w="1020" w:type="dxa"/>
            <w:vAlign w:val="bottom"/>
          </w:tcPr>
          <w:p>
            <w:pPr>
              <w:jc w:val="right"/>
              <w:ind w:right="652"/>
              <w:spacing w:after="0"/>
              <w:rPr>
                <w:sz w:val="20"/>
                <w:szCs w:val="20"/>
                <w:color w:val="auto"/>
              </w:rPr>
            </w:pPr>
            <w:r>
              <w:rPr>
                <w:rFonts w:ascii="Arial" w:cs="Arial" w:eastAsia="Arial" w:hAnsi="Arial"/>
                <w:sz w:val="22"/>
                <w:szCs w:val="22"/>
                <w:color w:val="auto"/>
                <w:w w:val="78"/>
              </w:rPr>
              <w:t>4.2</w:t>
            </w:r>
          </w:p>
        </w:tc>
        <w:tc>
          <w:tcPr>
            <w:tcW w:w="7900" w:type="dxa"/>
            <w:vAlign w:val="bottom"/>
            <w:gridSpan w:val="3"/>
          </w:tcPr>
          <w:p>
            <w:pPr>
              <w:spacing w:after="0"/>
              <w:rPr>
                <w:sz w:val="20"/>
                <w:szCs w:val="20"/>
                <w:color w:val="auto"/>
              </w:rPr>
            </w:pPr>
            <w:r>
              <w:rPr>
                <w:rFonts w:ascii="Arial" w:cs="Arial" w:eastAsia="Arial" w:hAnsi="Arial"/>
                <w:sz w:val="22"/>
                <w:szCs w:val="22"/>
                <w:color w:val="auto"/>
                <w:w w:val="89"/>
              </w:rPr>
              <w:t>Regulatory. Seller has made available, or has caused to be made available, to Acquiror [†].</w:t>
            </w:r>
          </w:p>
        </w:tc>
      </w:tr>
      <w:tr>
        <w:trPr>
          <w:trHeight w:val="20"/>
        </w:trPr>
        <w:tc>
          <w:tcPr>
            <w:tcW w:w="102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120" w:type="dxa"/>
            <w:vAlign w:val="bottom"/>
          </w:tcPr>
          <w:p>
            <w:pPr>
              <w:spacing w:after="0" w:line="20" w:lineRule="exact"/>
              <w:rPr>
                <w:sz w:val="1"/>
                <w:szCs w:val="1"/>
                <w:color w:val="auto"/>
              </w:rPr>
            </w:pPr>
          </w:p>
        </w:tc>
      </w:tr>
      <w:tr>
        <w:trPr>
          <w:trHeight w:val="439"/>
        </w:trPr>
        <w:tc>
          <w:tcPr>
            <w:tcW w:w="1020" w:type="dxa"/>
            <w:vAlign w:val="bottom"/>
          </w:tcPr>
          <w:p>
            <w:pPr>
              <w:jc w:val="right"/>
              <w:ind w:right="652"/>
              <w:spacing w:after="0"/>
              <w:rPr>
                <w:sz w:val="20"/>
                <w:szCs w:val="20"/>
                <w:color w:val="auto"/>
              </w:rPr>
            </w:pPr>
            <w:r>
              <w:rPr>
                <w:rFonts w:ascii="Arial" w:cs="Arial" w:eastAsia="Arial" w:hAnsi="Arial"/>
                <w:sz w:val="22"/>
                <w:szCs w:val="22"/>
                <w:color w:val="auto"/>
                <w:w w:val="78"/>
              </w:rPr>
              <w:t>4.3</w:t>
            </w:r>
          </w:p>
        </w:tc>
        <w:tc>
          <w:tcPr>
            <w:tcW w:w="7900" w:type="dxa"/>
            <w:vAlign w:val="bottom"/>
            <w:gridSpan w:val="3"/>
          </w:tcPr>
          <w:p>
            <w:pPr>
              <w:spacing w:after="0"/>
              <w:rPr>
                <w:sz w:val="20"/>
                <w:szCs w:val="20"/>
                <w:color w:val="auto"/>
              </w:rPr>
            </w:pPr>
            <w:r>
              <w:rPr>
                <w:rFonts w:ascii="Arial" w:cs="Arial" w:eastAsia="Arial" w:hAnsi="Arial"/>
                <w:sz w:val="22"/>
                <w:szCs w:val="22"/>
                <w:color w:val="auto"/>
              </w:rPr>
              <w:t>Intellectual Property.</w:t>
            </w:r>
          </w:p>
        </w:tc>
      </w:tr>
      <w:tr>
        <w:trPr>
          <w:trHeight w:val="20"/>
        </w:trPr>
        <w:tc>
          <w:tcPr>
            <w:tcW w:w="102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6120" w:type="dxa"/>
            <w:vAlign w:val="bottom"/>
          </w:tcPr>
          <w:p>
            <w:pPr>
              <w:spacing w:after="0" w:line="20" w:lineRule="exact"/>
              <w:rPr>
                <w:sz w:val="1"/>
                <w:szCs w:val="1"/>
                <w:color w:val="auto"/>
              </w:rPr>
            </w:pPr>
          </w:p>
        </w:tc>
      </w:tr>
    </w:tbl>
    <w:p>
      <w:pPr>
        <w:spacing w:after="0" w:line="222" w:lineRule="exact"/>
        <w:rPr>
          <w:sz w:val="20"/>
          <w:szCs w:val="20"/>
          <w:color w:val="auto"/>
        </w:rPr>
      </w:pPr>
    </w:p>
    <w:p>
      <w:pPr>
        <w:ind w:right="20" w:firstLine="1698"/>
        <w:spacing w:after="0" w:line="279" w:lineRule="auto"/>
        <w:tabs>
          <w:tab w:leader="none" w:pos="2578" w:val="left"/>
        </w:tabs>
        <w:numPr>
          <w:ilvl w:val="0"/>
          <w:numId w:val="135"/>
        </w:numPr>
        <w:rPr>
          <w:rFonts w:ascii="Arial" w:cs="Arial" w:eastAsia="Arial" w:hAnsi="Arial"/>
          <w:sz w:val="19"/>
          <w:szCs w:val="19"/>
          <w:color w:val="auto"/>
        </w:rPr>
      </w:pPr>
      <w:r>
        <w:rPr>
          <w:rFonts w:ascii="Arial" w:cs="Arial" w:eastAsia="Arial" w:hAnsi="Arial"/>
          <w:sz w:val="19"/>
          <w:szCs w:val="19"/>
          <w:color w:val="auto"/>
        </w:rPr>
        <w:t>Schedule 4.3(a) contains a complete and accurate list of (by name, contact information and, where applicable, registration number and jurisdiction of registration, application, certification or filing) all Intellectual Property that is owned by Seller relating to or filed in the name of the Compound (“</w:t>
      </w:r>
      <w:r>
        <w:rPr>
          <w:rFonts w:ascii="Arial" w:cs="Arial" w:eastAsia="Arial" w:hAnsi="Arial"/>
          <w:sz w:val="19"/>
          <w:szCs w:val="19"/>
          <w:b w:val="1"/>
          <w:bCs w:val="1"/>
          <w:color w:val="auto"/>
        </w:rPr>
        <w:t>Compound Intellectual Property</w:t>
      </w:r>
      <w:r>
        <w:rPr>
          <w:rFonts w:ascii="Arial" w:cs="Arial" w:eastAsia="Arial" w:hAnsi="Arial"/>
          <w:sz w:val="19"/>
          <w:szCs w:val="19"/>
          <w:color w:val="auto"/>
        </w:rPr>
        <w:t>”); provided that Seller is not required to list items of Intellectual Property which are not registered or the subject of an application for registration. Except as specifically identified and described in the Schedule 4.3(a), the Seller solely and exclusively owns the entire right, title and interest to all Compound Intellectual Property free and clear of all liens or encumbrances.</w:t>
      </w:r>
    </w:p>
    <w:p>
      <w:pPr>
        <w:spacing w:after="0" w:line="150" w:lineRule="exact"/>
        <w:rPr>
          <w:rFonts w:ascii="Arial" w:cs="Arial" w:eastAsia="Arial" w:hAnsi="Arial"/>
          <w:sz w:val="19"/>
          <w:szCs w:val="19"/>
          <w:color w:val="auto"/>
        </w:rPr>
      </w:pPr>
    </w:p>
    <w:p>
      <w:pPr>
        <w:ind w:right="80" w:firstLine="1698"/>
        <w:spacing w:after="0" w:line="287" w:lineRule="auto"/>
        <w:tabs>
          <w:tab w:leader="none" w:pos="2590" w:val="left"/>
        </w:tabs>
        <w:numPr>
          <w:ilvl w:val="0"/>
          <w:numId w:val="135"/>
        </w:numPr>
        <w:rPr>
          <w:rFonts w:ascii="Arial" w:cs="Arial" w:eastAsia="Arial" w:hAnsi="Arial"/>
          <w:sz w:val="19"/>
          <w:szCs w:val="19"/>
          <w:color w:val="auto"/>
        </w:rPr>
      </w:pPr>
      <w:r>
        <w:rPr>
          <w:rFonts w:ascii="Arial" w:cs="Arial" w:eastAsia="Arial" w:hAnsi="Arial"/>
          <w:sz w:val="19"/>
          <w:szCs w:val="19"/>
          <w:color w:val="auto"/>
        </w:rPr>
        <w:t>Schedule 4.3(b) contains a complete and accurate list of all licenses, sublicenses and other Contracts pursuant to which Seller is authorized to use, practice any rights under, or grant sublicenses with respect to, any Intellectual Property owned by a Third Party which is incorporated into any Compound Intellectual Property (“</w:t>
      </w:r>
      <w:r>
        <w:rPr>
          <w:rFonts w:ascii="Arial" w:cs="Arial" w:eastAsia="Arial" w:hAnsi="Arial"/>
          <w:sz w:val="19"/>
          <w:szCs w:val="19"/>
          <w:b w:val="1"/>
          <w:bCs w:val="1"/>
          <w:color w:val="auto"/>
        </w:rPr>
        <w:t>In-Bound Licenses</w:t>
      </w:r>
      <w:r>
        <w:rPr>
          <w:rFonts w:ascii="Arial" w:cs="Arial" w:eastAsia="Arial" w:hAnsi="Arial"/>
          <w:sz w:val="19"/>
          <w:szCs w:val="19"/>
          <w:color w:val="auto"/>
        </w:rPr>
        <w:t>”) and, with respect to each In-Bound License, whether the In-Bound License is exclusive or non-exclusive.</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-12-</w:t>
      </w:r>
    </w:p>
    <w:p>
      <w:pPr>
        <w:spacing w:after="0" w:line="5" w:lineRule="exact"/>
        <w:rPr>
          <w:sz w:val="20"/>
          <w:szCs w:val="20"/>
          <w:color w:val="auto"/>
        </w:rPr>
      </w:pPr>
    </w:p>
    <w:p>
      <w:pPr>
        <w:ind w:right="40" w:firstLine="8"/>
        <w:spacing w:after="0" w:line="237" w:lineRule="auto"/>
        <w:tabs>
          <w:tab w:leader="none" w:pos="204" w:val="left"/>
        </w:tabs>
        <w:numPr>
          <w:ilvl w:val="0"/>
          <w:numId w:val="136"/>
        </w:numPr>
        <w:rPr>
          <w:rFonts w:ascii="Arial" w:cs="Arial" w:eastAsia="Arial" w:hAnsi="Arial"/>
          <w:sz w:val="14"/>
          <w:szCs w:val="14"/>
          <w:color w:val="auto"/>
        </w:rPr>
      </w:pPr>
      <w:r>
        <w:rPr>
          <w:rFonts w:ascii="Arial" w:cs="Arial" w:eastAsia="Arial" w:hAnsi="Arial"/>
          <w:sz w:val="14"/>
          <w:szCs w:val="14"/>
          <w:color w:val="auto"/>
        </w:rPr>
        <w:t>DESIGNATES PORTIONS OF THIS DOCUMENT THAT HAVE BEEN OMITTED PURSUANT TO A REQUEST FOR CONFIDENTIAL TREATMENT FILED SEPARATELY WITH THE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46990</wp:posOffset>
            </wp:positionV>
            <wp:extent cx="7289165"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64" w:right="239" w:bottom="1440" w:gutter="0" w:footer="0" w:header="0"/>
        </w:sectPr>
      </w:pPr>
    </w:p>
    <w:bookmarkStart w:id="103" w:name="page104"/>
    <w:bookmarkEnd w:id="103"/>
    <w:p>
      <w:pPr>
        <w:ind w:left="-8" w:right="280" w:firstLine="1698"/>
        <w:spacing w:after="0" w:line="282" w:lineRule="auto"/>
        <w:tabs>
          <w:tab w:leader="none" w:pos="2570" w:val="left"/>
        </w:tabs>
        <w:numPr>
          <w:ilvl w:val="0"/>
          <w:numId w:val="137"/>
        </w:numPr>
        <w:rPr>
          <w:rFonts w:ascii="Arial" w:cs="Arial" w:eastAsia="Arial" w:hAnsi="Arial"/>
          <w:sz w:val="19"/>
          <w:szCs w:val="19"/>
          <w:color w:val="auto"/>
        </w:rPr>
      </w:pPr>
      <w:r>
        <w:rPr>
          <w:rFonts w:ascii="Arial" w:cs="Arial" w:eastAsia="Arial" w:hAnsi="Arial"/>
          <w:sz w:val="19"/>
          <w:szCs w:val="19"/>
          <w:color w:val="auto"/>
        </w:rPr>
        <w:t>Schedule 4.3(c) contains a complete and accurate list of all currently in-force licenses, sublicenses and other contracts pursuant to which Seller authorizes a third party to use, practice any rights under, or grant sublicenses with respect to, Compound Intellectual Property or pursuant to which Seller grants rights to use or practice any rights under any Intellectual Property owned by a Third Party with respect to any Compound Intellectual Property and (“</w:t>
      </w:r>
      <w:r>
        <w:rPr>
          <w:rFonts w:ascii="Arial" w:cs="Arial" w:eastAsia="Arial" w:hAnsi="Arial"/>
          <w:sz w:val="19"/>
          <w:szCs w:val="19"/>
          <w:b w:val="1"/>
          <w:bCs w:val="1"/>
          <w:color w:val="auto"/>
        </w:rPr>
        <w:t>Out-Bound Licenses</w:t>
      </w:r>
      <w:r>
        <w:rPr>
          <w:rFonts w:ascii="Arial" w:cs="Arial" w:eastAsia="Arial" w:hAnsi="Arial"/>
          <w:sz w:val="19"/>
          <w:szCs w:val="19"/>
          <w:color w:val="auto"/>
        </w:rPr>
        <w:t>”), with respect to each Out-Bound License, whether the Out-Bound License is exclusive or non-exclusive.</w:t>
      </w:r>
    </w:p>
    <w:p>
      <w:pPr>
        <w:spacing w:after="0" w:line="147" w:lineRule="exact"/>
        <w:rPr>
          <w:rFonts w:ascii="Arial" w:cs="Arial" w:eastAsia="Arial" w:hAnsi="Arial"/>
          <w:sz w:val="19"/>
          <w:szCs w:val="19"/>
          <w:color w:val="auto"/>
        </w:rPr>
      </w:pPr>
    </w:p>
    <w:p>
      <w:pPr>
        <w:ind w:left="-8" w:right="180" w:firstLine="1698"/>
        <w:spacing w:after="0" w:line="248" w:lineRule="auto"/>
        <w:tabs>
          <w:tab w:leader="none" w:pos="2582" w:val="left"/>
        </w:tabs>
        <w:numPr>
          <w:ilvl w:val="0"/>
          <w:numId w:val="137"/>
        </w:numPr>
        <w:rPr>
          <w:rFonts w:ascii="Arial" w:cs="Arial" w:eastAsia="Arial" w:hAnsi="Arial"/>
          <w:sz w:val="21"/>
          <w:szCs w:val="21"/>
          <w:color w:val="auto"/>
        </w:rPr>
      </w:pPr>
      <w:r>
        <w:rPr>
          <w:rFonts w:ascii="Arial" w:cs="Arial" w:eastAsia="Arial" w:hAnsi="Arial"/>
          <w:sz w:val="21"/>
          <w:szCs w:val="21"/>
          <w:color w:val="auto"/>
        </w:rPr>
        <w:t>All registration, maintenance and renewal fees related to Compound Intellectual Property and any other certifications, filings or registrations related to registered Compound Intellectual Property that are owned by Seller (“</w:t>
      </w:r>
      <w:r>
        <w:rPr>
          <w:rFonts w:ascii="Arial" w:cs="Arial" w:eastAsia="Arial" w:hAnsi="Arial"/>
          <w:sz w:val="21"/>
          <w:szCs w:val="21"/>
          <w:b w:val="1"/>
          <w:bCs w:val="1"/>
          <w:color w:val="auto"/>
        </w:rPr>
        <w:t>Compound Registered Items</w:t>
      </w:r>
      <w:r>
        <w:rPr>
          <w:rFonts w:ascii="Arial" w:cs="Arial" w:eastAsia="Arial" w:hAnsi="Arial"/>
          <w:sz w:val="21"/>
          <w:szCs w:val="21"/>
          <w:color w:val="auto"/>
        </w:rPr>
        <w:t>”) that are currently due, or due within [†] ([†]) [†] of the Closing Date, have been paid and all documents and certificates related to such Compound Registered Items have been filed with the relevant Governmental Entity or other authorities in the United States or foreign jurisdictions, as the case may be, for the purposes of maintaining such Compound Registered Items and perfecting Seller’s ownership interests therein. [†].</w:t>
      </w:r>
    </w:p>
    <w:p>
      <w:pPr>
        <w:spacing w:after="0" w:line="177" w:lineRule="exact"/>
        <w:rPr>
          <w:rFonts w:ascii="Arial" w:cs="Arial" w:eastAsia="Arial" w:hAnsi="Arial"/>
          <w:sz w:val="21"/>
          <w:szCs w:val="21"/>
          <w:color w:val="auto"/>
        </w:rPr>
      </w:pPr>
    </w:p>
    <w:p>
      <w:pPr>
        <w:ind w:left="-8" w:firstLine="1698"/>
        <w:spacing w:after="0" w:line="236" w:lineRule="auto"/>
        <w:tabs>
          <w:tab w:leader="none" w:pos="2570" w:val="left"/>
        </w:tabs>
        <w:numPr>
          <w:ilvl w:val="0"/>
          <w:numId w:val="137"/>
        </w:numPr>
        <w:rPr>
          <w:rFonts w:ascii="Arial" w:cs="Arial" w:eastAsia="Arial" w:hAnsi="Arial"/>
          <w:sz w:val="22"/>
          <w:szCs w:val="22"/>
          <w:color w:val="auto"/>
        </w:rPr>
      </w:pPr>
      <w:r>
        <w:rPr>
          <w:rFonts w:ascii="Arial" w:cs="Arial" w:eastAsia="Arial" w:hAnsi="Arial"/>
          <w:sz w:val="22"/>
          <w:szCs w:val="22"/>
          <w:color w:val="auto"/>
        </w:rPr>
        <w:t>To the Knowledge of the Seller, [†]. Schedule 4.3(e) lists the status of any Actions (for the avoidance of doubt, excluding office actions in connection with the prosecution of applications relating to the Compound Registered Items) currently pending before the United States Patent and Trademark Office or any other Governmental Entity anywhere in the world related to any of the Compound Registered Items, including the due date for any outstanding response by Seller in such Actions. [†].</w:t>
      </w:r>
    </w:p>
    <w:p>
      <w:pPr>
        <w:spacing w:after="0" w:line="200" w:lineRule="exact"/>
        <w:rPr>
          <w:rFonts w:ascii="Arial" w:cs="Arial" w:eastAsia="Arial" w:hAnsi="Arial"/>
          <w:sz w:val="22"/>
          <w:szCs w:val="22"/>
          <w:color w:val="auto"/>
        </w:rPr>
      </w:pPr>
    </w:p>
    <w:p>
      <w:pPr>
        <w:spacing w:after="0" w:line="230" w:lineRule="exact"/>
        <w:rPr>
          <w:rFonts w:ascii="Arial" w:cs="Arial" w:eastAsia="Arial" w:hAnsi="Arial"/>
          <w:sz w:val="22"/>
          <w:szCs w:val="22"/>
          <w:color w:val="auto"/>
        </w:rPr>
      </w:pPr>
    </w:p>
    <w:p>
      <w:pPr>
        <w:ind w:left="-8" w:right="20" w:firstLine="1698"/>
        <w:spacing w:after="0" w:line="279" w:lineRule="auto"/>
        <w:tabs>
          <w:tab w:leader="none" w:pos="2546" w:val="left"/>
        </w:tabs>
        <w:numPr>
          <w:ilvl w:val="0"/>
          <w:numId w:val="137"/>
        </w:numPr>
        <w:rPr>
          <w:rFonts w:ascii="Arial" w:cs="Arial" w:eastAsia="Arial" w:hAnsi="Arial"/>
          <w:sz w:val="19"/>
          <w:szCs w:val="19"/>
          <w:color w:val="auto"/>
        </w:rPr>
      </w:pPr>
      <w:r>
        <w:rPr>
          <w:rFonts w:ascii="Arial" w:cs="Arial" w:eastAsia="Arial" w:hAnsi="Arial"/>
          <w:sz w:val="19"/>
          <w:szCs w:val="19"/>
          <w:color w:val="auto"/>
        </w:rPr>
        <w:t xml:space="preserve">Except as specifically identified and described in Schedule 4.3(f), neither this Agreement nor the transactions contemplated by this Agreement, including the assignment to Acquiror by operation of Law or otherwise (if any) of any contracts or agreements to which Seller is a party, will result in (i) either the Acquiror’s being bound by, or subject to, any non-compete or other material restriction on the Compound contained in an Out-Bound License or an In-Bound License, or (ii) either the Acquiror’s being obligated, under an Out-Bound License or an In-Bound License, to pay any </w:t>
      </w:r>
      <w:r>
        <w:rPr>
          <w:rFonts w:ascii="Arial" w:cs="Arial" w:eastAsia="Arial" w:hAnsi="Arial"/>
          <w:sz w:val="17"/>
          <w:szCs w:val="17"/>
          <w:color w:val="auto"/>
        </w:rPr>
        <w:t>[†]</w:t>
      </w:r>
      <w:r>
        <w:rPr>
          <w:rFonts w:ascii="Arial" w:cs="Arial" w:eastAsia="Arial" w:hAnsi="Arial"/>
          <w:sz w:val="19"/>
          <w:szCs w:val="19"/>
          <w:color w:val="auto"/>
        </w:rPr>
        <w:t xml:space="preserve"> to any Third Party in excess of those that the Seller would have been required to pay had the transactions contemplated by this Agreement not occurred.</w:t>
      </w:r>
    </w:p>
    <w:p>
      <w:pPr>
        <w:spacing w:after="0" w:line="151" w:lineRule="exact"/>
        <w:rPr>
          <w:sz w:val="20"/>
          <w:szCs w:val="20"/>
          <w:color w:val="auto"/>
        </w:rPr>
      </w:pPr>
    </w:p>
    <w:p>
      <w:pPr>
        <w:ind w:left="852"/>
        <w:spacing w:after="0"/>
        <w:tabs>
          <w:tab w:leader="none" w:pos="1852" w:val="left"/>
        </w:tabs>
        <w:rPr>
          <w:sz w:val="20"/>
          <w:szCs w:val="20"/>
          <w:color w:val="auto"/>
        </w:rPr>
      </w:pPr>
      <w:r>
        <w:rPr>
          <w:rFonts w:ascii="Arial" w:cs="Arial" w:eastAsia="Arial" w:hAnsi="Arial"/>
          <w:sz w:val="22"/>
          <w:szCs w:val="22"/>
          <w:color w:val="auto"/>
        </w:rPr>
        <w:t>4.4</w:t>
      </w:r>
      <w:r>
        <w:rPr>
          <w:sz w:val="20"/>
          <w:szCs w:val="20"/>
          <w:color w:val="auto"/>
        </w:rPr>
        <w:tab/>
      </w:r>
      <w:r>
        <w:rPr>
          <w:rFonts w:ascii="Arial" w:cs="Arial" w:eastAsia="Arial" w:hAnsi="Arial"/>
          <w:sz w:val="21"/>
          <w:szCs w:val="21"/>
          <w:u w:val="single" w:color="auto"/>
          <w:color w:val="auto"/>
        </w:rPr>
        <w:t>Litigation</w:t>
      </w:r>
      <w:r>
        <w:rPr>
          <w:rFonts w:ascii="Arial" w:cs="Arial" w:eastAsia="Arial" w:hAnsi="Arial"/>
          <w:sz w:val="21"/>
          <w:szCs w:val="21"/>
          <w:color w:val="auto"/>
        </w:rPr>
        <w:t>.</w:t>
      </w:r>
    </w:p>
    <w:p>
      <w:pPr>
        <w:spacing w:after="0" w:line="206" w:lineRule="exact"/>
        <w:rPr>
          <w:sz w:val="20"/>
          <w:szCs w:val="20"/>
          <w:color w:val="auto"/>
        </w:rPr>
      </w:pPr>
    </w:p>
    <w:p>
      <w:pPr>
        <w:ind w:left="-8" w:right="220" w:firstLine="1698"/>
        <w:spacing w:after="0" w:line="238" w:lineRule="auto"/>
        <w:tabs>
          <w:tab w:leader="none" w:pos="2570" w:val="left"/>
        </w:tabs>
        <w:numPr>
          <w:ilvl w:val="0"/>
          <w:numId w:val="138"/>
        </w:numPr>
        <w:rPr>
          <w:rFonts w:ascii="Arial" w:cs="Arial" w:eastAsia="Arial" w:hAnsi="Arial"/>
          <w:sz w:val="22"/>
          <w:szCs w:val="22"/>
          <w:color w:val="auto"/>
        </w:rPr>
      </w:pPr>
      <w:r>
        <w:rPr>
          <w:rFonts w:ascii="Arial" w:cs="Arial" w:eastAsia="Arial" w:hAnsi="Arial"/>
          <w:sz w:val="22"/>
          <w:szCs w:val="22"/>
          <w:color w:val="auto"/>
        </w:rPr>
        <w:t>There is no action, suit or proceeding, claim, arbitration, litigation or investigation (each, an “</w:t>
      </w:r>
      <w:r>
        <w:rPr>
          <w:rFonts w:ascii="Arial" w:cs="Arial" w:eastAsia="Arial" w:hAnsi="Arial"/>
          <w:sz w:val="22"/>
          <w:szCs w:val="22"/>
          <w:b w:val="1"/>
          <w:bCs w:val="1"/>
          <w:color w:val="auto"/>
        </w:rPr>
        <w:t>Action</w:t>
      </w:r>
      <w:r>
        <w:rPr>
          <w:rFonts w:ascii="Arial" w:cs="Arial" w:eastAsia="Arial" w:hAnsi="Arial"/>
          <w:sz w:val="22"/>
          <w:szCs w:val="22"/>
          <w:color w:val="auto"/>
        </w:rPr>
        <w:t>”) pending or, to the Knowledge of the Seller, threatened (i) against the Seller relating to the Compound, or (ii) that challenges or seeks to prevent, enjoin or otherwise delay the transactions contemplated by this Agreement. To the Knowledge of the Seller, [†].</w:t>
      </w:r>
    </w:p>
    <w:p>
      <w:pPr>
        <w:spacing w:after="0" w:line="185" w:lineRule="exact"/>
        <w:rPr>
          <w:rFonts w:ascii="Arial" w:cs="Arial" w:eastAsia="Arial" w:hAnsi="Arial"/>
          <w:sz w:val="22"/>
          <w:szCs w:val="22"/>
          <w:color w:val="auto"/>
        </w:rPr>
      </w:pPr>
    </w:p>
    <w:p>
      <w:pPr>
        <w:ind w:left="-8" w:right="1140" w:firstLine="1698"/>
        <w:spacing w:after="0" w:line="328" w:lineRule="auto"/>
        <w:tabs>
          <w:tab w:leader="none" w:pos="2582" w:val="left"/>
        </w:tabs>
        <w:numPr>
          <w:ilvl w:val="0"/>
          <w:numId w:val="138"/>
        </w:numPr>
        <w:rPr>
          <w:rFonts w:ascii="Arial" w:cs="Arial" w:eastAsia="Arial" w:hAnsi="Arial"/>
          <w:sz w:val="19"/>
          <w:szCs w:val="19"/>
          <w:color w:val="auto"/>
        </w:rPr>
      </w:pPr>
      <w:r>
        <w:rPr>
          <w:rFonts w:ascii="Arial" w:cs="Arial" w:eastAsia="Arial" w:hAnsi="Arial"/>
          <w:sz w:val="19"/>
          <w:szCs w:val="19"/>
          <w:color w:val="auto"/>
        </w:rPr>
        <w:t>There is no unsatisfied judgment, penalty, award, decree, injunction, rule or order of any Governmental Entity, court or arbitrator, outstanding or pending against the Seller with respect to the Compound.</w:t>
      </w:r>
    </w:p>
    <w:p>
      <w:pPr>
        <w:spacing w:after="0" w:line="105" w:lineRule="exact"/>
        <w:rPr>
          <w:sz w:val="20"/>
          <w:szCs w:val="20"/>
          <w:color w:val="auto"/>
        </w:rPr>
      </w:pPr>
    </w:p>
    <w:p>
      <w:pPr>
        <w:jc w:val="center"/>
        <w:ind w:right="-31"/>
        <w:spacing w:after="0"/>
        <w:rPr>
          <w:sz w:val="20"/>
          <w:szCs w:val="20"/>
          <w:color w:val="auto"/>
        </w:rPr>
      </w:pPr>
      <w:r>
        <w:rPr>
          <w:rFonts w:ascii="Arial" w:cs="Arial" w:eastAsia="Arial" w:hAnsi="Arial"/>
          <w:sz w:val="22"/>
          <w:szCs w:val="22"/>
          <w:color w:val="auto"/>
        </w:rPr>
        <w:t>-13-</w:t>
      </w:r>
    </w:p>
    <w:p>
      <w:pPr>
        <w:spacing w:after="0" w:line="5" w:lineRule="exact"/>
        <w:rPr>
          <w:sz w:val="20"/>
          <w:szCs w:val="20"/>
          <w:color w:val="auto"/>
        </w:rPr>
      </w:pPr>
    </w:p>
    <w:p>
      <w:pPr>
        <w:ind w:left="-8" w:firstLine="8"/>
        <w:spacing w:after="0" w:line="237" w:lineRule="auto"/>
        <w:tabs>
          <w:tab w:leader="none" w:pos="196" w:val="left"/>
        </w:tabs>
        <w:numPr>
          <w:ilvl w:val="0"/>
          <w:numId w:val="139"/>
        </w:numPr>
        <w:rPr>
          <w:rFonts w:ascii="Arial" w:cs="Arial" w:eastAsia="Arial" w:hAnsi="Arial"/>
          <w:sz w:val="14"/>
          <w:szCs w:val="14"/>
          <w:color w:val="auto"/>
        </w:rPr>
      </w:pPr>
      <w:r>
        <w:rPr>
          <w:rFonts w:ascii="Arial" w:cs="Arial" w:eastAsia="Arial" w:hAnsi="Arial"/>
          <w:sz w:val="14"/>
          <w:szCs w:val="14"/>
          <w:color w:val="auto"/>
        </w:rPr>
        <w:t>DESIGNATES PORTIONS OF THIS DOCUMENT THAT HAVE BEEN OMITTED PURSUANT TO A REQUEST FOR CONFIDENTIAL TREATMENT FILED SEPARATELY WITH THE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46990</wp:posOffset>
            </wp:positionV>
            <wp:extent cx="7289165"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72"/>
          </w:cols>
          <w:pgMar w:left="248" w:top="564" w:right="279" w:bottom="1440" w:gutter="0" w:footer="0" w:header="0"/>
        </w:sectPr>
      </w:pPr>
    </w:p>
    <w:bookmarkStart w:id="104" w:name="page105"/>
    <w:bookmarkEnd w:id="104"/>
    <w:tbl>
      <w:tblPr>
        <w:tblLayout w:type="fixed"/>
        <w:tblInd w:w="860" w:type="dxa"/>
        <w:tblCellMar>
          <w:top w:w="0" w:type="dxa"/>
          <w:left w:w="0" w:type="dxa"/>
          <w:bottom w:w="0" w:type="dxa"/>
          <w:right w:w="0" w:type="dxa"/>
        </w:tblCellMar>
      </w:tblPr>
      <w:tr>
        <w:trPr>
          <w:trHeight w:val="281"/>
        </w:trPr>
        <w:tc>
          <w:tcPr>
            <w:tcW w:w="640" w:type="dxa"/>
            <w:vAlign w:val="bottom"/>
          </w:tcPr>
          <w:p>
            <w:pPr>
              <w:spacing w:after="0"/>
              <w:rPr>
                <w:sz w:val="24"/>
                <w:szCs w:val="24"/>
                <w:color w:val="auto"/>
              </w:rPr>
            </w:pPr>
          </w:p>
        </w:tc>
        <w:tc>
          <w:tcPr>
            <w:tcW w:w="9480" w:type="dxa"/>
            <w:vAlign w:val="bottom"/>
          </w:tcPr>
          <w:p>
            <w:pPr>
              <w:ind w:left="1200"/>
              <w:spacing w:after="0"/>
              <w:rPr>
                <w:sz w:val="20"/>
                <w:szCs w:val="20"/>
                <w:color w:val="auto"/>
              </w:rPr>
            </w:pPr>
            <w:r>
              <w:rPr>
                <w:rFonts w:ascii="Arial" w:cs="Arial" w:eastAsia="Arial" w:hAnsi="Arial"/>
                <w:sz w:val="22"/>
                <w:szCs w:val="22"/>
                <w:b w:val="1"/>
                <w:bCs w:val="1"/>
                <w:color w:val="auto"/>
              </w:rPr>
              <w:t>ARTICLE 5 RIGHT OF FIRST REFUSAL AND FIRST OFFER</w:t>
            </w:r>
          </w:p>
        </w:tc>
      </w:tr>
      <w:tr>
        <w:trPr>
          <w:trHeight w:val="446"/>
        </w:trPr>
        <w:tc>
          <w:tcPr>
            <w:tcW w:w="640" w:type="dxa"/>
            <w:vAlign w:val="bottom"/>
          </w:tcPr>
          <w:p>
            <w:pPr>
              <w:jc w:val="right"/>
              <w:ind w:right="272"/>
              <w:spacing w:after="0"/>
              <w:rPr>
                <w:sz w:val="20"/>
                <w:szCs w:val="20"/>
                <w:color w:val="auto"/>
              </w:rPr>
            </w:pPr>
            <w:r>
              <w:rPr>
                <w:rFonts w:ascii="Arial" w:cs="Arial" w:eastAsia="Arial" w:hAnsi="Arial"/>
                <w:sz w:val="22"/>
                <w:szCs w:val="22"/>
                <w:color w:val="auto"/>
                <w:w w:val="78"/>
              </w:rPr>
              <w:t>5.1</w:t>
            </w:r>
          </w:p>
        </w:tc>
        <w:tc>
          <w:tcPr>
            <w:tcW w:w="9480" w:type="dxa"/>
            <w:vAlign w:val="bottom"/>
          </w:tcPr>
          <w:p>
            <w:pPr>
              <w:ind w:left="380"/>
              <w:spacing w:after="0"/>
              <w:rPr>
                <w:sz w:val="20"/>
                <w:szCs w:val="20"/>
                <w:color w:val="auto"/>
              </w:rPr>
            </w:pPr>
            <w:r>
              <w:rPr>
                <w:rFonts w:ascii="Arial" w:cs="Arial" w:eastAsia="Arial" w:hAnsi="Arial"/>
                <w:sz w:val="22"/>
                <w:szCs w:val="22"/>
                <w:u w:val="single" w:color="auto"/>
                <w:color w:val="auto"/>
                <w:w w:val="91"/>
              </w:rPr>
              <w:t>Third Party Offer</w:t>
            </w:r>
            <w:r>
              <w:rPr>
                <w:rFonts w:ascii="Arial" w:cs="Arial" w:eastAsia="Arial" w:hAnsi="Arial"/>
                <w:sz w:val="22"/>
                <w:szCs w:val="22"/>
                <w:color w:val="auto"/>
                <w:w w:val="91"/>
              </w:rPr>
              <w:t>. As soon as practicable, and in any event within [†] ([†]) [†] after Acquiror receives an</w:t>
            </w:r>
          </w:p>
        </w:tc>
      </w:tr>
    </w:tbl>
    <w:p>
      <w:pPr>
        <w:ind w:right="80"/>
        <w:spacing w:after="0" w:line="233" w:lineRule="auto"/>
        <w:rPr>
          <w:sz w:val="20"/>
          <w:szCs w:val="20"/>
          <w:color w:val="auto"/>
        </w:rPr>
      </w:pPr>
      <w:r>
        <w:rPr>
          <w:rFonts w:ascii="Arial" w:cs="Arial" w:eastAsia="Arial" w:hAnsi="Arial"/>
          <w:sz w:val="22"/>
          <w:szCs w:val="22"/>
          <w:color w:val="auto"/>
        </w:rPr>
        <w:t>offer to purchase the Compound for continued development or an offer to commercialize the Compound (a “</w:t>
      </w:r>
      <w:r>
        <w:rPr>
          <w:rFonts w:ascii="Arial" w:cs="Arial" w:eastAsia="Arial" w:hAnsi="Arial"/>
          <w:sz w:val="22"/>
          <w:szCs w:val="22"/>
          <w:b w:val="1"/>
          <w:bCs w:val="1"/>
          <w:color w:val="auto"/>
        </w:rPr>
        <w:t>Third Party Offer</w:t>
      </w:r>
      <w:r>
        <w:rPr>
          <w:rFonts w:ascii="Arial" w:cs="Arial" w:eastAsia="Arial" w:hAnsi="Arial"/>
          <w:sz w:val="22"/>
          <w:szCs w:val="22"/>
          <w:color w:val="auto"/>
        </w:rPr>
        <w:t>”) from any Third Party (each such Third Party, an “</w:t>
      </w:r>
      <w:r>
        <w:rPr>
          <w:rFonts w:ascii="Arial" w:cs="Arial" w:eastAsia="Arial" w:hAnsi="Arial"/>
          <w:sz w:val="22"/>
          <w:szCs w:val="22"/>
          <w:b w:val="1"/>
          <w:bCs w:val="1"/>
          <w:color w:val="auto"/>
        </w:rPr>
        <w:t>Offeror</w:t>
      </w:r>
      <w:r>
        <w:rPr>
          <w:rFonts w:ascii="Arial" w:cs="Arial" w:eastAsia="Arial" w:hAnsi="Arial"/>
          <w:sz w:val="22"/>
          <w:szCs w:val="22"/>
          <w:color w:val="auto"/>
        </w:rPr>
        <w:t>”), Acquiror shall (a) provide Seller with written notice setting forth the material terms of the Third Party Offer (a “</w:t>
      </w:r>
      <w:r>
        <w:rPr>
          <w:rFonts w:ascii="Arial" w:cs="Arial" w:eastAsia="Arial" w:hAnsi="Arial"/>
          <w:sz w:val="22"/>
          <w:szCs w:val="22"/>
          <w:b w:val="1"/>
          <w:bCs w:val="1"/>
          <w:color w:val="auto"/>
        </w:rPr>
        <w:t>ROFR Notice</w:t>
      </w:r>
      <w:r>
        <w:rPr>
          <w:rFonts w:ascii="Arial" w:cs="Arial" w:eastAsia="Arial" w:hAnsi="Arial"/>
          <w:sz w:val="22"/>
          <w:szCs w:val="22"/>
          <w:color w:val="auto"/>
        </w:rPr>
        <w:t>”), (b) not enter into a confidentiality or non-disclosure agreement that would prevent Acquiror from making such disclosures to Seller, and (c) not agree to an [†] agreement without first complying with this Article 5.</w:t>
      </w:r>
    </w:p>
    <w:p>
      <w:pPr>
        <w:spacing w:after="0" w:line="186" w:lineRule="exact"/>
        <w:rPr>
          <w:sz w:val="20"/>
          <w:szCs w:val="20"/>
          <w:color w:val="auto"/>
        </w:rPr>
      </w:pPr>
    </w:p>
    <w:p>
      <w:pPr>
        <w:ind w:left="860"/>
        <w:spacing w:after="0"/>
        <w:tabs>
          <w:tab w:leader="none" w:pos="1860" w:val="left"/>
        </w:tabs>
        <w:rPr>
          <w:sz w:val="20"/>
          <w:szCs w:val="20"/>
          <w:color w:val="auto"/>
        </w:rPr>
      </w:pPr>
      <w:r>
        <w:rPr>
          <w:rFonts w:ascii="Arial" w:cs="Arial" w:eastAsia="Arial" w:hAnsi="Arial"/>
          <w:sz w:val="22"/>
          <w:szCs w:val="22"/>
          <w:color w:val="auto"/>
        </w:rPr>
        <w:t>5.2</w:t>
      </w:r>
      <w:r>
        <w:rPr>
          <w:sz w:val="20"/>
          <w:szCs w:val="20"/>
          <w:color w:val="auto"/>
        </w:rPr>
        <w:tab/>
      </w:r>
      <w:r>
        <w:rPr>
          <w:rFonts w:ascii="Arial" w:cs="Arial" w:eastAsia="Arial" w:hAnsi="Arial"/>
          <w:sz w:val="19"/>
          <w:szCs w:val="19"/>
          <w:u w:val="single" w:color="auto"/>
          <w:color w:val="auto"/>
        </w:rPr>
        <w:t>ROFR Procedure</w:t>
      </w:r>
      <w:r>
        <w:rPr>
          <w:rFonts w:ascii="Arial" w:cs="Arial" w:eastAsia="Arial" w:hAnsi="Arial"/>
          <w:sz w:val="19"/>
          <w:szCs w:val="19"/>
          <w:color w:val="auto"/>
        </w:rPr>
        <w:t>.</w:t>
      </w:r>
    </w:p>
    <w:p>
      <w:pPr>
        <w:spacing w:after="0" w:line="206" w:lineRule="exact"/>
        <w:rPr>
          <w:sz w:val="20"/>
          <w:szCs w:val="20"/>
          <w:color w:val="auto"/>
        </w:rPr>
      </w:pPr>
    </w:p>
    <w:p>
      <w:pPr>
        <w:ind w:right="100" w:firstLine="1698"/>
        <w:spacing w:after="0" w:line="279" w:lineRule="auto"/>
        <w:tabs>
          <w:tab w:leader="none" w:pos="2578" w:val="left"/>
        </w:tabs>
        <w:numPr>
          <w:ilvl w:val="0"/>
          <w:numId w:val="140"/>
        </w:numPr>
        <w:rPr>
          <w:rFonts w:ascii="Arial" w:cs="Arial" w:eastAsia="Arial" w:hAnsi="Arial"/>
          <w:sz w:val="19"/>
          <w:szCs w:val="19"/>
          <w:color w:val="auto"/>
        </w:rPr>
      </w:pPr>
      <w:r>
        <w:rPr>
          <w:rFonts w:ascii="Arial" w:cs="Arial" w:eastAsia="Arial" w:hAnsi="Arial"/>
          <w:sz w:val="19"/>
          <w:szCs w:val="19"/>
          <w:color w:val="auto"/>
        </w:rPr>
        <w:t>Following receipt of any ROFR Notice, Seller shall have [†] ([†]) [†] from the date of receipt of such ROFR Notice to notify Acquiror in writing that it would like to enter into negotiations with Acquiror to commercialize the Compound (each, a “</w:t>
      </w:r>
      <w:r>
        <w:rPr>
          <w:rFonts w:ascii="Arial" w:cs="Arial" w:eastAsia="Arial" w:hAnsi="Arial"/>
          <w:sz w:val="19"/>
          <w:szCs w:val="19"/>
          <w:b w:val="1"/>
          <w:bCs w:val="1"/>
          <w:color w:val="auto"/>
        </w:rPr>
        <w:t>ROFR Negotiation Notice</w:t>
      </w:r>
      <w:r>
        <w:rPr>
          <w:rFonts w:ascii="Arial" w:cs="Arial" w:eastAsia="Arial" w:hAnsi="Arial"/>
          <w:sz w:val="19"/>
          <w:szCs w:val="19"/>
          <w:color w:val="auto"/>
        </w:rPr>
        <w:t>”). If Seller fails to provide a ROFR Negotiation Notice within such [†] ([†]) [†] time period, Acquiror shall be free to accept any Third Party Offer (including, without limitation, the Third Party Offer subject to the ROFR Notice) and close such a transaction within [†] ([†]) [†] of the end of such [†] ([†]) [†] time period, and Acquiror shall not be required to comply with Section 5.1 with respect to any other Third Party Offer during such [†] ([†]) [†] period.</w:t>
      </w:r>
    </w:p>
    <w:p>
      <w:pPr>
        <w:spacing w:after="0" w:line="150" w:lineRule="exact"/>
        <w:rPr>
          <w:rFonts w:ascii="Arial" w:cs="Arial" w:eastAsia="Arial" w:hAnsi="Arial"/>
          <w:sz w:val="19"/>
          <w:szCs w:val="19"/>
          <w:color w:val="auto"/>
        </w:rPr>
      </w:pPr>
    </w:p>
    <w:p>
      <w:pPr>
        <w:ind w:firstLine="1698"/>
        <w:spacing w:after="0" w:line="273" w:lineRule="auto"/>
        <w:tabs>
          <w:tab w:leader="none" w:pos="2590" w:val="left"/>
        </w:tabs>
        <w:numPr>
          <w:ilvl w:val="0"/>
          <w:numId w:val="140"/>
        </w:numPr>
        <w:rPr>
          <w:rFonts w:ascii="Arial" w:cs="Arial" w:eastAsia="Arial" w:hAnsi="Arial"/>
          <w:sz w:val="19"/>
          <w:szCs w:val="19"/>
          <w:color w:val="auto"/>
        </w:rPr>
      </w:pPr>
      <w:r>
        <w:rPr>
          <w:rFonts w:ascii="Arial" w:cs="Arial" w:eastAsia="Arial" w:hAnsi="Arial"/>
          <w:sz w:val="19"/>
          <w:szCs w:val="19"/>
          <w:color w:val="auto"/>
        </w:rPr>
        <w:t>If Seller provides a ROFR Negotiation Notice to Acquiror, Acquiror shall engage in good faith discussions with Seller for a period of at least [†] ([†]) [†] or such other period as Seller and Acquiror may agree upon (the “</w:t>
      </w:r>
      <w:r>
        <w:rPr>
          <w:rFonts w:ascii="Arial" w:cs="Arial" w:eastAsia="Arial" w:hAnsi="Arial"/>
          <w:sz w:val="19"/>
          <w:szCs w:val="19"/>
          <w:b w:val="1"/>
          <w:bCs w:val="1"/>
          <w:color w:val="auto"/>
        </w:rPr>
        <w:t>ROFR</w:t>
      </w:r>
      <w:r>
        <w:rPr>
          <w:rFonts w:ascii="Arial" w:cs="Arial" w:eastAsia="Arial" w:hAnsi="Arial"/>
          <w:sz w:val="19"/>
          <w:szCs w:val="19"/>
          <w:color w:val="auto"/>
        </w:rPr>
        <w:t xml:space="preserve"> </w:t>
      </w:r>
      <w:r>
        <w:rPr>
          <w:rFonts w:ascii="Arial" w:cs="Arial" w:eastAsia="Arial" w:hAnsi="Arial"/>
          <w:sz w:val="19"/>
          <w:szCs w:val="19"/>
          <w:b w:val="1"/>
          <w:bCs w:val="1"/>
          <w:color w:val="auto"/>
        </w:rPr>
        <w:t>Negotiation Period</w:t>
      </w:r>
      <w:r>
        <w:rPr>
          <w:rFonts w:ascii="Arial" w:cs="Arial" w:eastAsia="Arial" w:hAnsi="Arial"/>
          <w:sz w:val="19"/>
          <w:szCs w:val="19"/>
          <w:color w:val="auto"/>
        </w:rPr>
        <w:t>”). During the ROFR Negotiation Period, Acquiror and Seller agree to undertake good-faith discussions</w:t>
      </w:r>
      <w:r>
        <w:rPr>
          <w:rFonts w:ascii="Arial" w:cs="Arial" w:eastAsia="Arial" w:hAnsi="Arial"/>
          <w:sz w:val="19"/>
          <w:szCs w:val="19"/>
          <w:b w:val="1"/>
          <w:bCs w:val="1"/>
          <w:color w:val="auto"/>
        </w:rPr>
        <w:t xml:space="preserve"> </w:t>
      </w:r>
      <w:r>
        <w:rPr>
          <w:rFonts w:ascii="Arial" w:cs="Arial" w:eastAsia="Arial" w:hAnsi="Arial"/>
          <w:sz w:val="19"/>
          <w:szCs w:val="19"/>
          <w:color w:val="auto"/>
        </w:rPr>
        <w:t>regarding Seller’s interest in purchasing the Compound for further development and/or commercializing the Compound on terms at least as favorable to Acquiror as those contained in the ROFR Notice, and the Parties shall negotiate in good faith to finalize an agreement or letter of intent that is mutually agreeable with respect to the terms of such transaction. If Acquiror and Seller do not enter into a written agreement or letter of intent regarding the purchase or commercialization of the Compound during the ROFR Negotiation Period, Acquiror shall be free to accept any Third Party Offer (including, without limitation, the Third Party Offer subject to the ROFR Notice) and close such a transaction within ([†]) [†] of the end the ROFR Negotiation Period on terms that are, for the Acquiror, equal or superior to the terms set forth in the ROFR Notice, and Acquiror shall not be required to comply with Section 5.1 with respect to any other Third Party Offer during such [†] ([†]) [†] period.</w:t>
      </w:r>
    </w:p>
    <w:p>
      <w:pPr>
        <w:spacing w:after="0" w:line="156" w:lineRule="exact"/>
        <w:rPr>
          <w:rFonts w:ascii="Arial" w:cs="Arial" w:eastAsia="Arial" w:hAnsi="Arial"/>
          <w:sz w:val="19"/>
          <w:szCs w:val="19"/>
          <w:color w:val="auto"/>
        </w:rPr>
      </w:pPr>
    </w:p>
    <w:p>
      <w:pPr>
        <w:ind w:right="20" w:firstLine="1698"/>
        <w:spacing w:after="0"/>
        <w:tabs>
          <w:tab w:leader="none" w:pos="2578" w:val="left"/>
        </w:tabs>
        <w:numPr>
          <w:ilvl w:val="0"/>
          <w:numId w:val="140"/>
        </w:numPr>
        <w:rPr>
          <w:rFonts w:ascii="Arial" w:cs="Arial" w:eastAsia="Arial" w:hAnsi="Arial"/>
          <w:sz w:val="22"/>
          <w:szCs w:val="22"/>
          <w:color w:val="auto"/>
        </w:rPr>
      </w:pPr>
      <w:r>
        <w:rPr>
          <w:rFonts w:ascii="Arial" w:cs="Arial" w:eastAsia="Arial" w:hAnsi="Arial"/>
          <w:sz w:val="22"/>
          <w:szCs w:val="22"/>
          <w:color w:val="auto"/>
        </w:rPr>
        <w:t>If Acquiror does not enter into an agreement with a Third Party within the [†] ([†]) [†] period set forth in Sections 5.2(a) or (b), then Acquiror shall again comply with the provisions of this Article 5 with respect to any Third Party Offer received after the end of such [†] ([†]) [†] period.</w:t>
      </w:r>
    </w:p>
    <w:p>
      <w:pPr>
        <w:spacing w:after="0" w:line="186" w:lineRule="exact"/>
        <w:rPr>
          <w:sz w:val="20"/>
          <w:szCs w:val="20"/>
          <w:color w:val="auto"/>
        </w:rPr>
      </w:pPr>
    </w:p>
    <w:p>
      <w:pPr>
        <w:ind w:right="100" w:firstLine="846"/>
        <w:spacing w:after="0" w:line="236" w:lineRule="auto"/>
        <w:rPr>
          <w:sz w:val="20"/>
          <w:szCs w:val="20"/>
          <w:color w:val="auto"/>
        </w:rPr>
      </w:pPr>
      <w:r>
        <w:rPr>
          <w:rFonts w:ascii="Arial" w:cs="Arial" w:eastAsia="Arial" w:hAnsi="Arial"/>
          <w:sz w:val="22"/>
          <w:szCs w:val="22"/>
          <w:color w:val="auto"/>
        </w:rPr>
        <w:t xml:space="preserve">5.3 </w:t>
      </w:r>
      <w:r>
        <w:rPr>
          <w:rFonts w:ascii="Arial" w:cs="Arial" w:eastAsia="Arial" w:hAnsi="Arial"/>
          <w:sz w:val="22"/>
          <w:szCs w:val="22"/>
          <w:u w:val="single" w:color="auto"/>
          <w:color w:val="auto"/>
        </w:rPr>
        <w:t>Right of First Offer</w:t>
      </w:r>
      <w:r>
        <w:rPr>
          <w:rFonts w:ascii="Arial" w:cs="Arial" w:eastAsia="Arial" w:hAnsi="Arial"/>
          <w:sz w:val="22"/>
          <w:szCs w:val="22"/>
          <w:color w:val="auto"/>
        </w:rPr>
        <w:t>. If Acquiror desires to, on its own behalf or in conjunction with any Third Party, directly or indirectly, in any capacity whatsoever commercialize the Compound including any sale of the commercial rights to the Compound, Acquiror shall first provide Seller the opportunity to commercialize the Compound by providing Seller with written notice of such desire (the “</w:t>
      </w:r>
      <w:r>
        <w:rPr>
          <w:rFonts w:ascii="Arial" w:cs="Arial" w:eastAsia="Arial" w:hAnsi="Arial"/>
          <w:sz w:val="22"/>
          <w:szCs w:val="22"/>
          <w:b w:val="1"/>
          <w:bCs w:val="1"/>
          <w:color w:val="auto"/>
        </w:rPr>
        <w:t>ROFO Notice</w:t>
      </w:r>
      <w:r>
        <w:rPr>
          <w:rFonts w:ascii="Arial" w:cs="Arial" w:eastAsia="Arial" w:hAnsi="Arial"/>
          <w:sz w:val="22"/>
          <w:szCs w:val="22"/>
          <w:color w:val="auto"/>
        </w:rPr>
        <w:t>”) and agrees that it will not agree to [†] agreement with any Third Party without first complying with this Article 5.</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-14-</w:t>
      </w:r>
    </w:p>
    <w:p>
      <w:pPr>
        <w:spacing w:after="0" w:line="5" w:lineRule="exact"/>
        <w:rPr>
          <w:sz w:val="20"/>
          <w:szCs w:val="20"/>
          <w:color w:val="auto"/>
        </w:rPr>
      </w:pPr>
    </w:p>
    <w:p>
      <w:pPr>
        <w:ind w:right="40" w:firstLine="8"/>
        <w:spacing w:after="0" w:line="237" w:lineRule="auto"/>
        <w:tabs>
          <w:tab w:leader="none" w:pos="204" w:val="left"/>
        </w:tabs>
        <w:numPr>
          <w:ilvl w:val="0"/>
          <w:numId w:val="141"/>
        </w:numPr>
        <w:rPr>
          <w:rFonts w:ascii="Arial" w:cs="Arial" w:eastAsia="Arial" w:hAnsi="Arial"/>
          <w:sz w:val="14"/>
          <w:szCs w:val="14"/>
          <w:color w:val="auto"/>
        </w:rPr>
      </w:pPr>
      <w:r>
        <w:rPr>
          <w:rFonts w:ascii="Arial" w:cs="Arial" w:eastAsia="Arial" w:hAnsi="Arial"/>
          <w:sz w:val="14"/>
          <w:szCs w:val="14"/>
          <w:color w:val="auto"/>
        </w:rPr>
        <w:t>DESIGNATES PORTIONS OF THIS DOCUMENT THAT HAVE BEEN OMITTED PURSUANT TO A REQUEST FOR CONFIDENTIAL TREATMENT FILED SEPARATELY WITH THE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46990</wp:posOffset>
            </wp:positionV>
            <wp:extent cx="7289165"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8" w:right="239" w:bottom="1440" w:gutter="0" w:footer="0" w:header="0"/>
        </w:sectPr>
      </w:pPr>
    </w:p>
    <w:bookmarkStart w:id="105" w:name="page106"/>
    <w:bookmarkEnd w:id="105"/>
    <w:p>
      <w:pPr>
        <w:ind w:left="860"/>
        <w:spacing w:after="0"/>
        <w:tabs>
          <w:tab w:leader="none" w:pos="1860" w:val="left"/>
        </w:tabs>
        <w:rPr>
          <w:sz w:val="20"/>
          <w:szCs w:val="20"/>
          <w:color w:val="auto"/>
        </w:rPr>
      </w:pPr>
      <w:r>
        <w:rPr>
          <w:rFonts w:ascii="Arial" w:cs="Arial" w:eastAsia="Arial" w:hAnsi="Arial"/>
          <w:sz w:val="22"/>
          <w:szCs w:val="22"/>
          <w:color w:val="auto"/>
        </w:rPr>
        <w:t>5.4</w:t>
      </w:r>
      <w:r>
        <w:rPr>
          <w:sz w:val="20"/>
          <w:szCs w:val="20"/>
          <w:color w:val="auto"/>
        </w:rPr>
        <w:tab/>
      </w:r>
      <w:r>
        <w:rPr>
          <w:rFonts w:ascii="Arial" w:cs="Arial" w:eastAsia="Arial" w:hAnsi="Arial"/>
          <w:sz w:val="19"/>
          <w:szCs w:val="19"/>
          <w:u w:val="single" w:color="auto"/>
          <w:color w:val="auto"/>
        </w:rPr>
        <w:t>ROFO Procedure</w:t>
      </w:r>
      <w:r>
        <w:rPr>
          <w:rFonts w:ascii="Arial" w:cs="Arial" w:eastAsia="Arial" w:hAnsi="Arial"/>
          <w:sz w:val="19"/>
          <w:szCs w:val="19"/>
          <w:color w:val="auto"/>
        </w:rPr>
        <w:t>.</w:t>
      </w:r>
    </w:p>
    <w:p>
      <w:pPr>
        <w:spacing w:after="0" w:line="206" w:lineRule="exact"/>
        <w:rPr>
          <w:sz w:val="20"/>
          <w:szCs w:val="20"/>
          <w:color w:val="auto"/>
        </w:rPr>
      </w:pPr>
    </w:p>
    <w:p>
      <w:pPr>
        <w:ind w:right="40" w:firstLine="1698"/>
        <w:spacing w:after="0" w:line="235" w:lineRule="auto"/>
        <w:tabs>
          <w:tab w:leader="none" w:pos="2578" w:val="left"/>
        </w:tabs>
        <w:numPr>
          <w:ilvl w:val="0"/>
          <w:numId w:val="142"/>
        </w:numPr>
        <w:rPr>
          <w:rFonts w:ascii="Arial" w:cs="Arial" w:eastAsia="Arial" w:hAnsi="Arial"/>
          <w:sz w:val="22"/>
          <w:szCs w:val="22"/>
          <w:color w:val="auto"/>
        </w:rPr>
      </w:pPr>
      <w:r>
        <w:rPr>
          <w:rFonts w:ascii="Arial" w:cs="Arial" w:eastAsia="Arial" w:hAnsi="Arial"/>
          <w:sz w:val="22"/>
          <w:szCs w:val="22"/>
          <w:color w:val="auto"/>
        </w:rPr>
        <w:t>Following receipt of any ROFO Notice, Seller shall have [†] ([†]) [†] from the date of receipt of such ROFO Notice to notify Acquiror in writing that it would like to enter into negotiations with Acquiror to commercialize the Compound (each, a “</w:t>
      </w:r>
      <w:r>
        <w:rPr>
          <w:rFonts w:ascii="Arial" w:cs="Arial" w:eastAsia="Arial" w:hAnsi="Arial"/>
          <w:sz w:val="22"/>
          <w:szCs w:val="22"/>
          <w:b w:val="1"/>
          <w:bCs w:val="1"/>
          <w:color w:val="auto"/>
        </w:rPr>
        <w:t>ROFO Negotiation Notice</w:t>
      </w:r>
      <w:r>
        <w:rPr>
          <w:rFonts w:ascii="Arial" w:cs="Arial" w:eastAsia="Arial" w:hAnsi="Arial"/>
          <w:sz w:val="22"/>
          <w:szCs w:val="22"/>
          <w:color w:val="auto"/>
        </w:rPr>
        <w:t>”). If Seller fails to provide a ROFO Negotiation Notice within such [†] ([†]) [†] time period, Acquiror shall be free to commercialize the Compound independently and shall also be free to enter into a definitive agreement with any Third Party to sell or otherwise grant rights to such Third Party with respect to the commercialization of the Compound, .</w:t>
      </w:r>
    </w:p>
    <w:p>
      <w:pPr>
        <w:spacing w:after="0" w:line="188" w:lineRule="exact"/>
        <w:rPr>
          <w:rFonts w:ascii="Arial" w:cs="Arial" w:eastAsia="Arial" w:hAnsi="Arial"/>
          <w:sz w:val="22"/>
          <w:szCs w:val="22"/>
          <w:color w:val="auto"/>
        </w:rPr>
      </w:pPr>
    </w:p>
    <w:p>
      <w:pPr>
        <w:ind w:firstLine="1698"/>
        <w:spacing w:after="0" w:line="271" w:lineRule="auto"/>
        <w:tabs>
          <w:tab w:leader="none" w:pos="2590" w:val="left"/>
        </w:tabs>
        <w:numPr>
          <w:ilvl w:val="0"/>
          <w:numId w:val="142"/>
        </w:numPr>
        <w:rPr>
          <w:rFonts w:ascii="Arial" w:cs="Arial" w:eastAsia="Arial" w:hAnsi="Arial"/>
          <w:sz w:val="19"/>
          <w:szCs w:val="19"/>
          <w:color w:val="auto"/>
        </w:rPr>
      </w:pPr>
      <w:r>
        <w:rPr>
          <w:rFonts w:ascii="Arial" w:cs="Arial" w:eastAsia="Arial" w:hAnsi="Arial"/>
          <w:sz w:val="19"/>
          <w:szCs w:val="19"/>
          <w:color w:val="auto"/>
        </w:rPr>
        <w:t>If Seller provides a ROFO Negotiation Notice to Acquiror, Acquiror shall engage in good faith discussions with Seller for a period of at least [†] ([†]) [†] or such other period as Seller and Acquiror may agree upon (the “</w:t>
      </w:r>
      <w:r>
        <w:rPr>
          <w:rFonts w:ascii="Arial" w:cs="Arial" w:eastAsia="Arial" w:hAnsi="Arial"/>
          <w:sz w:val="19"/>
          <w:szCs w:val="19"/>
          <w:b w:val="1"/>
          <w:bCs w:val="1"/>
          <w:color w:val="auto"/>
        </w:rPr>
        <w:t>ROFO</w:t>
      </w:r>
      <w:r>
        <w:rPr>
          <w:rFonts w:ascii="Arial" w:cs="Arial" w:eastAsia="Arial" w:hAnsi="Arial"/>
          <w:sz w:val="19"/>
          <w:szCs w:val="19"/>
          <w:color w:val="auto"/>
        </w:rPr>
        <w:t xml:space="preserve"> </w:t>
      </w:r>
      <w:r>
        <w:rPr>
          <w:rFonts w:ascii="Arial" w:cs="Arial" w:eastAsia="Arial" w:hAnsi="Arial"/>
          <w:sz w:val="19"/>
          <w:szCs w:val="19"/>
          <w:b w:val="1"/>
          <w:bCs w:val="1"/>
          <w:color w:val="auto"/>
        </w:rPr>
        <w:t>Negotiation Period</w:t>
      </w:r>
      <w:r>
        <w:rPr>
          <w:rFonts w:ascii="Arial" w:cs="Arial" w:eastAsia="Arial" w:hAnsi="Arial"/>
          <w:sz w:val="19"/>
          <w:szCs w:val="19"/>
          <w:color w:val="auto"/>
        </w:rPr>
        <w:t>”). During the ROFO Negotiation Period, Acquiror and Seller agree to undertake good-faith discussions</w:t>
      </w:r>
      <w:r>
        <w:rPr>
          <w:rFonts w:ascii="Arial" w:cs="Arial" w:eastAsia="Arial" w:hAnsi="Arial"/>
          <w:sz w:val="19"/>
          <w:szCs w:val="19"/>
          <w:b w:val="1"/>
          <w:bCs w:val="1"/>
          <w:color w:val="auto"/>
        </w:rPr>
        <w:t xml:space="preserve"> </w:t>
      </w:r>
      <w:r>
        <w:rPr>
          <w:rFonts w:ascii="Arial" w:cs="Arial" w:eastAsia="Arial" w:hAnsi="Arial"/>
          <w:sz w:val="19"/>
          <w:szCs w:val="19"/>
          <w:color w:val="auto"/>
        </w:rPr>
        <w:t>regarding Seller’s interest in commercializing the Compound, and the Parties shall negotiate in good faith to finalize an agreement or letter of intent that is mutually agreeable with respect to the terms of such transaction. If Acquiror and Seller do not enter into a written agreement or letter of intent regarding the commercialization of the Compound during the ROFO Negotiation Period or agree to extend the ROFO Negotiation Period, the negotiation period automatically shall be extended for [†] ([†]) [†] in which time period Seller may, if it wishes to do so, provide Acquiror with a written offer with respect to the commercialization of the Compound (the “</w:t>
      </w:r>
      <w:r>
        <w:rPr>
          <w:rFonts w:ascii="Arial" w:cs="Arial" w:eastAsia="Arial" w:hAnsi="Arial"/>
          <w:sz w:val="19"/>
          <w:szCs w:val="19"/>
          <w:b w:val="1"/>
          <w:bCs w:val="1"/>
          <w:color w:val="auto"/>
        </w:rPr>
        <w:t>Seller Offer</w:t>
      </w:r>
      <w:r>
        <w:rPr>
          <w:rFonts w:ascii="Arial" w:cs="Arial" w:eastAsia="Arial" w:hAnsi="Arial"/>
          <w:sz w:val="19"/>
          <w:szCs w:val="19"/>
          <w:color w:val="auto"/>
        </w:rPr>
        <w:t>”). Thereafter, Acquiror shall be free to commercialize the Compound independently and shall also be free to enter into a definitive agreement with any Third Party to sell or otherwise grant rights to such Third Party with respect to the Compound, but only on terms with a Third Party as a whole that are superior to those of the Seller Offer. If Acquiror does not take any substantive actions towards the commercialization of the Compound independently or enter into an agreement with a Third Party to sell or otherwise grant rights to such Third Party with respect to the Compound in any manner, within [†] ([†]) [†] after the end of the ROFO Negotiation Period, then Acquiror shall again comply with the provisions of this Article 5 before taking such an action thereafter.</w:t>
      </w:r>
    </w:p>
    <w:p>
      <w:pPr>
        <w:spacing w:after="0" w:line="200" w:lineRule="exact"/>
        <w:rPr>
          <w:sz w:val="20"/>
          <w:szCs w:val="20"/>
          <w:color w:val="auto"/>
        </w:rPr>
      </w:pPr>
    </w:p>
    <w:p>
      <w:pPr>
        <w:spacing w:after="0" w:line="209" w:lineRule="exact"/>
        <w:rPr>
          <w:sz w:val="20"/>
          <w:szCs w:val="20"/>
          <w:color w:val="auto"/>
        </w:rPr>
      </w:pPr>
    </w:p>
    <w:p>
      <w:pPr>
        <w:ind w:right="120" w:firstLine="846"/>
        <w:spacing w:after="0" w:line="246" w:lineRule="auto"/>
        <w:rPr>
          <w:sz w:val="20"/>
          <w:szCs w:val="20"/>
          <w:color w:val="auto"/>
        </w:rPr>
      </w:pPr>
      <w:r>
        <w:rPr>
          <w:rFonts w:ascii="Arial" w:cs="Arial" w:eastAsia="Arial" w:hAnsi="Arial"/>
          <w:sz w:val="21"/>
          <w:szCs w:val="21"/>
          <w:color w:val="auto"/>
        </w:rPr>
        <w:t xml:space="preserve">5.5 </w:t>
      </w:r>
      <w:r>
        <w:rPr>
          <w:rFonts w:ascii="Arial" w:cs="Arial" w:eastAsia="Arial" w:hAnsi="Arial"/>
          <w:sz w:val="21"/>
          <w:szCs w:val="21"/>
          <w:u w:val="single" w:color="auto"/>
          <w:color w:val="auto"/>
        </w:rPr>
        <w:t>Exclusions and Termination</w:t>
      </w:r>
      <w:r>
        <w:rPr>
          <w:rFonts w:ascii="Arial" w:cs="Arial" w:eastAsia="Arial" w:hAnsi="Arial"/>
          <w:sz w:val="21"/>
          <w:szCs w:val="21"/>
          <w:color w:val="auto"/>
        </w:rPr>
        <w:t>. For the avoidance of doubt, nothing in this Article 5 shall restrict or limit the Acquiror’s ability to sell or issue equity or debt securities or otherwise incur indebtedness or encumber its assets, in each case for bona fide financing purposes, and the Seller’s rights hereunder shall not apply to any such transaction. This Article 5 shall terminate upon the occurrence of (1) the closing of any transaction or series of related transactions (including without limitation, any reorganization, merger or consolidation) which will result in the Acquiror’s stockholders immediately prior to such transaction(s) not holding (by virtue of such shares or securities issued solely with respect thereto) at least a majority of the voting power of the surviving, resulting or continuing entity, or (2) the closing of the sale, license, lease or other disposition of all or substantially all of the assets of the Acquiror.</w:t>
      </w:r>
    </w:p>
    <w:p>
      <w:pPr>
        <w:spacing w:after="0" w:line="200" w:lineRule="exact"/>
        <w:rPr>
          <w:sz w:val="20"/>
          <w:szCs w:val="20"/>
          <w:color w:val="auto"/>
        </w:rPr>
      </w:pPr>
    </w:p>
    <w:p>
      <w:pPr>
        <w:spacing w:after="0" w:line="224"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-15-</w:t>
      </w:r>
    </w:p>
    <w:p>
      <w:pPr>
        <w:spacing w:after="0" w:line="5" w:lineRule="exact"/>
        <w:rPr>
          <w:sz w:val="20"/>
          <w:szCs w:val="20"/>
          <w:color w:val="auto"/>
        </w:rPr>
      </w:pPr>
    </w:p>
    <w:p>
      <w:pPr>
        <w:ind w:firstLine="8"/>
        <w:spacing w:after="0" w:line="237" w:lineRule="auto"/>
        <w:tabs>
          <w:tab w:leader="none" w:pos="204" w:val="left"/>
        </w:tabs>
        <w:numPr>
          <w:ilvl w:val="0"/>
          <w:numId w:val="143"/>
        </w:numPr>
        <w:rPr>
          <w:rFonts w:ascii="Arial" w:cs="Arial" w:eastAsia="Arial" w:hAnsi="Arial"/>
          <w:sz w:val="14"/>
          <w:szCs w:val="14"/>
          <w:color w:val="auto"/>
        </w:rPr>
      </w:pPr>
      <w:r>
        <w:rPr>
          <w:rFonts w:ascii="Arial" w:cs="Arial" w:eastAsia="Arial" w:hAnsi="Arial"/>
          <w:sz w:val="14"/>
          <w:szCs w:val="14"/>
          <w:color w:val="auto"/>
        </w:rPr>
        <w:t>DESIGNATES PORTIONS OF THIS DOCUMENT THAT HAVE BEEN OMITTED PURSUANT TO A REQUEST FOR CONFIDENTIAL TREATMENT FILED SEPARATELY WITH THE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46990</wp:posOffset>
            </wp:positionV>
            <wp:extent cx="7289165"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564" w:right="279" w:bottom="1440" w:gutter="0" w:footer="0" w:header="0"/>
        </w:sectPr>
      </w:pPr>
    </w:p>
    <w:bookmarkStart w:id="106" w:name="page107"/>
    <w:bookmarkEnd w:id="106"/>
    <w:p>
      <w:pPr>
        <w:ind w:left="860" w:right="2220" w:firstLine="1392"/>
        <w:spacing w:after="0" w:line="438" w:lineRule="auto"/>
        <w:rPr>
          <w:sz w:val="20"/>
          <w:szCs w:val="20"/>
          <w:color w:val="auto"/>
        </w:rPr>
      </w:pPr>
      <w:r>
        <w:rPr>
          <w:rFonts w:ascii="Arial" w:cs="Arial" w:eastAsia="Arial" w:hAnsi="Arial"/>
          <w:sz w:val="22"/>
          <w:szCs w:val="22"/>
          <w:b w:val="1"/>
          <w:bCs w:val="1"/>
          <w:color w:val="auto"/>
        </w:rPr>
        <w:t xml:space="preserve">ARTICLE 6 REPRESENTATIONS AND WARRANTIES OF ACQUIROR </w:t>
      </w:r>
      <w:r>
        <w:rPr>
          <w:rFonts w:ascii="Arial" w:cs="Arial" w:eastAsia="Arial" w:hAnsi="Arial"/>
          <w:sz w:val="22"/>
          <w:szCs w:val="22"/>
          <w:color w:val="auto"/>
        </w:rPr>
        <w:t>Acquiror represents and warrants to Seller as follows:</w:t>
      </w:r>
    </w:p>
    <w:p>
      <w:pPr>
        <w:spacing w:after="0" w:line="1" w:lineRule="exact"/>
        <w:rPr>
          <w:sz w:val="20"/>
          <w:szCs w:val="20"/>
          <w:color w:val="auto"/>
        </w:rPr>
      </w:pPr>
    </w:p>
    <w:p>
      <w:pPr>
        <w:ind w:left="860"/>
        <w:spacing w:after="0"/>
        <w:tabs>
          <w:tab w:leader="none" w:pos="1860" w:val="left"/>
        </w:tabs>
        <w:rPr>
          <w:sz w:val="20"/>
          <w:szCs w:val="20"/>
          <w:color w:val="auto"/>
        </w:rPr>
      </w:pPr>
      <w:r>
        <w:rPr>
          <w:rFonts w:ascii="Arial" w:cs="Arial" w:eastAsia="Arial" w:hAnsi="Arial"/>
          <w:sz w:val="22"/>
          <w:szCs w:val="22"/>
          <w:color w:val="auto"/>
        </w:rPr>
        <w:t>6.1</w:t>
      </w:r>
      <w:r>
        <w:rPr>
          <w:sz w:val="20"/>
          <w:szCs w:val="20"/>
          <w:color w:val="auto"/>
        </w:rPr>
        <w:tab/>
      </w:r>
      <w:r>
        <w:rPr>
          <w:rFonts w:ascii="Arial" w:cs="Arial" w:eastAsia="Arial" w:hAnsi="Arial"/>
          <w:sz w:val="19"/>
          <w:szCs w:val="19"/>
          <w:u w:val="single" w:color="auto"/>
          <w:color w:val="auto"/>
        </w:rPr>
        <w:t>Organization and Good Standing</w:t>
      </w:r>
      <w:r>
        <w:rPr>
          <w:rFonts w:ascii="Arial" w:cs="Arial" w:eastAsia="Arial" w:hAnsi="Arial"/>
          <w:sz w:val="19"/>
          <w:szCs w:val="19"/>
          <w:color w:val="auto"/>
        </w:rPr>
        <w:t>. Acquiror is a corporation duly organized, validly existing and in good</w:t>
      </w:r>
    </w:p>
    <w:p>
      <w:pPr>
        <w:spacing w:after="0" w:line="8" w:lineRule="exact"/>
        <w:rPr>
          <w:sz w:val="20"/>
          <w:szCs w:val="20"/>
          <w:color w:val="auto"/>
        </w:rPr>
      </w:pPr>
    </w:p>
    <w:p>
      <w:pPr>
        <w:ind w:right="680"/>
        <w:spacing w:after="0" w:line="308" w:lineRule="auto"/>
        <w:rPr>
          <w:sz w:val="20"/>
          <w:szCs w:val="20"/>
          <w:color w:val="auto"/>
        </w:rPr>
      </w:pPr>
      <w:r>
        <w:rPr>
          <w:rFonts w:ascii="Arial" w:cs="Arial" w:eastAsia="Arial" w:hAnsi="Arial"/>
          <w:sz w:val="19"/>
          <w:szCs w:val="19"/>
          <w:color w:val="auto"/>
        </w:rPr>
        <w:t>standing under the Laws of the jurisdiction of its incorporation, has all requisite power to carry on its business as now being conducted, and is duly qualified to do business and is in good standing in which it conducts any business.</w:t>
      </w:r>
    </w:p>
    <w:p>
      <w:pPr>
        <w:spacing w:after="0" w:line="123" w:lineRule="exact"/>
        <w:rPr>
          <w:sz w:val="20"/>
          <w:szCs w:val="20"/>
          <w:color w:val="auto"/>
        </w:rPr>
      </w:pPr>
    </w:p>
    <w:p>
      <w:pPr>
        <w:ind w:firstLine="846"/>
        <w:spacing w:after="0" w:line="275" w:lineRule="auto"/>
        <w:rPr>
          <w:sz w:val="20"/>
          <w:szCs w:val="20"/>
          <w:color w:val="auto"/>
        </w:rPr>
      </w:pPr>
      <w:r>
        <w:rPr>
          <w:rFonts w:ascii="Arial" w:cs="Arial" w:eastAsia="Arial" w:hAnsi="Arial"/>
          <w:sz w:val="19"/>
          <w:szCs w:val="19"/>
          <w:color w:val="auto"/>
        </w:rPr>
        <w:t xml:space="preserve">6.2 </w:t>
      </w:r>
      <w:r>
        <w:rPr>
          <w:rFonts w:ascii="Arial" w:cs="Arial" w:eastAsia="Arial" w:hAnsi="Arial"/>
          <w:sz w:val="19"/>
          <w:szCs w:val="19"/>
          <w:u w:val="single" w:color="auto"/>
          <w:color w:val="auto"/>
        </w:rPr>
        <w:t>Authority and Enforceability</w:t>
      </w:r>
      <w:r>
        <w:rPr>
          <w:rFonts w:ascii="Arial" w:cs="Arial" w:eastAsia="Arial" w:hAnsi="Arial"/>
          <w:sz w:val="19"/>
          <w:szCs w:val="19"/>
          <w:color w:val="auto"/>
        </w:rPr>
        <w:t>. Acquiror has the requisite power and authority to enter into each of the Transaction Documents, to perform its obligations under each of the Transaction Documents and to consummate the Transaction. The execution and delivery of the Transaction Documents by Acquiror and the consummation of the transactions contemplated thereby have been duly authorized by all necessary corporate action on the part of Acquiror. Each of the Transaction Documents has been duly executed and delivered by Acquiror and, assuming due authorization, execution and delivery by the Seller Party, constitute the valid and binding obligations of Acquiror, enforceable against each of them in accordance with its terms, except as such enforceability may be limited by (a) bankruptcy, insolvency, reorganization, moratorium or other similar Laws affecting or relating to creditors’ rights generally, and (b) the availability of injunctive relief and other equitable remedies.</w:t>
      </w:r>
    </w:p>
    <w:p>
      <w:pPr>
        <w:spacing w:after="0" w:line="158" w:lineRule="exact"/>
        <w:rPr>
          <w:sz w:val="20"/>
          <w:szCs w:val="20"/>
          <w:color w:val="auto"/>
        </w:rPr>
      </w:pPr>
    </w:p>
    <w:p>
      <w:pPr>
        <w:ind w:right="180" w:firstLine="846"/>
        <w:spacing w:after="0" w:line="297" w:lineRule="auto"/>
        <w:rPr>
          <w:sz w:val="20"/>
          <w:szCs w:val="20"/>
          <w:color w:val="auto"/>
        </w:rPr>
      </w:pPr>
      <w:r>
        <w:rPr>
          <w:rFonts w:ascii="Arial" w:cs="Arial" w:eastAsia="Arial" w:hAnsi="Arial"/>
          <w:sz w:val="19"/>
          <w:szCs w:val="19"/>
          <w:color w:val="auto"/>
        </w:rPr>
        <w:t xml:space="preserve">6.3 </w:t>
      </w:r>
      <w:r>
        <w:rPr>
          <w:rFonts w:ascii="Arial" w:cs="Arial" w:eastAsia="Arial" w:hAnsi="Arial"/>
          <w:sz w:val="19"/>
          <w:szCs w:val="19"/>
          <w:u w:val="single" w:color="auto"/>
          <w:color w:val="auto"/>
        </w:rPr>
        <w:t>Financial Capability</w:t>
      </w:r>
      <w:r>
        <w:rPr>
          <w:rFonts w:ascii="Arial" w:cs="Arial" w:eastAsia="Arial" w:hAnsi="Arial"/>
          <w:sz w:val="19"/>
          <w:szCs w:val="19"/>
          <w:color w:val="auto"/>
        </w:rPr>
        <w:t>. Acquiror has, and at the Closing will have, sufficient internal funds (without giving effect to any unfunded financing regardless of whether any such financing is committed) available to pay the Base Purchase Price and any expenses incurred by Acquiror in connection with the transactions contemplated by this Agreement.</w:t>
      </w:r>
    </w:p>
    <w:p>
      <w:pPr>
        <w:spacing w:after="0" w:line="134" w:lineRule="exact"/>
        <w:rPr>
          <w:sz w:val="20"/>
          <w:szCs w:val="20"/>
          <w:color w:val="auto"/>
        </w:rPr>
      </w:pPr>
    </w:p>
    <w:p>
      <w:pPr>
        <w:ind w:right="120" w:firstLine="846"/>
        <w:spacing w:after="0"/>
        <w:rPr>
          <w:sz w:val="20"/>
          <w:szCs w:val="20"/>
          <w:color w:val="auto"/>
        </w:rPr>
      </w:pPr>
      <w:r>
        <w:rPr>
          <w:rFonts w:ascii="Arial" w:cs="Arial" w:eastAsia="Arial" w:hAnsi="Arial"/>
          <w:sz w:val="22"/>
          <w:szCs w:val="22"/>
          <w:color w:val="auto"/>
        </w:rPr>
        <w:t xml:space="preserve">6.4 </w:t>
      </w:r>
      <w:r>
        <w:rPr>
          <w:rFonts w:ascii="Arial" w:cs="Arial" w:eastAsia="Arial" w:hAnsi="Arial"/>
          <w:sz w:val="22"/>
          <w:szCs w:val="22"/>
          <w:u w:val="single" w:color="auto"/>
          <w:color w:val="auto"/>
        </w:rPr>
        <w:t>Litigation</w:t>
      </w:r>
      <w:r>
        <w:rPr>
          <w:rFonts w:ascii="Arial" w:cs="Arial" w:eastAsia="Arial" w:hAnsi="Arial"/>
          <w:sz w:val="22"/>
          <w:szCs w:val="22"/>
          <w:color w:val="auto"/>
        </w:rPr>
        <w:t>. There is no Action pending or, to the knowledge of Acquiror, threatened against Acquiror, that challenges or seeks to prevent, enjoin or otherwise delay the Transaction. To the knowledge of Acquiror, no event has occurred or circumstances exist that may give rise or serve as a basis for any such Action.</w:t>
      </w:r>
    </w:p>
    <w:p>
      <w:pPr>
        <w:spacing w:after="0" w:line="180" w:lineRule="exact"/>
        <w:rPr>
          <w:sz w:val="20"/>
          <w:szCs w:val="20"/>
          <w:color w:val="auto"/>
        </w:rPr>
      </w:pPr>
    </w:p>
    <w:tbl>
      <w:tblPr>
        <w:tblLayout w:type="fixed"/>
        <w:tblInd w:w="860" w:type="dxa"/>
        <w:tblCellMar>
          <w:top w:w="0" w:type="dxa"/>
          <w:left w:w="0" w:type="dxa"/>
          <w:bottom w:w="0" w:type="dxa"/>
          <w:right w:w="0" w:type="dxa"/>
        </w:tblCellMar>
      </w:tblPr>
      <w:tr>
        <w:trPr>
          <w:trHeight w:val="281"/>
        </w:trPr>
        <w:tc>
          <w:tcPr>
            <w:tcW w:w="640" w:type="dxa"/>
            <w:vAlign w:val="bottom"/>
          </w:tcPr>
          <w:p>
            <w:pPr>
              <w:spacing w:after="0"/>
              <w:rPr>
                <w:sz w:val="24"/>
                <w:szCs w:val="24"/>
                <w:color w:val="auto"/>
              </w:rPr>
            </w:pPr>
          </w:p>
        </w:tc>
        <w:tc>
          <w:tcPr>
            <w:tcW w:w="9720" w:type="dxa"/>
            <w:vAlign w:val="bottom"/>
          </w:tcPr>
          <w:p>
            <w:pPr>
              <w:ind w:left="2060"/>
              <w:spacing w:after="0"/>
              <w:rPr>
                <w:sz w:val="20"/>
                <w:szCs w:val="20"/>
                <w:color w:val="auto"/>
              </w:rPr>
            </w:pPr>
            <w:r>
              <w:rPr>
                <w:rFonts w:ascii="Arial" w:cs="Arial" w:eastAsia="Arial" w:hAnsi="Arial"/>
                <w:sz w:val="22"/>
                <w:szCs w:val="22"/>
                <w:b w:val="1"/>
                <w:bCs w:val="1"/>
                <w:color w:val="auto"/>
              </w:rPr>
              <w:t>ARTICLE 7 COVENANTS OF THE SELLER</w:t>
            </w:r>
          </w:p>
        </w:tc>
      </w:tr>
      <w:tr>
        <w:trPr>
          <w:trHeight w:val="446"/>
        </w:trPr>
        <w:tc>
          <w:tcPr>
            <w:tcW w:w="640" w:type="dxa"/>
            <w:vAlign w:val="bottom"/>
          </w:tcPr>
          <w:p>
            <w:pPr>
              <w:jc w:val="right"/>
              <w:ind w:right="272"/>
              <w:spacing w:after="0"/>
              <w:rPr>
                <w:sz w:val="20"/>
                <w:szCs w:val="20"/>
                <w:color w:val="auto"/>
              </w:rPr>
            </w:pPr>
            <w:r>
              <w:rPr>
                <w:rFonts w:ascii="Arial" w:cs="Arial" w:eastAsia="Arial" w:hAnsi="Arial"/>
                <w:sz w:val="22"/>
                <w:szCs w:val="22"/>
                <w:color w:val="auto"/>
                <w:w w:val="78"/>
              </w:rPr>
              <w:t>7.1</w:t>
            </w:r>
          </w:p>
        </w:tc>
        <w:tc>
          <w:tcPr>
            <w:tcW w:w="9720" w:type="dxa"/>
            <w:vAlign w:val="bottom"/>
          </w:tcPr>
          <w:p>
            <w:pPr>
              <w:ind w:left="380"/>
              <w:spacing w:after="0"/>
              <w:rPr>
                <w:sz w:val="20"/>
                <w:szCs w:val="20"/>
                <w:color w:val="auto"/>
              </w:rPr>
            </w:pPr>
            <w:r>
              <w:rPr>
                <w:rFonts w:ascii="Arial" w:cs="Arial" w:eastAsia="Arial" w:hAnsi="Arial"/>
                <w:sz w:val="22"/>
                <w:szCs w:val="22"/>
                <w:u w:val="single" w:color="auto"/>
                <w:color w:val="auto"/>
                <w:w w:val="90"/>
              </w:rPr>
              <w:t>Access to Information</w:t>
            </w:r>
            <w:r>
              <w:rPr>
                <w:rFonts w:ascii="Arial" w:cs="Arial" w:eastAsia="Arial" w:hAnsi="Arial"/>
                <w:sz w:val="22"/>
                <w:szCs w:val="22"/>
                <w:color w:val="auto"/>
                <w:w w:val="90"/>
              </w:rPr>
              <w:t>. Subject to the terms of the Confidentiality Agreement by and between Acquiror and</w:t>
            </w:r>
          </w:p>
        </w:tc>
      </w:tr>
    </w:tbl>
    <w:p>
      <w:pPr>
        <w:spacing w:after="0"/>
        <w:rPr>
          <w:sz w:val="20"/>
          <w:szCs w:val="20"/>
          <w:color w:val="auto"/>
        </w:rPr>
      </w:pPr>
      <w:r>
        <w:rPr>
          <w:rFonts w:ascii="Arial" w:cs="Arial" w:eastAsia="Arial" w:hAnsi="Arial"/>
          <w:sz w:val="19"/>
          <w:szCs w:val="19"/>
          <w:color w:val="auto"/>
        </w:rPr>
        <w:t>the Seller dated [†] (the “</w:t>
      </w:r>
      <w:r>
        <w:rPr>
          <w:rFonts w:ascii="Arial" w:cs="Arial" w:eastAsia="Arial" w:hAnsi="Arial"/>
          <w:sz w:val="19"/>
          <w:szCs w:val="19"/>
          <w:b w:val="1"/>
          <w:bCs w:val="1"/>
          <w:color w:val="auto"/>
        </w:rPr>
        <w:t>Confidentiality, Agreement</w:t>
      </w:r>
      <w:r>
        <w:rPr>
          <w:rFonts w:ascii="Arial" w:cs="Arial" w:eastAsia="Arial" w:hAnsi="Arial"/>
          <w:sz w:val="19"/>
          <w:szCs w:val="19"/>
          <w:color w:val="auto"/>
        </w:rPr>
        <w:t>”), and except as prohibited by applicable Law, Seller shall, and shall cause</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its Subsidiaries to, afford to Acquiror’s officers, directors, employees, accountants, counsel, consultants, advisors and agents</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Representatives</w:t>
      </w:r>
      <w:r>
        <w:rPr>
          <w:rFonts w:ascii="Arial" w:cs="Arial" w:eastAsia="Arial" w:hAnsi="Arial"/>
          <w:sz w:val="19"/>
          <w:szCs w:val="19"/>
          <w:color w:val="auto"/>
        </w:rPr>
        <w:t>”) reasonable access, during normal business hours and upon reasonable advance notice, to all of the assets and</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records, reports, contracts and other documents related to the Compound as the Acquiror and its Representatives may reasonably</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request, and shall permit them to consult with Seller’s officers, employees, accountants, counsel and agents for the purpose of</w:t>
      </w:r>
    </w:p>
    <w:p>
      <w:pPr>
        <w:spacing w:after="0" w:line="25" w:lineRule="exact"/>
        <w:rPr>
          <w:sz w:val="20"/>
          <w:szCs w:val="20"/>
          <w:color w:val="auto"/>
        </w:rPr>
      </w:pPr>
    </w:p>
    <w:p>
      <w:pPr>
        <w:spacing w:after="0"/>
        <w:rPr>
          <w:sz w:val="20"/>
          <w:szCs w:val="20"/>
          <w:color w:val="auto"/>
        </w:rPr>
      </w:pPr>
      <w:r>
        <w:rPr>
          <w:rFonts w:ascii="Arial" w:cs="Arial" w:eastAsia="Arial" w:hAnsi="Arial"/>
          <w:sz w:val="22"/>
          <w:szCs w:val="22"/>
          <w:color w:val="auto"/>
        </w:rPr>
        <w:t>making such investigation of the acquired Compound as Acquiror shall desire to make.</w:t>
      </w: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-16-</w:t>
      </w:r>
    </w:p>
    <w:p>
      <w:pPr>
        <w:spacing w:after="0" w:line="5" w:lineRule="exact"/>
        <w:rPr>
          <w:sz w:val="20"/>
          <w:szCs w:val="20"/>
          <w:color w:val="auto"/>
        </w:rPr>
      </w:pPr>
    </w:p>
    <w:p>
      <w:pPr>
        <w:ind w:right="20" w:firstLine="8"/>
        <w:spacing w:after="0" w:line="237" w:lineRule="auto"/>
        <w:tabs>
          <w:tab w:leader="none" w:pos="204" w:val="left"/>
        </w:tabs>
        <w:numPr>
          <w:ilvl w:val="0"/>
          <w:numId w:val="144"/>
        </w:numPr>
        <w:rPr>
          <w:rFonts w:ascii="Arial" w:cs="Arial" w:eastAsia="Arial" w:hAnsi="Arial"/>
          <w:sz w:val="14"/>
          <w:szCs w:val="14"/>
          <w:color w:val="auto"/>
        </w:rPr>
      </w:pPr>
      <w:r>
        <w:rPr>
          <w:rFonts w:ascii="Arial" w:cs="Arial" w:eastAsia="Arial" w:hAnsi="Arial"/>
          <w:sz w:val="14"/>
          <w:szCs w:val="14"/>
          <w:color w:val="auto"/>
        </w:rPr>
        <w:t>DESIGNATES PORTIONS OF THIS DOCUMENT THAT HAVE BEEN OMITTED PURSUANT TO A REQUEST FOR CONFIDENTIAL TREATMENT FILED SEPARATELY WITH THE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46990</wp:posOffset>
            </wp:positionV>
            <wp:extent cx="7289165"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8" w:right="259" w:bottom="1440" w:gutter="0" w:footer="0" w:header="0"/>
        </w:sectPr>
      </w:pPr>
    </w:p>
    <w:bookmarkStart w:id="107" w:name="page108"/>
    <w:bookmarkEnd w:id="107"/>
    <w:p>
      <w:pPr>
        <w:jc w:val="both"/>
        <w:ind w:right="80" w:firstLine="846"/>
        <w:spacing w:after="0" w:line="273" w:lineRule="auto"/>
        <w:rPr>
          <w:sz w:val="20"/>
          <w:szCs w:val="20"/>
          <w:color w:val="auto"/>
        </w:rPr>
      </w:pPr>
      <w:r>
        <w:rPr>
          <w:rFonts w:ascii="Arial" w:cs="Arial" w:eastAsia="Arial" w:hAnsi="Arial"/>
          <w:sz w:val="19"/>
          <w:szCs w:val="19"/>
          <w:color w:val="auto"/>
        </w:rPr>
        <w:t xml:space="preserve">7.2 </w:t>
      </w:r>
      <w:r>
        <w:rPr>
          <w:rFonts w:ascii="Arial" w:cs="Arial" w:eastAsia="Arial" w:hAnsi="Arial"/>
          <w:sz w:val="19"/>
          <w:szCs w:val="19"/>
          <w:u w:val="single" w:color="auto"/>
          <w:color w:val="auto"/>
        </w:rPr>
        <w:t>Notification of Certain Matters</w:t>
      </w:r>
      <w:r>
        <w:rPr>
          <w:rFonts w:ascii="Arial" w:cs="Arial" w:eastAsia="Arial" w:hAnsi="Arial"/>
          <w:sz w:val="19"/>
          <w:szCs w:val="19"/>
          <w:color w:val="auto"/>
        </w:rPr>
        <w:t>. Prior to the Closing, Seller shall give prompt notice to Acquiror of any fact, event or circumstance known to it that (a) individually or taken together with all other facts, events and circumstances known to it, has had or would reasonably be expected to have, individually or in the aggregate, a Compound Material Adverse Effect, or</w:t>
      </w:r>
    </w:p>
    <w:p>
      <w:pPr>
        <w:spacing w:after="0" w:line="2" w:lineRule="exact"/>
        <w:rPr>
          <w:sz w:val="20"/>
          <w:szCs w:val="20"/>
          <w:color w:val="auto"/>
        </w:rPr>
      </w:pPr>
    </w:p>
    <w:p>
      <w:pPr>
        <w:ind w:right="60" w:firstLine="8"/>
        <w:spacing w:after="0" w:line="273" w:lineRule="auto"/>
        <w:tabs>
          <w:tab w:leader="none" w:pos="306" w:val="left"/>
        </w:tabs>
        <w:numPr>
          <w:ilvl w:val="0"/>
          <w:numId w:val="145"/>
        </w:numPr>
        <w:rPr>
          <w:rFonts w:ascii="Arial" w:cs="Arial" w:eastAsia="Arial" w:hAnsi="Arial"/>
          <w:sz w:val="19"/>
          <w:szCs w:val="19"/>
          <w:color w:val="auto"/>
        </w:rPr>
      </w:pPr>
      <w:r>
        <w:rPr>
          <w:rFonts w:ascii="Arial" w:cs="Arial" w:eastAsia="Arial" w:hAnsi="Arial"/>
          <w:sz w:val="19"/>
          <w:szCs w:val="19"/>
          <w:color w:val="auto"/>
        </w:rPr>
        <w:t xml:space="preserve">would cause or constitute a failure of any condition precedent to Acquiror’s obligations set forth in this agreement. Seller shall give prompt notice to Acquiror of: (i) any notice or other communication from any Third Party alleging that the consent of such Third Party is or may be required in connection with the Transaction, or (ii) any written notice or other written communication received by the Seller from any Governmental Entity in connection with the Transaction. The delivery of any notice pursuant to this </w:t>
      </w:r>
      <w:r>
        <w:rPr>
          <w:rFonts w:ascii="Arial" w:cs="Arial" w:eastAsia="Arial" w:hAnsi="Arial"/>
          <w:sz w:val="19"/>
          <w:szCs w:val="19"/>
          <w:u w:val="single" w:color="auto"/>
          <w:color w:val="auto"/>
        </w:rPr>
        <w:t>Section 7.2</w:t>
      </w:r>
      <w:r>
        <w:rPr>
          <w:rFonts w:ascii="Arial" w:cs="Arial" w:eastAsia="Arial" w:hAnsi="Arial"/>
          <w:sz w:val="19"/>
          <w:szCs w:val="19"/>
          <w:color w:val="auto"/>
        </w:rPr>
        <w:t xml:space="preserve"> shall not be considered an admission that any representation or warranty is untrue or that any covenant has been breached and shall not limit or otherwise affect any remedies available to Acquiror or prevent or cure any misrepresentations, breach of warranty or breach of covenant and disclosure by the Seller shall not be deemed to amend or supplement the schedules hereto or constitute an exception to any representation or warranty.</w:t>
      </w:r>
    </w:p>
    <w:p>
      <w:pPr>
        <w:spacing w:after="0" w:line="155" w:lineRule="exact"/>
        <w:rPr>
          <w:sz w:val="20"/>
          <w:szCs w:val="20"/>
          <w:color w:val="auto"/>
        </w:rPr>
      </w:pPr>
    </w:p>
    <w:tbl>
      <w:tblPr>
        <w:tblLayout w:type="fixed"/>
        <w:tblInd w:w="860" w:type="dxa"/>
        <w:tblCellMar>
          <w:top w:w="0" w:type="dxa"/>
          <w:left w:w="0" w:type="dxa"/>
          <w:bottom w:w="0" w:type="dxa"/>
          <w:right w:w="0" w:type="dxa"/>
        </w:tblCellMar>
      </w:tblPr>
      <w:tr>
        <w:trPr>
          <w:trHeight w:val="275"/>
        </w:trPr>
        <w:tc>
          <w:tcPr>
            <w:tcW w:w="1020" w:type="dxa"/>
            <w:vAlign w:val="bottom"/>
          </w:tcPr>
          <w:p>
            <w:pPr>
              <w:jc w:val="right"/>
              <w:ind w:right="652"/>
              <w:spacing w:after="0"/>
              <w:rPr>
                <w:sz w:val="20"/>
                <w:szCs w:val="20"/>
                <w:color w:val="auto"/>
              </w:rPr>
            </w:pPr>
            <w:r>
              <w:rPr>
                <w:rFonts w:ascii="Arial" w:cs="Arial" w:eastAsia="Arial" w:hAnsi="Arial"/>
                <w:sz w:val="22"/>
                <w:szCs w:val="22"/>
                <w:color w:val="auto"/>
                <w:w w:val="78"/>
              </w:rPr>
              <w:t>7.3</w:t>
            </w:r>
          </w:p>
        </w:tc>
        <w:tc>
          <w:tcPr>
            <w:tcW w:w="9280" w:type="dxa"/>
            <w:vAlign w:val="bottom"/>
            <w:gridSpan w:val="2"/>
          </w:tcPr>
          <w:p>
            <w:pPr>
              <w:spacing w:after="0"/>
              <w:rPr>
                <w:sz w:val="20"/>
                <w:szCs w:val="20"/>
                <w:color w:val="auto"/>
              </w:rPr>
            </w:pPr>
            <w:r>
              <w:rPr>
                <w:rFonts w:ascii="Arial" w:cs="Arial" w:eastAsia="Arial" w:hAnsi="Arial"/>
                <w:sz w:val="22"/>
                <w:szCs w:val="22"/>
                <w:color w:val="auto"/>
              </w:rPr>
              <w:t>[†]. [†].</w:t>
            </w:r>
          </w:p>
        </w:tc>
      </w:tr>
      <w:tr>
        <w:trPr>
          <w:trHeight w:val="409"/>
        </w:trPr>
        <w:tc>
          <w:tcPr>
            <w:tcW w:w="1020" w:type="dxa"/>
            <w:vAlign w:val="bottom"/>
          </w:tcPr>
          <w:p>
            <w:pPr>
              <w:jc w:val="right"/>
              <w:ind w:right="652"/>
              <w:spacing w:after="0"/>
              <w:rPr>
                <w:sz w:val="20"/>
                <w:szCs w:val="20"/>
                <w:color w:val="auto"/>
              </w:rPr>
            </w:pPr>
            <w:r>
              <w:rPr>
                <w:rFonts w:ascii="Arial" w:cs="Arial" w:eastAsia="Arial" w:hAnsi="Arial"/>
                <w:sz w:val="22"/>
                <w:szCs w:val="22"/>
                <w:color w:val="auto"/>
                <w:w w:val="78"/>
              </w:rPr>
              <w:t>7.4</w:t>
            </w:r>
          </w:p>
        </w:tc>
        <w:tc>
          <w:tcPr>
            <w:tcW w:w="9280" w:type="dxa"/>
            <w:vAlign w:val="bottom"/>
            <w:gridSpan w:val="2"/>
          </w:tcPr>
          <w:p>
            <w:pPr>
              <w:spacing w:after="0"/>
              <w:rPr>
                <w:sz w:val="20"/>
                <w:szCs w:val="20"/>
                <w:color w:val="auto"/>
              </w:rPr>
            </w:pPr>
            <w:r>
              <w:rPr>
                <w:rFonts w:ascii="Arial" w:cs="Arial" w:eastAsia="Arial" w:hAnsi="Arial"/>
                <w:sz w:val="22"/>
                <w:szCs w:val="22"/>
                <w:color w:val="auto"/>
                <w:w w:val="89"/>
              </w:rPr>
              <w:t>Actions Prior to Closing. Prior to Closing, Seller shall cause all registration, maintenance and renewal fees</w:t>
            </w:r>
          </w:p>
        </w:tc>
      </w:tr>
      <w:tr>
        <w:trPr>
          <w:trHeight w:val="20"/>
        </w:trPr>
        <w:tc>
          <w:tcPr>
            <w:tcW w:w="1020" w:type="dxa"/>
            <w:vAlign w:val="bottom"/>
          </w:tcPr>
          <w:p>
            <w:pPr>
              <w:spacing w:after="0" w:line="20" w:lineRule="exact"/>
              <w:rPr>
                <w:sz w:val="1"/>
                <w:szCs w:val="1"/>
                <w:color w:val="auto"/>
              </w:rPr>
            </w:pPr>
          </w:p>
        </w:tc>
        <w:tc>
          <w:tcPr>
            <w:tcW w:w="2100" w:type="dxa"/>
            <w:vAlign w:val="bottom"/>
            <w:shd w:val="clear" w:color="auto" w:fill="000000"/>
          </w:tcPr>
          <w:p>
            <w:pPr>
              <w:spacing w:after="0" w:line="20" w:lineRule="exact"/>
              <w:rPr>
                <w:sz w:val="1"/>
                <w:szCs w:val="1"/>
                <w:color w:val="auto"/>
              </w:rPr>
            </w:pPr>
          </w:p>
        </w:tc>
        <w:tc>
          <w:tcPr>
            <w:tcW w:w="7180" w:type="dxa"/>
            <w:vAlign w:val="bottom"/>
          </w:tcPr>
          <w:p>
            <w:pPr>
              <w:spacing w:after="0" w:line="20" w:lineRule="exact"/>
              <w:rPr>
                <w:sz w:val="1"/>
                <w:szCs w:val="1"/>
                <w:color w:val="auto"/>
              </w:rPr>
            </w:pPr>
          </w:p>
        </w:tc>
      </w:tr>
    </w:tbl>
    <w:p>
      <w:pPr>
        <w:spacing w:after="0" w:line="6" w:lineRule="exact"/>
        <w:rPr>
          <w:sz w:val="20"/>
          <w:szCs w:val="20"/>
          <w:color w:val="auto"/>
        </w:rPr>
      </w:pPr>
    </w:p>
    <w:p>
      <w:pPr>
        <w:ind w:right="60"/>
        <w:spacing w:after="0" w:line="271" w:lineRule="auto"/>
        <w:rPr>
          <w:sz w:val="20"/>
          <w:szCs w:val="20"/>
          <w:color w:val="auto"/>
        </w:rPr>
      </w:pPr>
      <w:r>
        <w:rPr>
          <w:rFonts w:ascii="Arial" w:cs="Arial" w:eastAsia="Arial" w:hAnsi="Arial"/>
          <w:sz w:val="19"/>
          <w:szCs w:val="19"/>
          <w:color w:val="auto"/>
        </w:rPr>
        <w:t>and any certifications, filings or registrations related to Compound Registered Items to be paid, prepared and/or filed, as the case may be, with the relevant Governmental Entity or other authorities in the United States or foreign jurisdictions, as the case may be, for the purposes of maintaining the Compound Registered Items and perfecting Seller’s ownership interests therein. Prior to Closing, Seller shall take or cause to be taken at its expense all other [†] actions necessary to maintain the Purchased</w:t>
      </w:r>
    </w:p>
    <w:p>
      <w:pPr>
        <w:spacing w:after="0" w:line="4" w:lineRule="exact"/>
        <w:rPr>
          <w:sz w:val="20"/>
          <w:szCs w:val="20"/>
          <w:color w:val="auto"/>
        </w:rPr>
      </w:pPr>
    </w:p>
    <w:p>
      <w:pPr>
        <w:ind w:right="320"/>
        <w:spacing w:after="0" w:line="246" w:lineRule="auto"/>
        <w:rPr>
          <w:sz w:val="20"/>
          <w:szCs w:val="20"/>
          <w:color w:val="auto"/>
        </w:rPr>
      </w:pPr>
      <w:r>
        <w:rPr>
          <w:rFonts w:ascii="Arial" w:cs="Arial" w:eastAsia="Arial" w:hAnsi="Arial"/>
          <w:sz w:val="21"/>
          <w:szCs w:val="21"/>
          <w:color w:val="auto"/>
        </w:rPr>
        <w:t>Assets. Without limiting the generality of the foregoing, prior to Closing, Seller shall not take any of the following actions in connection with the Purchased Assets: (1) sell, lease, license or otherwise dispose of, or agree to sell, lease, license or otherwise dispose of, any Purchased Asset; (2) enter into, cancel or modify any In-Bound License or Out-Bound License; or (3) grant or permit to exist any lien or encumbrance on any of the Purchased Assets.</w:t>
      </w:r>
    </w:p>
    <w:p>
      <w:pPr>
        <w:spacing w:after="0" w:line="180" w:lineRule="exact"/>
        <w:rPr>
          <w:sz w:val="20"/>
          <w:szCs w:val="20"/>
          <w:color w:val="auto"/>
        </w:rPr>
      </w:pPr>
    </w:p>
    <w:p>
      <w:pPr>
        <w:ind w:right="140" w:firstLine="846"/>
        <w:spacing w:after="0" w:line="275" w:lineRule="auto"/>
        <w:rPr>
          <w:sz w:val="20"/>
          <w:szCs w:val="20"/>
          <w:color w:val="auto"/>
        </w:rPr>
      </w:pPr>
      <w:r>
        <w:rPr>
          <w:rFonts w:ascii="Arial" w:cs="Arial" w:eastAsia="Arial" w:hAnsi="Arial"/>
          <w:sz w:val="19"/>
          <w:szCs w:val="19"/>
          <w:color w:val="auto"/>
        </w:rPr>
        <w:t xml:space="preserve">7.5 </w:t>
      </w:r>
      <w:r>
        <w:rPr>
          <w:rFonts w:ascii="Arial" w:cs="Arial" w:eastAsia="Arial" w:hAnsi="Arial"/>
          <w:sz w:val="19"/>
          <w:szCs w:val="19"/>
          <w:u w:val="single" w:color="auto"/>
          <w:color w:val="auto"/>
        </w:rPr>
        <w:t>Efforts and Actions to Cause Closing to Occur</w:t>
      </w:r>
      <w:r>
        <w:rPr>
          <w:rFonts w:ascii="Arial" w:cs="Arial" w:eastAsia="Arial" w:hAnsi="Arial"/>
          <w:sz w:val="19"/>
          <w:szCs w:val="19"/>
          <w:color w:val="auto"/>
        </w:rPr>
        <w:t>. Prior to the Closing, upon the terms and subject to the conditions of this Agreement, Acquiror and Seller shall use [†] to take, or cause to be taken, all actions, and to do, or cause to be done, and cooperate with each other in order to do, all things necessary, proper or advisable (subject to applicable Law) to consummate the transactions contemplated hereby as promptly as practicable, including the matters described in Article 9 hereof and the preparation and filing of all forms, registrations and notices required to be filed and the taking of such actions as are necessary to obtain any requisite consents of any Governmental Entity or other Person. In addition, no party hereto shall take any action that could reasonably be expected to materially delay the obtaining of, or result in not obtaining, any consent from any Governmental Entity or other Person required to be obtained prior to the Closing.</w:t>
      </w:r>
    </w:p>
    <w:p>
      <w:pPr>
        <w:spacing w:after="0" w:line="200" w:lineRule="exact"/>
        <w:rPr>
          <w:sz w:val="20"/>
          <w:szCs w:val="20"/>
          <w:color w:val="auto"/>
        </w:rPr>
      </w:pPr>
    </w:p>
    <w:p>
      <w:pPr>
        <w:spacing w:after="0" w:line="201"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-17-</w:t>
      </w:r>
    </w:p>
    <w:p>
      <w:pPr>
        <w:spacing w:after="0" w:line="5" w:lineRule="exact"/>
        <w:rPr>
          <w:sz w:val="20"/>
          <w:szCs w:val="20"/>
          <w:color w:val="auto"/>
        </w:rPr>
      </w:pPr>
    </w:p>
    <w:p>
      <w:pPr>
        <w:ind w:firstLine="8"/>
        <w:spacing w:after="0" w:line="237" w:lineRule="auto"/>
        <w:tabs>
          <w:tab w:leader="none" w:pos="204" w:val="left"/>
        </w:tabs>
        <w:numPr>
          <w:ilvl w:val="0"/>
          <w:numId w:val="146"/>
        </w:numPr>
        <w:rPr>
          <w:rFonts w:ascii="Arial" w:cs="Arial" w:eastAsia="Arial" w:hAnsi="Arial"/>
          <w:sz w:val="14"/>
          <w:szCs w:val="14"/>
          <w:color w:val="auto"/>
        </w:rPr>
      </w:pPr>
      <w:r>
        <w:rPr>
          <w:rFonts w:ascii="Arial" w:cs="Arial" w:eastAsia="Arial" w:hAnsi="Arial"/>
          <w:sz w:val="14"/>
          <w:szCs w:val="14"/>
          <w:color w:val="auto"/>
        </w:rPr>
        <w:t>DESIGNATES PORTIONS OF THIS DOCUMENT THAT HAVE BEEN OMITTED PURSUANT TO A REQUEST FOR CONFIDENTIAL TREATMENT FILED SEPARATELY WITH THE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46990</wp:posOffset>
            </wp:positionV>
            <wp:extent cx="7289165"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564" w:right="279" w:bottom="1440" w:gutter="0" w:footer="0" w:header="0"/>
        </w:sectPr>
      </w:pPr>
    </w:p>
    <w:bookmarkStart w:id="108" w:name="page109"/>
    <w:bookmarkEnd w:id="108"/>
    <w:p>
      <w:pPr>
        <w:ind w:left="860"/>
        <w:spacing w:after="0"/>
        <w:tabs>
          <w:tab w:leader="none" w:pos="1860" w:val="left"/>
        </w:tabs>
        <w:rPr>
          <w:sz w:val="20"/>
          <w:szCs w:val="20"/>
          <w:color w:val="auto"/>
        </w:rPr>
      </w:pPr>
      <w:r>
        <w:rPr>
          <w:rFonts w:ascii="Arial" w:cs="Arial" w:eastAsia="Arial" w:hAnsi="Arial"/>
          <w:sz w:val="22"/>
          <w:szCs w:val="22"/>
          <w:color w:val="auto"/>
        </w:rPr>
        <w:t>7.6</w:t>
      </w:r>
      <w:r>
        <w:rPr>
          <w:sz w:val="20"/>
          <w:szCs w:val="20"/>
          <w:color w:val="auto"/>
        </w:rPr>
        <w:tab/>
      </w:r>
      <w:r>
        <w:rPr>
          <w:rFonts w:ascii="Arial" w:cs="Arial" w:eastAsia="Arial" w:hAnsi="Arial"/>
          <w:sz w:val="19"/>
          <w:szCs w:val="19"/>
          <w:u w:val="single" w:color="auto"/>
          <w:color w:val="auto"/>
        </w:rPr>
        <w:t>Confidentiality</w:t>
      </w:r>
      <w:r>
        <w:rPr>
          <w:rFonts w:ascii="Arial" w:cs="Arial" w:eastAsia="Arial" w:hAnsi="Arial"/>
          <w:sz w:val="19"/>
          <w:szCs w:val="19"/>
          <w:color w:val="auto"/>
        </w:rPr>
        <w:t>. Following the Closing, each party hereto shall, and shall cause its Affiliates and</w:t>
      </w:r>
    </w:p>
    <w:p>
      <w:pPr>
        <w:spacing w:after="0" w:line="8" w:lineRule="exact"/>
        <w:rPr>
          <w:sz w:val="20"/>
          <w:szCs w:val="20"/>
          <w:color w:val="auto"/>
        </w:rPr>
      </w:pPr>
    </w:p>
    <w:p>
      <w:pPr>
        <w:ind w:right="140"/>
        <w:spacing w:after="0" w:line="267" w:lineRule="auto"/>
        <w:rPr>
          <w:sz w:val="20"/>
          <w:szCs w:val="20"/>
          <w:color w:val="auto"/>
        </w:rPr>
      </w:pPr>
      <w:r>
        <w:rPr>
          <w:rFonts w:ascii="Arial" w:cs="Arial" w:eastAsia="Arial" w:hAnsi="Arial"/>
          <w:sz w:val="19"/>
          <w:szCs w:val="19"/>
          <w:color w:val="auto"/>
        </w:rPr>
        <w:t>Representatives to, hold in strict confidence and not utilize in its respective business any information and documents concerning any other party hereto or any of its respective Affiliates (“</w:t>
      </w:r>
      <w:r>
        <w:rPr>
          <w:rFonts w:ascii="Arial" w:cs="Arial" w:eastAsia="Arial" w:hAnsi="Arial"/>
          <w:sz w:val="19"/>
          <w:szCs w:val="19"/>
          <w:b w:val="1"/>
          <w:bCs w:val="1"/>
          <w:color w:val="auto"/>
        </w:rPr>
        <w:t>Confidential Information</w:t>
      </w:r>
      <w:r>
        <w:rPr>
          <w:rFonts w:ascii="Arial" w:cs="Arial" w:eastAsia="Arial" w:hAnsi="Arial"/>
          <w:sz w:val="19"/>
          <w:szCs w:val="19"/>
          <w:color w:val="auto"/>
        </w:rPr>
        <w:t>”), including all confidential or proprietary documents or information regarding the Compound in the possession of Seller and its Affiliates even though such documents and information were first developed by, made known to, or obtained from, Seller and its Affiliates, except where disclosure may be necessary for any such party to enforce its rights under this Agreement or any Transaction Document or to comply with applicable Law. In the event a party is required to disclose Confidential Information to comply with any applicable Law, the party proposing to disclose such information shall give the original disclosing party with respect to whom such information is Confidential Information reasonable advance notice of such disclosure (to the extent not prohibited by applicable Law) and to cooperate with such disclosing party in seeking a protective order or other appropriate means for limiting the scope of the</w:t>
      </w:r>
    </w:p>
    <w:p>
      <w:pPr>
        <w:ind w:right="240"/>
        <w:spacing w:after="0" w:line="267" w:lineRule="auto"/>
        <w:rPr>
          <w:sz w:val="20"/>
          <w:szCs w:val="20"/>
          <w:color w:val="auto"/>
        </w:rPr>
      </w:pPr>
      <w:r>
        <w:rPr>
          <w:rFonts w:ascii="Arial" w:cs="Arial" w:eastAsia="Arial" w:hAnsi="Arial"/>
          <w:sz w:val="19"/>
          <w:szCs w:val="19"/>
          <w:color w:val="auto"/>
        </w:rPr>
        <w:t>disclosure. Notwithstanding the foregoing, the following will not constitute “</w:t>
      </w:r>
      <w:r>
        <w:rPr>
          <w:rFonts w:ascii="Arial" w:cs="Arial" w:eastAsia="Arial" w:hAnsi="Arial"/>
          <w:sz w:val="19"/>
          <w:szCs w:val="19"/>
          <w:b w:val="1"/>
          <w:bCs w:val="1"/>
          <w:color w:val="auto"/>
        </w:rPr>
        <w:t>Confidential Information</w:t>
      </w:r>
      <w:r>
        <w:rPr>
          <w:rFonts w:ascii="Arial" w:cs="Arial" w:eastAsia="Arial" w:hAnsi="Arial"/>
          <w:sz w:val="19"/>
          <w:szCs w:val="19"/>
          <w:color w:val="auto"/>
        </w:rPr>
        <w:t>” for purposes of this Agreement: (a) other than confidential or proprietary documents and information regarding the Compound, (i) information that is independently developed by the receiving party or any Affiliate thereof without the use of the Confidential Information, and</w:t>
      </w:r>
    </w:p>
    <w:p>
      <w:pPr>
        <w:ind w:right="460" w:firstLine="8"/>
        <w:spacing w:after="0" w:line="267" w:lineRule="auto"/>
        <w:tabs>
          <w:tab w:leader="none" w:pos="318" w:val="left"/>
        </w:tabs>
        <w:numPr>
          <w:ilvl w:val="0"/>
          <w:numId w:val="147"/>
        </w:numPr>
        <w:rPr>
          <w:rFonts w:ascii="Arial" w:cs="Arial" w:eastAsia="Arial" w:hAnsi="Arial"/>
          <w:sz w:val="19"/>
          <w:szCs w:val="19"/>
          <w:color w:val="auto"/>
        </w:rPr>
      </w:pPr>
      <w:r>
        <w:rPr>
          <w:rFonts w:ascii="Arial" w:cs="Arial" w:eastAsia="Arial" w:hAnsi="Arial"/>
          <w:sz w:val="19"/>
          <w:szCs w:val="19"/>
          <w:color w:val="auto"/>
        </w:rPr>
        <w:t>information that is obtained or was previously obtained by the receiving party or its Affiliates from a third party who is not known by the receiving party after due inquiry to be subject to obligations of confidentiality with respect thereto, and</w:t>
      </w:r>
    </w:p>
    <w:p>
      <w:pPr>
        <w:ind w:right="140" w:firstLine="8"/>
        <w:spacing w:after="0" w:line="233" w:lineRule="auto"/>
        <w:tabs>
          <w:tab w:leader="none" w:pos="306" w:val="left"/>
        </w:tabs>
        <w:numPr>
          <w:ilvl w:val="0"/>
          <w:numId w:val="148"/>
        </w:numPr>
        <w:rPr>
          <w:rFonts w:ascii="Arial" w:cs="Arial" w:eastAsia="Arial" w:hAnsi="Arial"/>
          <w:sz w:val="22"/>
          <w:szCs w:val="22"/>
          <w:color w:val="auto"/>
        </w:rPr>
      </w:pPr>
      <w:r>
        <w:rPr>
          <w:rFonts w:ascii="Arial" w:cs="Arial" w:eastAsia="Arial" w:hAnsi="Arial"/>
          <w:sz w:val="22"/>
          <w:szCs w:val="22"/>
          <w:color w:val="auto"/>
        </w:rPr>
        <w:t>information that is or becomes generally available to the public other than as the result of a disclosure by the receiving party or any Affiliate thereof or their respective agents or employees. Notwithstanding the foregoing, following the Closing, the foregoing restrictions in this Section 7.6 shall not apply to the use by Acquirer or its Affiliates and its or their successors, assigns and Representatives of any documents or information concerning the Compound or the Purchased Assets furnished or transferred by Seller or its Affiliates hereunder.</w:t>
      </w:r>
    </w:p>
    <w:p>
      <w:pPr>
        <w:spacing w:after="0" w:line="180" w:lineRule="exact"/>
        <w:rPr>
          <w:sz w:val="20"/>
          <w:szCs w:val="20"/>
          <w:color w:val="auto"/>
        </w:rPr>
      </w:pPr>
    </w:p>
    <w:tbl>
      <w:tblPr>
        <w:tblLayout w:type="fixed"/>
        <w:tblInd w:w="860" w:type="dxa"/>
        <w:tblCellMar>
          <w:top w:w="0" w:type="dxa"/>
          <w:left w:w="0" w:type="dxa"/>
          <w:bottom w:w="0" w:type="dxa"/>
          <w:right w:w="0" w:type="dxa"/>
        </w:tblCellMar>
      </w:tblPr>
      <w:tr>
        <w:trPr>
          <w:trHeight w:val="281"/>
        </w:trPr>
        <w:tc>
          <w:tcPr>
            <w:tcW w:w="640" w:type="dxa"/>
            <w:vAlign w:val="bottom"/>
          </w:tcPr>
          <w:p>
            <w:pPr>
              <w:spacing w:after="0"/>
              <w:rPr>
                <w:sz w:val="24"/>
                <w:szCs w:val="24"/>
                <w:color w:val="auto"/>
              </w:rPr>
            </w:pPr>
          </w:p>
        </w:tc>
        <w:tc>
          <w:tcPr>
            <w:tcW w:w="9860" w:type="dxa"/>
            <w:vAlign w:val="bottom"/>
          </w:tcPr>
          <w:p>
            <w:pPr>
              <w:ind w:left="2520"/>
              <w:spacing w:after="0"/>
              <w:rPr>
                <w:sz w:val="20"/>
                <w:szCs w:val="20"/>
                <w:color w:val="auto"/>
              </w:rPr>
            </w:pPr>
            <w:r>
              <w:rPr>
                <w:rFonts w:ascii="Arial" w:cs="Arial" w:eastAsia="Arial" w:hAnsi="Arial"/>
                <w:sz w:val="22"/>
                <w:szCs w:val="22"/>
                <w:b w:val="1"/>
                <w:bCs w:val="1"/>
                <w:color w:val="auto"/>
              </w:rPr>
              <w:t>ARTICLE 8 OTHER COVENANTS</w:t>
            </w:r>
          </w:p>
        </w:tc>
      </w:tr>
      <w:tr>
        <w:trPr>
          <w:trHeight w:val="446"/>
        </w:trPr>
        <w:tc>
          <w:tcPr>
            <w:tcW w:w="640" w:type="dxa"/>
            <w:vAlign w:val="bottom"/>
          </w:tcPr>
          <w:p>
            <w:pPr>
              <w:jc w:val="right"/>
              <w:ind w:right="272"/>
              <w:spacing w:after="0"/>
              <w:rPr>
                <w:sz w:val="20"/>
                <w:szCs w:val="20"/>
                <w:color w:val="auto"/>
              </w:rPr>
            </w:pPr>
            <w:r>
              <w:rPr>
                <w:rFonts w:ascii="Arial" w:cs="Arial" w:eastAsia="Arial" w:hAnsi="Arial"/>
                <w:sz w:val="22"/>
                <w:szCs w:val="22"/>
                <w:color w:val="auto"/>
                <w:w w:val="78"/>
              </w:rPr>
              <w:t>8.1</w:t>
            </w:r>
          </w:p>
        </w:tc>
        <w:tc>
          <w:tcPr>
            <w:tcW w:w="9860" w:type="dxa"/>
            <w:vAlign w:val="bottom"/>
          </w:tcPr>
          <w:p>
            <w:pPr>
              <w:ind w:left="380"/>
              <w:spacing w:after="0"/>
              <w:rPr>
                <w:sz w:val="20"/>
                <w:szCs w:val="20"/>
                <w:color w:val="auto"/>
              </w:rPr>
            </w:pPr>
            <w:r>
              <w:rPr>
                <w:rFonts w:ascii="Arial" w:cs="Arial" w:eastAsia="Arial" w:hAnsi="Arial"/>
                <w:sz w:val="22"/>
                <w:szCs w:val="22"/>
                <w:u w:val="single" w:color="auto"/>
                <w:color w:val="auto"/>
                <w:w w:val="88"/>
              </w:rPr>
              <w:t>Public Announcements</w:t>
            </w:r>
            <w:r>
              <w:rPr>
                <w:rFonts w:ascii="Arial" w:cs="Arial" w:eastAsia="Arial" w:hAnsi="Arial"/>
                <w:sz w:val="22"/>
                <w:szCs w:val="22"/>
                <w:color w:val="auto"/>
                <w:w w:val="88"/>
              </w:rPr>
              <w:t>. None of the parties hereto shall issue any press release or make any public statement</w:t>
            </w:r>
          </w:p>
        </w:tc>
      </w:tr>
    </w:tbl>
    <w:p>
      <w:pPr>
        <w:spacing w:after="0" w:line="275" w:lineRule="auto"/>
        <w:rPr>
          <w:sz w:val="20"/>
          <w:szCs w:val="20"/>
          <w:color w:val="auto"/>
        </w:rPr>
      </w:pPr>
      <w:r>
        <w:rPr>
          <w:rFonts w:ascii="Arial" w:cs="Arial" w:eastAsia="Arial" w:hAnsi="Arial"/>
          <w:sz w:val="19"/>
          <w:szCs w:val="19"/>
          <w:color w:val="auto"/>
        </w:rPr>
        <w:t>regarding the transactions contemplated hereby without the prior written consent of Acquiror (in the case of a press release or statement by any of the Seller) or the Seller (in the case of a press release or statement by Acquiror). Acquiror and Seller shall not be restricted from making any disclosure it reasonably determines is required by Law. Either party may make any disclosure consistent with disclosures previously made pursuant to this Section. Nothing in this Section 8.1 shall restrict or otherwise limit the Acquiror’s ability or right to issue any press release or make any public statement after Closing regarding its operations or the Purchased Assets, including, among other things, the development and commercialization of the Compound.</w:t>
      </w:r>
    </w:p>
    <w:p>
      <w:pPr>
        <w:spacing w:after="0" w:line="155" w:lineRule="exact"/>
        <w:rPr>
          <w:sz w:val="20"/>
          <w:szCs w:val="20"/>
          <w:color w:val="auto"/>
        </w:rPr>
      </w:pPr>
    </w:p>
    <w:p>
      <w:pPr>
        <w:jc w:val="both"/>
        <w:ind w:firstLine="846"/>
        <w:spacing w:after="0"/>
        <w:rPr>
          <w:sz w:val="20"/>
          <w:szCs w:val="20"/>
          <w:color w:val="auto"/>
        </w:rPr>
      </w:pPr>
      <w:r>
        <w:rPr>
          <w:rFonts w:ascii="Arial" w:cs="Arial" w:eastAsia="Arial" w:hAnsi="Arial"/>
          <w:sz w:val="22"/>
          <w:szCs w:val="22"/>
          <w:color w:val="auto"/>
        </w:rPr>
        <w:t xml:space="preserve">8.2 </w:t>
      </w:r>
      <w:r>
        <w:rPr>
          <w:rFonts w:ascii="Arial" w:cs="Arial" w:eastAsia="Arial" w:hAnsi="Arial"/>
          <w:sz w:val="22"/>
          <w:szCs w:val="22"/>
          <w:u w:val="single" w:color="auto"/>
          <w:color w:val="auto"/>
        </w:rPr>
        <w:t>Expenses</w:t>
      </w:r>
      <w:r>
        <w:rPr>
          <w:rFonts w:ascii="Arial" w:cs="Arial" w:eastAsia="Arial" w:hAnsi="Arial"/>
          <w:sz w:val="22"/>
          <w:szCs w:val="22"/>
          <w:color w:val="auto"/>
        </w:rPr>
        <w:t>. Each of parties hereto shall bear its own costs and expenses in connection with this Agreement and the transactions contemplated hereby, including all legal, accounting, financial advisory, consulting and all other fees and expenses of third parties, whether or not the Transaction is consummated.</w:t>
      </w: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-18-</w:t>
      </w:r>
    </w:p>
    <w:p>
      <w:pPr>
        <w:spacing w:after="0" w:line="5" w:lineRule="exact"/>
        <w:rPr>
          <w:sz w:val="20"/>
          <w:szCs w:val="20"/>
          <w:color w:val="auto"/>
        </w:rPr>
      </w:pPr>
    </w:p>
    <w:p>
      <w:pPr>
        <w:ind w:right="40" w:firstLine="8"/>
        <w:spacing w:after="0" w:line="237" w:lineRule="auto"/>
        <w:tabs>
          <w:tab w:leader="none" w:pos="204" w:val="left"/>
        </w:tabs>
        <w:numPr>
          <w:ilvl w:val="0"/>
          <w:numId w:val="149"/>
        </w:numPr>
        <w:rPr>
          <w:rFonts w:ascii="Arial" w:cs="Arial" w:eastAsia="Arial" w:hAnsi="Arial"/>
          <w:sz w:val="14"/>
          <w:szCs w:val="14"/>
          <w:color w:val="auto"/>
        </w:rPr>
      </w:pPr>
      <w:r>
        <w:rPr>
          <w:rFonts w:ascii="Arial" w:cs="Arial" w:eastAsia="Arial" w:hAnsi="Arial"/>
          <w:sz w:val="14"/>
          <w:szCs w:val="14"/>
          <w:color w:val="auto"/>
        </w:rPr>
        <w:t>DESIGNATES PORTIONS OF THIS DOCUMENT THAT HAVE BEEN OMITTED PURSUANT TO A REQUEST FOR CONFIDENTIAL TREATMENT FILED SEPARATELY WITH THE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46990</wp:posOffset>
            </wp:positionV>
            <wp:extent cx="7289165"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64" w:right="239" w:bottom="1440" w:gutter="0" w:footer="0" w:header="0"/>
        </w:sectPr>
      </w:pPr>
    </w:p>
    <w:bookmarkStart w:id="109" w:name="page110"/>
    <w:bookmarkEnd w:id="109"/>
    <w:p>
      <w:pPr>
        <w:ind w:right="520" w:firstLine="846"/>
        <w:spacing w:after="0" w:line="287" w:lineRule="auto"/>
        <w:rPr>
          <w:sz w:val="20"/>
          <w:szCs w:val="20"/>
          <w:color w:val="auto"/>
        </w:rPr>
      </w:pPr>
      <w:r>
        <w:rPr>
          <w:rFonts w:ascii="Arial" w:cs="Arial" w:eastAsia="Arial" w:hAnsi="Arial"/>
          <w:sz w:val="19"/>
          <w:szCs w:val="19"/>
          <w:color w:val="auto"/>
        </w:rPr>
        <w:t xml:space="preserve">8.3 </w:t>
      </w:r>
      <w:r>
        <w:rPr>
          <w:rFonts w:ascii="Arial" w:cs="Arial" w:eastAsia="Arial" w:hAnsi="Arial"/>
          <w:sz w:val="19"/>
          <w:szCs w:val="19"/>
          <w:u w:val="single" w:color="auto"/>
          <w:color w:val="auto"/>
        </w:rPr>
        <w:t>Further Assurances</w:t>
      </w:r>
      <w:r>
        <w:rPr>
          <w:rFonts w:ascii="Arial" w:cs="Arial" w:eastAsia="Arial" w:hAnsi="Arial"/>
          <w:sz w:val="19"/>
          <w:szCs w:val="19"/>
          <w:color w:val="auto"/>
        </w:rPr>
        <w:t>. Upon the terms and subject to the conditions hereof each of the parties hereto shall execute such documents and other instruments and take such further actions as may be reasonably required to carry out the provisions hereof and consummate the Transaction contemplated hereby (prior to, at or after the Closing). Each of the parties hereto shall use their [†] to consummate the Transaction as soon as practicable following the date hereof.</w:t>
      </w:r>
    </w:p>
    <w:p>
      <w:pPr>
        <w:spacing w:after="0" w:line="137" w:lineRule="exact"/>
        <w:rPr>
          <w:sz w:val="20"/>
          <w:szCs w:val="20"/>
          <w:color w:val="auto"/>
        </w:rPr>
      </w:pPr>
    </w:p>
    <w:tbl>
      <w:tblPr>
        <w:tblLayout w:type="fixed"/>
        <w:tblInd w:w="860" w:type="dxa"/>
        <w:tblCellMar>
          <w:top w:w="0" w:type="dxa"/>
          <w:left w:w="0" w:type="dxa"/>
          <w:bottom w:w="0" w:type="dxa"/>
          <w:right w:w="0" w:type="dxa"/>
        </w:tblCellMar>
      </w:tblPr>
      <w:tr>
        <w:trPr>
          <w:trHeight w:val="281"/>
        </w:trPr>
        <w:tc>
          <w:tcPr>
            <w:tcW w:w="640" w:type="dxa"/>
            <w:vAlign w:val="bottom"/>
          </w:tcPr>
          <w:p>
            <w:pPr>
              <w:spacing w:after="0"/>
              <w:rPr>
                <w:sz w:val="24"/>
                <w:szCs w:val="24"/>
                <w:color w:val="auto"/>
              </w:rPr>
            </w:pPr>
          </w:p>
        </w:tc>
        <w:tc>
          <w:tcPr>
            <w:tcW w:w="9180" w:type="dxa"/>
            <w:vAlign w:val="bottom"/>
          </w:tcPr>
          <w:p>
            <w:pPr>
              <w:ind w:left="2220"/>
              <w:spacing w:after="0"/>
              <w:rPr>
                <w:sz w:val="20"/>
                <w:szCs w:val="20"/>
                <w:color w:val="auto"/>
              </w:rPr>
            </w:pPr>
            <w:r>
              <w:rPr>
                <w:rFonts w:ascii="Arial" w:cs="Arial" w:eastAsia="Arial" w:hAnsi="Arial"/>
                <w:sz w:val="22"/>
                <w:szCs w:val="22"/>
                <w:b w:val="1"/>
                <w:bCs w:val="1"/>
                <w:color w:val="auto"/>
              </w:rPr>
              <w:t>ARTICLE 9 CONDITIONS TO CLOSING</w:t>
            </w:r>
          </w:p>
        </w:tc>
      </w:tr>
      <w:tr>
        <w:trPr>
          <w:trHeight w:val="446"/>
        </w:trPr>
        <w:tc>
          <w:tcPr>
            <w:tcW w:w="640" w:type="dxa"/>
            <w:vAlign w:val="bottom"/>
          </w:tcPr>
          <w:p>
            <w:pPr>
              <w:jc w:val="right"/>
              <w:ind w:right="272"/>
              <w:spacing w:after="0"/>
              <w:rPr>
                <w:sz w:val="20"/>
                <w:szCs w:val="20"/>
                <w:color w:val="auto"/>
              </w:rPr>
            </w:pPr>
            <w:r>
              <w:rPr>
                <w:rFonts w:ascii="Arial" w:cs="Arial" w:eastAsia="Arial" w:hAnsi="Arial"/>
                <w:sz w:val="22"/>
                <w:szCs w:val="22"/>
                <w:color w:val="auto"/>
                <w:w w:val="78"/>
              </w:rPr>
              <w:t>9.1</w:t>
            </w:r>
          </w:p>
        </w:tc>
        <w:tc>
          <w:tcPr>
            <w:tcW w:w="9180" w:type="dxa"/>
            <w:vAlign w:val="bottom"/>
          </w:tcPr>
          <w:p>
            <w:pPr>
              <w:ind w:left="380"/>
              <w:spacing w:after="0"/>
              <w:rPr>
                <w:sz w:val="20"/>
                <w:szCs w:val="20"/>
                <w:color w:val="auto"/>
              </w:rPr>
            </w:pPr>
            <w:r>
              <w:rPr>
                <w:rFonts w:ascii="Arial" w:cs="Arial" w:eastAsia="Arial" w:hAnsi="Arial"/>
                <w:sz w:val="22"/>
                <w:szCs w:val="22"/>
                <w:u w:val="single" w:color="auto"/>
                <w:color w:val="auto"/>
                <w:w w:val="90"/>
              </w:rPr>
              <w:t>Conditions to Each Party’s Obligation</w:t>
            </w:r>
            <w:r>
              <w:rPr>
                <w:rFonts w:ascii="Arial" w:cs="Arial" w:eastAsia="Arial" w:hAnsi="Arial"/>
                <w:sz w:val="22"/>
                <w:szCs w:val="22"/>
                <w:color w:val="auto"/>
                <w:w w:val="90"/>
              </w:rPr>
              <w:t>. The obligations of Acquiror and the Seller to consummate the</w:t>
            </w:r>
          </w:p>
        </w:tc>
      </w:tr>
    </w:tbl>
    <w:p>
      <w:pPr>
        <w:spacing w:after="0"/>
        <w:rPr>
          <w:sz w:val="20"/>
          <w:szCs w:val="20"/>
          <w:color w:val="auto"/>
        </w:rPr>
      </w:pPr>
      <w:r>
        <w:rPr>
          <w:rFonts w:ascii="Arial" w:cs="Arial" w:eastAsia="Arial" w:hAnsi="Arial"/>
          <w:sz w:val="22"/>
          <w:szCs w:val="22"/>
          <w:color w:val="auto"/>
        </w:rPr>
        <w:t>Transaction are subject to the satisfaction on or prior to the Closing Date of the following conditions:</w:t>
      </w:r>
    </w:p>
    <w:p>
      <w:pPr>
        <w:spacing w:after="0" w:line="188" w:lineRule="exact"/>
        <w:rPr>
          <w:sz w:val="20"/>
          <w:szCs w:val="20"/>
          <w:color w:val="auto"/>
        </w:rPr>
      </w:pPr>
    </w:p>
    <w:p>
      <w:pPr>
        <w:jc w:val="both"/>
        <w:ind w:right="420" w:firstLine="1698"/>
        <w:spacing w:after="0"/>
        <w:tabs>
          <w:tab w:leader="none" w:pos="2578" w:val="left"/>
        </w:tabs>
        <w:numPr>
          <w:ilvl w:val="0"/>
          <w:numId w:val="150"/>
        </w:numPr>
        <w:rPr>
          <w:rFonts w:ascii="Arial" w:cs="Arial" w:eastAsia="Arial" w:hAnsi="Arial"/>
          <w:sz w:val="22"/>
          <w:szCs w:val="22"/>
          <w:color w:val="auto"/>
        </w:rPr>
      </w:pPr>
      <w:r>
        <w:rPr>
          <w:rFonts w:ascii="Arial" w:cs="Arial" w:eastAsia="Arial" w:hAnsi="Arial"/>
          <w:sz w:val="22"/>
          <w:szCs w:val="22"/>
          <w:color w:val="auto"/>
        </w:rPr>
        <w:t>All Authorizations and Orders of, declarations and filings with, and notices to any Governmental Entity required to permit the consummation of the Transactions shall have been obtained or made and shall be in full force and effect.</w:t>
      </w:r>
    </w:p>
    <w:p>
      <w:pPr>
        <w:spacing w:after="0" w:line="186" w:lineRule="exact"/>
        <w:rPr>
          <w:rFonts w:ascii="Arial" w:cs="Arial" w:eastAsia="Arial" w:hAnsi="Arial"/>
          <w:sz w:val="22"/>
          <w:szCs w:val="22"/>
          <w:color w:val="auto"/>
        </w:rPr>
      </w:pPr>
    </w:p>
    <w:p>
      <w:pPr>
        <w:ind w:right="180" w:firstLine="1698"/>
        <w:spacing w:after="0" w:line="258" w:lineRule="auto"/>
        <w:tabs>
          <w:tab w:leader="none" w:pos="2590" w:val="left"/>
        </w:tabs>
        <w:numPr>
          <w:ilvl w:val="0"/>
          <w:numId w:val="150"/>
        </w:numPr>
        <w:rPr>
          <w:rFonts w:ascii="Arial" w:cs="Arial" w:eastAsia="Arial" w:hAnsi="Arial"/>
          <w:sz w:val="21"/>
          <w:szCs w:val="21"/>
          <w:color w:val="auto"/>
        </w:rPr>
      </w:pPr>
      <w:r>
        <w:rPr>
          <w:rFonts w:ascii="Arial" w:cs="Arial" w:eastAsia="Arial" w:hAnsi="Arial"/>
          <w:sz w:val="21"/>
          <w:szCs w:val="21"/>
          <w:color w:val="auto"/>
        </w:rPr>
        <w:t>No temporary restraining order, preliminary or permanent injunction or other order preventing the consummation of the Transaction shall be issued by any Governmental Entity of competent jurisdiction and shall be in effect. No Law shall have been enacted which makes the consummation of the Transaction illegal.</w:t>
      </w:r>
    </w:p>
    <w:p>
      <w:pPr>
        <w:spacing w:after="0" w:line="167" w:lineRule="exact"/>
        <w:rPr>
          <w:sz w:val="20"/>
          <w:szCs w:val="20"/>
          <w:color w:val="auto"/>
        </w:rPr>
      </w:pPr>
    </w:p>
    <w:p>
      <w:pPr>
        <w:ind w:right="280" w:firstLine="846"/>
        <w:spacing w:after="0" w:line="251" w:lineRule="auto"/>
        <w:rPr>
          <w:sz w:val="20"/>
          <w:szCs w:val="20"/>
          <w:color w:val="auto"/>
        </w:rPr>
      </w:pPr>
      <w:r>
        <w:rPr>
          <w:rFonts w:ascii="Arial" w:cs="Arial" w:eastAsia="Arial" w:hAnsi="Arial"/>
          <w:sz w:val="22"/>
          <w:szCs w:val="22"/>
          <w:color w:val="auto"/>
        </w:rPr>
        <w:t xml:space="preserve">9.2 </w:t>
      </w:r>
      <w:r>
        <w:rPr>
          <w:rFonts w:ascii="Arial" w:cs="Arial" w:eastAsia="Arial" w:hAnsi="Arial"/>
          <w:sz w:val="22"/>
          <w:szCs w:val="22"/>
          <w:u w:val="single" w:color="auto"/>
          <w:color w:val="auto"/>
        </w:rPr>
        <w:t>Conditions to Obligations of Acquiror</w:t>
      </w:r>
      <w:r>
        <w:rPr>
          <w:rFonts w:ascii="Arial" w:cs="Arial" w:eastAsia="Arial" w:hAnsi="Arial"/>
          <w:sz w:val="22"/>
          <w:szCs w:val="22"/>
          <w:color w:val="auto"/>
        </w:rPr>
        <w:t>. The obligations of Acquiror to effect the Transaction are subject to the satisfaction (or waiver by Acquiror in its sole discretion) of the following further conditions:</w:t>
      </w:r>
    </w:p>
    <w:p>
      <w:pPr>
        <w:spacing w:after="0" w:line="173" w:lineRule="exact"/>
        <w:rPr>
          <w:sz w:val="20"/>
          <w:szCs w:val="20"/>
          <w:color w:val="auto"/>
        </w:rPr>
      </w:pPr>
    </w:p>
    <w:p>
      <w:pPr>
        <w:ind w:right="180" w:firstLine="1698"/>
        <w:spacing w:after="0"/>
        <w:tabs>
          <w:tab w:leader="none" w:pos="2578" w:val="left"/>
        </w:tabs>
        <w:numPr>
          <w:ilvl w:val="0"/>
          <w:numId w:val="151"/>
        </w:numPr>
        <w:rPr>
          <w:rFonts w:ascii="Arial" w:cs="Arial" w:eastAsia="Arial" w:hAnsi="Arial"/>
          <w:sz w:val="22"/>
          <w:szCs w:val="22"/>
          <w:color w:val="auto"/>
        </w:rPr>
      </w:pPr>
      <w:r>
        <w:rPr>
          <w:rFonts w:ascii="Arial" w:cs="Arial" w:eastAsia="Arial" w:hAnsi="Arial"/>
          <w:sz w:val="22"/>
          <w:szCs w:val="22"/>
          <w:color w:val="auto"/>
        </w:rPr>
        <w:t>The representations and warranties of the Seller set forth in this Agreement shall have been true and correct at and as of the date hereof and shall be true and correct at and as of the Closing Date as if made at and as of the Closing Date.</w:t>
      </w:r>
    </w:p>
    <w:p>
      <w:pPr>
        <w:spacing w:after="0" w:line="186" w:lineRule="exact"/>
        <w:rPr>
          <w:rFonts w:ascii="Arial" w:cs="Arial" w:eastAsia="Arial" w:hAnsi="Arial"/>
          <w:sz w:val="22"/>
          <w:szCs w:val="22"/>
          <w:color w:val="auto"/>
        </w:rPr>
      </w:pPr>
    </w:p>
    <w:p>
      <w:pPr>
        <w:ind w:right="160" w:firstLine="1698"/>
        <w:spacing w:after="0" w:line="328" w:lineRule="auto"/>
        <w:tabs>
          <w:tab w:leader="none" w:pos="2590" w:val="left"/>
        </w:tabs>
        <w:numPr>
          <w:ilvl w:val="0"/>
          <w:numId w:val="151"/>
        </w:numPr>
        <w:rPr>
          <w:rFonts w:ascii="Arial" w:cs="Arial" w:eastAsia="Arial" w:hAnsi="Arial"/>
          <w:sz w:val="19"/>
          <w:szCs w:val="19"/>
          <w:color w:val="auto"/>
        </w:rPr>
      </w:pPr>
      <w:r>
        <w:rPr>
          <w:rFonts w:ascii="Arial" w:cs="Arial" w:eastAsia="Arial" w:hAnsi="Arial"/>
          <w:sz w:val="19"/>
          <w:szCs w:val="19"/>
          <w:color w:val="auto"/>
        </w:rPr>
        <w:t>There shall not have occurred since the date of this Agreement any event, occurrence or change that has had or would reasonably be expected to have, individually or in the aggregate, a Compound Material Adverse Effect.</w:t>
      </w:r>
    </w:p>
    <w:p>
      <w:pPr>
        <w:spacing w:after="0" w:line="105" w:lineRule="exact"/>
        <w:rPr>
          <w:rFonts w:ascii="Arial" w:cs="Arial" w:eastAsia="Arial" w:hAnsi="Arial"/>
          <w:sz w:val="19"/>
          <w:szCs w:val="19"/>
          <w:color w:val="auto"/>
        </w:rPr>
      </w:pPr>
    </w:p>
    <w:p>
      <w:pPr>
        <w:ind w:firstLine="1698"/>
        <w:spacing w:after="0" w:line="238" w:lineRule="auto"/>
        <w:tabs>
          <w:tab w:leader="none" w:pos="2578" w:val="left"/>
        </w:tabs>
        <w:numPr>
          <w:ilvl w:val="0"/>
          <w:numId w:val="151"/>
        </w:numPr>
        <w:rPr>
          <w:rFonts w:ascii="Arial" w:cs="Arial" w:eastAsia="Arial" w:hAnsi="Arial"/>
          <w:sz w:val="22"/>
          <w:szCs w:val="22"/>
          <w:color w:val="auto"/>
        </w:rPr>
      </w:pPr>
      <w:r>
        <w:rPr>
          <w:rFonts w:ascii="Arial" w:cs="Arial" w:eastAsia="Arial" w:hAnsi="Arial"/>
          <w:sz w:val="22"/>
          <w:szCs w:val="22"/>
          <w:color w:val="auto"/>
        </w:rPr>
        <w:t>No action, proceeding or litigation brought by any Governmental Entity of competent jurisdiction shall be pending or threatened before any court or other Governmental Entity seeking to (i) prevent consummation of the Transaction, (ii) affect adversely the right of Acquiror to control the Compound; or (iii) restrain or prohibit Acquiror’s ownership of the Purchased Assets. No such Order shall be in effect.</w:t>
      </w:r>
    </w:p>
    <w:p>
      <w:pPr>
        <w:spacing w:after="0" w:line="185" w:lineRule="exact"/>
        <w:rPr>
          <w:rFonts w:ascii="Arial" w:cs="Arial" w:eastAsia="Arial" w:hAnsi="Arial"/>
          <w:sz w:val="22"/>
          <w:szCs w:val="22"/>
          <w:color w:val="auto"/>
        </w:rPr>
      </w:pPr>
    </w:p>
    <w:p>
      <w:pPr>
        <w:ind w:left="2600" w:hanging="902"/>
        <w:spacing w:after="0"/>
        <w:tabs>
          <w:tab w:leader="none" w:pos="2600" w:val="left"/>
        </w:tabs>
        <w:numPr>
          <w:ilvl w:val="0"/>
          <w:numId w:val="151"/>
        </w:numPr>
        <w:rPr>
          <w:rFonts w:ascii="Arial" w:cs="Arial" w:eastAsia="Arial" w:hAnsi="Arial"/>
          <w:sz w:val="22"/>
          <w:szCs w:val="22"/>
          <w:color w:val="auto"/>
        </w:rPr>
      </w:pPr>
      <w:r>
        <w:rPr>
          <w:rFonts w:ascii="Arial" w:cs="Arial" w:eastAsia="Arial" w:hAnsi="Arial"/>
          <w:sz w:val="22"/>
          <w:szCs w:val="22"/>
          <w:color w:val="auto"/>
        </w:rPr>
        <w:t>Seller shall have delivered to Acquiror duly executed Transaction Documents.</w:t>
      </w:r>
    </w:p>
    <w:p>
      <w:pPr>
        <w:spacing w:after="0" w:line="206" w:lineRule="exact"/>
        <w:rPr>
          <w:rFonts w:ascii="Arial" w:cs="Arial" w:eastAsia="Arial" w:hAnsi="Arial"/>
          <w:sz w:val="22"/>
          <w:szCs w:val="22"/>
          <w:color w:val="auto"/>
        </w:rPr>
      </w:pPr>
    </w:p>
    <w:p>
      <w:pPr>
        <w:ind w:left="2580" w:hanging="882"/>
        <w:spacing w:after="0"/>
        <w:tabs>
          <w:tab w:leader="none" w:pos="2580" w:val="left"/>
        </w:tabs>
        <w:numPr>
          <w:ilvl w:val="0"/>
          <w:numId w:val="151"/>
        </w:numPr>
        <w:rPr>
          <w:rFonts w:ascii="Arial" w:cs="Arial" w:eastAsia="Arial" w:hAnsi="Arial"/>
          <w:sz w:val="22"/>
          <w:szCs w:val="22"/>
          <w:color w:val="auto"/>
        </w:rPr>
      </w:pPr>
      <w:r>
        <w:rPr>
          <w:rFonts w:ascii="Arial" w:cs="Arial" w:eastAsia="Arial" w:hAnsi="Arial"/>
          <w:sz w:val="22"/>
          <w:szCs w:val="22"/>
          <w:color w:val="auto"/>
        </w:rPr>
        <w:t>Seller shall have delivered the items required by it pursuant to Section 3.2 hereof.</w:t>
      </w:r>
    </w:p>
    <w:p>
      <w:pPr>
        <w:spacing w:after="0" w:line="206" w:lineRule="exact"/>
        <w:rPr>
          <w:sz w:val="20"/>
          <w:szCs w:val="20"/>
          <w:color w:val="auto"/>
        </w:rPr>
      </w:pPr>
    </w:p>
    <w:p>
      <w:pPr>
        <w:ind w:right="180" w:firstLine="846"/>
        <w:spacing w:after="0" w:line="251" w:lineRule="auto"/>
        <w:rPr>
          <w:sz w:val="20"/>
          <w:szCs w:val="20"/>
          <w:color w:val="auto"/>
        </w:rPr>
      </w:pPr>
      <w:r>
        <w:rPr>
          <w:rFonts w:ascii="Arial" w:cs="Arial" w:eastAsia="Arial" w:hAnsi="Arial"/>
          <w:sz w:val="22"/>
          <w:szCs w:val="22"/>
          <w:color w:val="auto"/>
        </w:rPr>
        <w:t xml:space="preserve">9.3 </w:t>
      </w:r>
      <w:r>
        <w:rPr>
          <w:rFonts w:ascii="Arial" w:cs="Arial" w:eastAsia="Arial" w:hAnsi="Arial"/>
          <w:sz w:val="22"/>
          <w:szCs w:val="22"/>
          <w:u w:val="single" w:color="auto"/>
          <w:color w:val="auto"/>
        </w:rPr>
        <w:t>Conditions to Obligation of the Seller</w:t>
      </w:r>
      <w:r>
        <w:rPr>
          <w:rFonts w:ascii="Arial" w:cs="Arial" w:eastAsia="Arial" w:hAnsi="Arial"/>
          <w:sz w:val="22"/>
          <w:szCs w:val="22"/>
          <w:color w:val="auto"/>
        </w:rPr>
        <w:t>. The obligation of the Seller to effect the Transaction is subject to the satisfaction of the following further conditions (or waiver by the Seller Parties to which the condition relates):</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-19-</w:t>
      </w:r>
    </w:p>
    <w:p>
      <w:pPr>
        <w:spacing w:after="0" w:line="5" w:lineRule="exact"/>
        <w:rPr>
          <w:sz w:val="20"/>
          <w:szCs w:val="20"/>
          <w:color w:val="auto"/>
        </w:rPr>
      </w:pPr>
    </w:p>
    <w:p>
      <w:pPr>
        <w:ind w:right="20" w:firstLine="8"/>
        <w:spacing w:after="0" w:line="237" w:lineRule="auto"/>
        <w:tabs>
          <w:tab w:leader="none" w:pos="204" w:val="left"/>
        </w:tabs>
        <w:numPr>
          <w:ilvl w:val="0"/>
          <w:numId w:val="152"/>
        </w:numPr>
        <w:rPr>
          <w:rFonts w:ascii="Arial" w:cs="Arial" w:eastAsia="Arial" w:hAnsi="Arial"/>
          <w:sz w:val="14"/>
          <w:szCs w:val="14"/>
          <w:color w:val="auto"/>
        </w:rPr>
      </w:pPr>
      <w:r>
        <w:rPr>
          <w:rFonts w:ascii="Arial" w:cs="Arial" w:eastAsia="Arial" w:hAnsi="Arial"/>
          <w:sz w:val="14"/>
          <w:szCs w:val="14"/>
          <w:color w:val="auto"/>
        </w:rPr>
        <w:t>DESIGNATES PORTIONS OF THIS DOCUMENT THAT HAVE BEEN OMITTED PURSUANT TO A REQUEST FOR CONFIDENTIAL TREATMENT FILED SEPARATELY WITH THE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46990</wp:posOffset>
            </wp:positionV>
            <wp:extent cx="7289165"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64" w:right="259" w:bottom="1440" w:gutter="0" w:footer="0" w:header="0"/>
        </w:sectPr>
      </w:pPr>
    </w:p>
    <w:bookmarkStart w:id="110" w:name="page111"/>
    <w:bookmarkEnd w:id="110"/>
    <w:p>
      <w:pPr>
        <w:ind w:right="100" w:firstLine="1698"/>
        <w:spacing w:after="0" w:line="279" w:lineRule="auto"/>
        <w:tabs>
          <w:tab w:leader="none" w:pos="2578" w:val="left"/>
        </w:tabs>
        <w:numPr>
          <w:ilvl w:val="0"/>
          <w:numId w:val="153"/>
        </w:numPr>
        <w:rPr>
          <w:rFonts w:ascii="Arial" w:cs="Arial" w:eastAsia="Arial" w:hAnsi="Arial"/>
          <w:sz w:val="19"/>
          <w:szCs w:val="19"/>
          <w:color w:val="auto"/>
        </w:rPr>
      </w:pPr>
      <w:r>
        <w:rPr>
          <w:rFonts w:ascii="Arial" w:cs="Arial" w:eastAsia="Arial" w:hAnsi="Arial"/>
          <w:sz w:val="19"/>
          <w:szCs w:val="19"/>
          <w:color w:val="auto"/>
        </w:rPr>
        <w:t>The representations and warranties of Acquiror set forth in this Agreement that are [†] shall have been true and correct at and as of the date hereof and shall be true and correct at and as of the Closing Date as if made at and as of the Closing Date, and the representations and warranties that are [†] shall have been true and correct in all [†] respects at and as of the date hereof and shall be true and correct in all [†] respects at and as of the Closing Date as if made at and as of the Closing Date, except to the extent that such representations and warranties refer specifically to an earlier date, in which case such representations and warranties shall have been true and correct as of such earlier date.</w:t>
      </w:r>
    </w:p>
    <w:p>
      <w:pPr>
        <w:spacing w:after="0" w:line="150" w:lineRule="exact"/>
        <w:rPr>
          <w:rFonts w:ascii="Arial" w:cs="Arial" w:eastAsia="Arial" w:hAnsi="Arial"/>
          <w:sz w:val="19"/>
          <w:szCs w:val="19"/>
          <w:color w:val="auto"/>
        </w:rPr>
      </w:pPr>
    </w:p>
    <w:p>
      <w:pPr>
        <w:ind w:right="100" w:firstLine="1698"/>
        <w:spacing w:after="0" w:line="251" w:lineRule="auto"/>
        <w:tabs>
          <w:tab w:leader="none" w:pos="2590" w:val="left"/>
        </w:tabs>
        <w:numPr>
          <w:ilvl w:val="0"/>
          <w:numId w:val="153"/>
        </w:numPr>
        <w:rPr>
          <w:rFonts w:ascii="Arial" w:cs="Arial" w:eastAsia="Arial" w:hAnsi="Arial"/>
          <w:sz w:val="22"/>
          <w:szCs w:val="22"/>
          <w:color w:val="auto"/>
        </w:rPr>
      </w:pPr>
      <w:r>
        <w:rPr>
          <w:rFonts w:ascii="Arial" w:cs="Arial" w:eastAsia="Arial" w:hAnsi="Arial"/>
          <w:sz w:val="22"/>
          <w:szCs w:val="22"/>
          <w:color w:val="auto"/>
        </w:rPr>
        <w:t>Acquiror shall have performed in all [†] respects all obligations required to be performed by it under this Agreement at or prior to the Closing Date.</w:t>
      </w:r>
    </w:p>
    <w:p>
      <w:pPr>
        <w:spacing w:after="0" w:line="173" w:lineRule="exact"/>
        <w:rPr>
          <w:sz w:val="20"/>
          <w:szCs w:val="20"/>
          <w:color w:val="auto"/>
        </w:rPr>
      </w:pPr>
    </w:p>
    <w:p>
      <w:pPr>
        <w:ind w:right="220" w:firstLine="846"/>
        <w:spacing w:after="0"/>
        <w:rPr>
          <w:sz w:val="20"/>
          <w:szCs w:val="20"/>
          <w:color w:val="auto"/>
        </w:rPr>
      </w:pPr>
      <w:r>
        <w:rPr>
          <w:rFonts w:ascii="Arial" w:cs="Arial" w:eastAsia="Arial" w:hAnsi="Arial"/>
          <w:sz w:val="22"/>
          <w:szCs w:val="22"/>
          <w:color w:val="auto"/>
        </w:rPr>
        <w:t xml:space="preserve">9.4 </w:t>
      </w:r>
      <w:r>
        <w:rPr>
          <w:rFonts w:ascii="Arial" w:cs="Arial" w:eastAsia="Arial" w:hAnsi="Arial"/>
          <w:sz w:val="22"/>
          <w:szCs w:val="22"/>
          <w:u w:val="single" w:color="auto"/>
          <w:color w:val="auto"/>
        </w:rPr>
        <w:t>Frustration of Closing Conditions</w:t>
      </w:r>
      <w:r>
        <w:rPr>
          <w:rFonts w:ascii="Arial" w:cs="Arial" w:eastAsia="Arial" w:hAnsi="Arial"/>
          <w:sz w:val="22"/>
          <w:szCs w:val="22"/>
          <w:color w:val="auto"/>
        </w:rPr>
        <w:t xml:space="preserve">. None of the parties hereto may rely on the failure of any condition set forth in this </w:t>
      </w:r>
      <w:r>
        <w:rPr>
          <w:rFonts w:ascii="Arial" w:cs="Arial" w:eastAsia="Arial" w:hAnsi="Arial"/>
          <w:sz w:val="22"/>
          <w:szCs w:val="22"/>
          <w:u w:val="single" w:color="auto"/>
          <w:color w:val="auto"/>
        </w:rPr>
        <w:t>Article 9</w:t>
      </w:r>
      <w:r>
        <w:rPr>
          <w:rFonts w:ascii="Arial" w:cs="Arial" w:eastAsia="Arial" w:hAnsi="Arial"/>
          <w:sz w:val="22"/>
          <w:szCs w:val="22"/>
          <w:color w:val="auto"/>
        </w:rPr>
        <w:t xml:space="preserve"> to be satisfied if such failure was caused by such party’s failure to act in good faith or to use its [†] to cause the Closing to occur.</w:t>
      </w:r>
    </w:p>
    <w:p>
      <w:pPr>
        <w:spacing w:after="0" w:line="180"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ARTICLE 10 INDEMNIFICATION</w:t>
      </w:r>
    </w:p>
    <w:p>
      <w:pPr>
        <w:spacing w:after="0" w:line="212" w:lineRule="exact"/>
        <w:rPr>
          <w:sz w:val="20"/>
          <w:szCs w:val="20"/>
          <w:color w:val="auto"/>
        </w:rPr>
      </w:pPr>
    </w:p>
    <w:p>
      <w:pPr>
        <w:ind w:right="380" w:firstLine="846"/>
        <w:spacing w:after="0"/>
        <w:rPr>
          <w:sz w:val="20"/>
          <w:szCs w:val="20"/>
          <w:color w:val="auto"/>
        </w:rPr>
      </w:pPr>
      <w:r>
        <w:rPr>
          <w:rFonts w:ascii="Arial" w:cs="Arial" w:eastAsia="Arial" w:hAnsi="Arial"/>
          <w:sz w:val="22"/>
          <w:szCs w:val="22"/>
          <w:color w:val="auto"/>
        </w:rPr>
        <w:t xml:space="preserve">10.1 </w:t>
      </w:r>
      <w:r>
        <w:rPr>
          <w:rFonts w:ascii="Arial" w:cs="Arial" w:eastAsia="Arial" w:hAnsi="Arial"/>
          <w:sz w:val="22"/>
          <w:szCs w:val="22"/>
          <w:u w:val="single" w:color="auto"/>
          <w:color w:val="auto"/>
        </w:rPr>
        <w:t>By the Seller</w:t>
      </w:r>
      <w:r>
        <w:rPr>
          <w:rFonts w:ascii="Arial" w:cs="Arial" w:eastAsia="Arial" w:hAnsi="Arial"/>
          <w:sz w:val="22"/>
          <w:szCs w:val="22"/>
          <w:color w:val="auto"/>
        </w:rPr>
        <w:t>. To the extent provided in this Article 10, following the Closing, the Seller, shall indemnify Acquiror, its successors and assigns, and its officers, directors, employees, stockholders and agents (each, an “</w:t>
      </w:r>
      <w:r>
        <w:rPr>
          <w:rFonts w:ascii="Arial" w:cs="Arial" w:eastAsia="Arial" w:hAnsi="Arial"/>
          <w:sz w:val="22"/>
          <w:szCs w:val="22"/>
          <w:b w:val="1"/>
          <w:bCs w:val="1"/>
          <w:color w:val="auto"/>
        </w:rPr>
        <w:t>Indemnified</w:t>
      </w:r>
      <w:r>
        <w:rPr>
          <w:rFonts w:ascii="Arial" w:cs="Arial" w:eastAsia="Arial" w:hAnsi="Arial"/>
          <w:sz w:val="22"/>
          <w:szCs w:val="22"/>
          <w:color w:val="auto"/>
        </w:rPr>
        <w:t xml:space="preserve"> </w:t>
      </w:r>
      <w:r>
        <w:rPr>
          <w:rFonts w:ascii="Arial" w:cs="Arial" w:eastAsia="Arial" w:hAnsi="Arial"/>
          <w:sz w:val="22"/>
          <w:szCs w:val="22"/>
          <w:b w:val="1"/>
          <w:bCs w:val="1"/>
          <w:color w:val="auto"/>
        </w:rPr>
        <w:t>Acquiror Party</w:t>
      </w:r>
      <w:r>
        <w:rPr>
          <w:rFonts w:ascii="Arial" w:cs="Arial" w:eastAsia="Arial" w:hAnsi="Arial"/>
          <w:sz w:val="22"/>
          <w:szCs w:val="22"/>
          <w:color w:val="auto"/>
        </w:rPr>
        <w:t>”) and hold each Indemnified Acquiror Party harmless from and against:</w:t>
      </w:r>
    </w:p>
    <w:p>
      <w:pPr>
        <w:spacing w:after="0" w:line="186" w:lineRule="exact"/>
        <w:rPr>
          <w:sz w:val="20"/>
          <w:szCs w:val="20"/>
          <w:color w:val="auto"/>
        </w:rPr>
      </w:pPr>
    </w:p>
    <w:p>
      <w:pPr>
        <w:ind w:left="2580" w:hanging="882"/>
        <w:spacing w:after="0"/>
        <w:tabs>
          <w:tab w:leader="none" w:pos="2580" w:val="left"/>
        </w:tabs>
        <w:numPr>
          <w:ilvl w:val="0"/>
          <w:numId w:val="154"/>
        </w:numPr>
        <w:rPr>
          <w:rFonts w:ascii="Arial" w:cs="Arial" w:eastAsia="Arial" w:hAnsi="Arial"/>
          <w:sz w:val="22"/>
          <w:szCs w:val="22"/>
          <w:color w:val="auto"/>
        </w:rPr>
      </w:pPr>
      <w:r>
        <w:rPr>
          <w:rFonts w:ascii="Arial" w:cs="Arial" w:eastAsia="Arial" w:hAnsi="Arial"/>
          <w:sz w:val="22"/>
          <w:szCs w:val="22"/>
          <w:color w:val="auto"/>
        </w:rPr>
        <w:t>[†]:</w:t>
      </w:r>
    </w:p>
    <w:p>
      <w:pPr>
        <w:spacing w:after="0" w:line="206" w:lineRule="exact"/>
        <w:rPr>
          <w:rFonts w:ascii="Arial" w:cs="Arial" w:eastAsia="Arial" w:hAnsi="Arial"/>
          <w:sz w:val="22"/>
          <w:szCs w:val="22"/>
          <w:color w:val="auto"/>
        </w:rPr>
      </w:pPr>
    </w:p>
    <w:p>
      <w:pPr>
        <w:ind w:left="3500" w:hanging="956"/>
        <w:spacing w:after="0"/>
        <w:tabs>
          <w:tab w:leader="none" w:pos="3500" w:val="left"/>
        </w:tabs>
        <w:numPr>
          <w:ilvl w:val="1"/>
          <w:numId w:val="154"/>
        </w:numPr>
        <w:rPr>
          <w:rFonts w:ascii="Arial" w:cs="Arial" w:eastAsia="Arial" w:hAnsi="Arial"/>
          <w:sz w:val="22"/>
          <w:szCs w:val="22"/>
          <w:color w:val="auto"/>
        </w:rPr>
      </w:pPr>
      <w:r>
        <w:rPr>
          <w:rFonts w:ascii="Arial" w:cs="Arial" w:eastAsia="Arial" w:hAnsi="Arial"/>
          <w:sz w:val="22"/>
          <w:szCs w:val="22"/>
          <w:color w:val="auto"/>
        </w:rPr>
        <w:t>[†]</w:t>
      </w:r>
    </w:p>
    <w:p>
      <w:pPr>
        <w:spacing w:after="0" w:line="206" w:lineRule="exact"/>
        <w:rPr>
          <w:rFonts w:ascii="Arial" w:cs="Arial" w:eastAsia="Arial" w:hAnsi="Arial"/>
          <w:sz w:val="22"/>
          <w:szCs w:val="22"/>
          <w:color w:val="auto"/>
        </w:rPr>
      </w:pPr>
    </w:p>
    <w:p>
      <w:pPr>
        <w:ind w:left="3520" w:hanging="976"/>
        <w:spacing w:after="0"/>
        <w:tabs>
          <w:tab w:leader="none" w:pos="3520" w:val="left"/>
        </w:tabs>
        <w:numPr>
          <w:ilvl w:val="1"/>
          <w:numId w:val="154"/>
        </w:numPr>
        <w:rPr>
          <w:rFonts w:ascii="Arial" w:cs="Arial" w:eastAsia="Arial" w:hAnsi="Arial"/>
          <w:sz w:val="22"/>
          <w:szCs w:val="22"/>
          <w:color w:val="auto"/>
        </w:rPr>
      </w:pPr>
      <w:r>
        <w:rPr>
          <w:rFonts w:ascii="Arial" w:cs="Arial" w:eastAsia="Arial" w:hAnsi="Arial"/>
          <w:sz w:val="22"/>
          <w:szCs w:val="22"/>
          <w:color w:val="auto"/>
        </w:rPr>
        <w:t>[†]</w:t>
      </w:r>
    </w:p>
    <w:p>
      <w:pPr>
        <w:spacing w:after="0" w:line="206" w:lineRule="exact"/>
        <w:rPr>
          <w:rFonts w:ascii="Arial" w:cs="Arial" w:eastAsia="Arial" w:hAnsi="Arial"/>
          <w:sz w:val="22"/>
          <w:szCs w:val="22"/>
          <w:color w:val="auto"/>
        </w:rPr>
      </w:pPr>
    </w:p>
    <w:p>
      <w:pPr>
        <w:ind w:left="2600" w:hanging="902"/>
        <w:spacing w:after="0"/>
        <w:tabs>
          <w:tab w:leader="none" w:pos="2600" w:val="left"/>
        </w:tabs>
        <w:numPr>
          <w:ilvl w:val="0"/>
          <w:numId w:val="154"/>
        </w:numPr>
        <w:rPr>
          <w:rFonts w:ascii="Arial" w:cs="Arial" w:eastAsia="Arial" w:hAnsi="Arial"/>
          <w:sz w:val="22"/>
          <w:szCs w:val="22"/>
          <w:color w:val="auto"/>
        </w:rPr>
      </w:pPr>
      <w:r>
        <w:rPr>
          <w:rFonts w:ascii="Arial" w:cs="Arial" w:eastAsia="Arial" w:hAnsi="Arial"/>
          <w:sz w:val="22"/>
          <w:szCs w:val="22"/>
          <w:color w:val="auto"/>
        </w:rPr>
        <w:t>[†].</w:t>
      </w:r>
    </w:p>
    <w:p>
      <w:pPr>
        <w:spacing w:after="0" w:line="206" w:lineRule="exact"/>
        <w:rPr>
          <w:sz w:val="20"/>
          <w:szCs w:val="20"/>
          <w:color w:val="auto"/>
        </w:rPr>
      </w:pPr>
    </w:p>
    <w:p>
      <w:pPr>
        <w:ind w:right="600" w:firstLine="846"/>
        <w:spacing w:after="0" w:line="258" w:lineRule="auto"/>
        <w:rPr>
          <w:sz w:val="20"/>
          <w:szCs w:val="20"/>
          <w:color w:val="auto"/>
        </w:rPr>
      </w:pPr>
      <w:r>
        <w:rPr>
          <w:rFonts w:ascii="Arial" w:cs="Arial" w:eastAsia="Arial" w:hAnsi="Arial"/>
          <w:sz w:val="21"/>
          <w:szCs w:val="21"/>
          <w:color w:val="auto"/>
        </w:rPr>
        <w:t xml:space="preserve">10.2 </w:t>
      </w:r>
      <w:r>
        <w:rPr>
          <w:rFonts w:ascii="Arial" w:cs="Arial" w:eastAsia="Arial" w:hAnsi="Arial"/>
          <w:sz w:val="21"/>
          <w:szCs w:val="21"/>
          <w:u w:val="single" w:color="auto"/>
          <w:color w:val="auto"/>
        </w:rPr>
        <w:t>By Acquiror</w:t>
      </w:r>
      <w:r>
        <w:rPr>
          <w:rFonts w:ascii="Arial" w:cs="Arial" w:eastAsia="Arial" w:hAnsi="Arial"/>
          <w:sz w:val="21"/>
          <w:szCs w:val="21"/>
          <w:color w:val="auto"/>
        </w:rPr>
        <w:t>. From and after the Closing Date, to the extent provided in this Article 10, Acquiror shall indemnify the Seller, its successors and assigns, and its officers, directors, employees, stockholders and agents (each, an “</w:t>
      </w:r>
      <w:r>
        <w:rPr>
          <w:rFonts w:ascii="Arial" w:cs="Arial" w:eastAsia="Arial" w:hAnsi="Arial"/>
          <w:sz w:val="21"/>
          <w:szCs w:val="21"/>
          <w:b w:val="1"/>
          <w:bCs w:val="1"/>
          <w:color w:val="auto"/>
        </w:rPr>
        <w:t>Indemnified Seller Party</w:t>
      </w:r>
      <w:r>
        <w:rPr>
          <w:rFonts w:ascii="Arial" w:cs="Arial" w:eastAsia="Arial" w:hAnsi="Arial"/>
          <w:sz w:val="21"/>
          <w:szCs w:val="21"/>
          <w:color w:val="auto"/>
        </w:rPr>
        <w:t>”) and hold each Indemnified Seller Party harmless from and against:</w:t>
      </w:r>
    </w:p>
    <w:p>
      <w:pPr>
        <w:spacing w:after="0" w:line="167" w:lineRule="exact"/>
        <w:rPr>
          <w:sz w:val="20"/>
          <w:szCs w:val="20"/>
          <w:color w:val="auto"/>
        </w:rPr>
      </w:pPr>
    </w:p>
    <w:p>
      <w:pPr>
        <w:ind w:left="2580" w:hanging="882"/>
        <w:spacing w:after="0"/>
        <w:tabs>
          <w:tab w:leader="none" w:pos="2580" w:val="left"/>
        </w:tabs>
        <w:numPr>
          <w:ilvl w:val="0"/>
          <w:numId w:val="155"/>
        </w:numPr>
        <w:rPr>
          <w:rFonts w:ascii="Arial" w:cs="Arial" w:eastAsia="Arial" w:hAnsi="Arial"/>
          <w:sz w:val="22"/>
          <w:szCs w:val="22"/>
          <w:color w:val="auto"/>
        </w:rPr>
      </w:pPr>
      <w:r>
        <w:rPr>
          <w:rFonts w:ascii="Arial" w:cs="Arial" w:eastAsia="Arial" w:hAnsi="Arial"/>
          <w:sz w:val="22"/>
          <w:szCs w:val="22"/>
          <w:color w:val="auto"/>
        </w:rPr>
        <w:t>[†]:</w:t>
      </w:r>
    </w:p>
    <w:p>
      <w:pPr>
        <w:spacing w:after="0" w:line="206" w:lineRule="exact"/>
        <w:rPr>
          <w:rFonts w:ascii="Arial" w:cs="Arial" w:eastAsia="Arial" w:hAnsi="Arial"/>
          <w:sz w:val="22"/>
          <w:szCs w:val="22"/>
          <w:color w:val="auto"/>
        </w:rPr>
      </w:pPr>
    </w:p>
    <w:p>
      <w:pPr>
        <w:ind w:left="3500" w:hanging="956"/>
        <w:spacing w:after="0"/>
        <w:tabs>
          <w:tab w:leader="none" w:pos="3500" w:val="left"/>
        </w:tabs>
        <w:numPr>
          <w:ilvl w:val="1"/>
          <w:numId w:val="155"/>
        </w:numPr>
        <w:rPr>
          <w:rFonts w:ascii="Arial" w:cs="Arial" w:eastAsia="Arial" w:hAnsi="Arial"/>
          <w:sz w:val="22"/>
          <w:szCs w:val="22"/>
          <w:color w:val="auto"/>
        </w:rPr>
      </w:pPr>
      <w:r>
        <w:rPr>
          <w:rFonts w:ascii="Arial" w:cs="Arial" w:eastAsia="Arial" w:hAnsi="Arial"/>
          <w:sz w:val="22"/>
          <w:szCs w:val="22"/>
          <w:color w:val="auto"/>
        </w:rPr>
        <w:t>[†]</w:t>
      </w:r>
    </w:p>
    <w:p>
      <w:pPr>
        <w:spacing w:after="0" w:line="206" w:lineRule="exact"/>
        <w:rPr>
          <w:rFonts w:ascii="Arial" w:cs="Arial" w:eastAsia="Arial" w:hAnsi="Arial"/>
          <w:sz w:val="22"/>
          <w:szCs w:val="22"/>
          <w:color w:val="auto"/>
        </w:rPr>
      </w:pPr>
    </w:p>
    <w:p>
      <w:pPr>
        <w:ind w:left="3520" w:hanging="976"/>
        <w:spacing w:after="0"/>
        <w:tabs>
          <w:tab w:leader="none" w:pos="3520" w:val="left"/>
        </w:tabs>
        <w:numPr>
          <w:ilvl w:val="1"/>
          <w:numId w:val="155"/>
        </w:numPr>
        <w:rPr>
          <w:rFonts w:ascii="Arial" w:cs="Arial" w:eastAsia="Arial" w:hAnsi="Arial"/>
          <w:sz w:val="22"/>
          <w:szCs w:val="22"/>
          <w:color w:val="auto"/>
        </w:rPr>
      </w:pPr>
      <w:r>
        <w:rPr>
          <w:rFonts w:ascii="Arial" w:cs="Arial" w:eastAsia="Arial" w:hAnsi="Arial"/>
          <w:sz w:val="22"/>
          <w:szCs w:val="22"/>
          <w:color w:val="auto"/>
        </w:rPr>
        <w:t>[†]</w:t>
      </w:r>
    </w:p>
    <w:p>
      <w:pPr>
        <w:spacing w:after="0" w:line="206" w:lineRule="exact"/>
        <w:rPr>
          <w:rFonts w:ascii="Arial" w:cs="Arial" w:eastAsia="Arial" w:hAnsi="Arial"/>
          <w:sz w:val="22"/>
          <w:szCs w:val="22"/>
          <w:color w:val="auto"/>
        </w:rPr>
      </w:pPr>
    </w:p>
    <w:p>
      <w:pPr>
        <w:ind w:left="2600" w:hanging="902"/>
        <w:spacing w:after="0"/>
        <w:tabs>
          <w:tab w:leader="none" w:pos="2600" w:val="left"/>
        </w:tabs>
        <w:numPr>
          <w:ilvl w:val="0"/>
          <w:numId w:val="155"/>
        </w:numPr>
        <w:rPr>
          <w:rFonts w:ascii="Arial" w:cs="Arial" w:eastAsia="Arial" w:hAnsi="Arial"/>
          <w:sz w:val="22"/>
          <w:szCs w:val="22"/>
          <w:color w:val="auto"/>
        </w:rPr>
      </w:pPr>
      <w:r>
        <w:rPr>
          <w:rFonts w:ascii="Arial" w:cs="Arial" w:eastAsia="Arial" w:hAnsi="Arial"/>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-20-</w:t>
      </w:r>
    </w:p>
    <w:p>
      <w:pPr>
        <w:spacing w:after="0" w:line="5" w:lineRule="exact"/>
        <w:rPr>
          <w:sz w:val="20"/>
          <w:szCs w:val="20"/>
          <w:color w:val="auto"/>
        </w:rPr>
      </w:pPr>
    </w:p>
    <w:p>
      <w:pPr>
        <w:ind w:firstLine="8"/>
        <w:spacing w:after="0" w:line="237" w:lineRule="auto"/>
        <w:tabs>
          <w:tab w:leader="none" w:pos="204" w:val="left"/>
        </w:tabs>
        <w:numPr>
          <w:ilvl w:val="0"/>
          <w:numId w:val="156"/>
        </w:numPr>
        <w:rPr>
          <w:rFonts w:ascii="Arial" w:cs="Arial" w:eastAsia="Arial" w:hAnsi="Arial"/>
          <w:sz w:val="14"/>
          <w:szCs w:val="14"/>
          <w:color w:val="auto"/>
        </w:rPr>
      </w:pPr>
      <w:r>
        <w:rPr>
          <w:rFonts w:ascii="Arial" w:cs="Arial" w:eastAsia="Arial" w:hAnsi="Arial"/>
          <w:sz w:val="14"/>
          <w:szCs w:val="14"/>
          <w:color w:val="auto"/>
        </w:rPr>
        <w:t>DESIGNATES PORTIONS OF THIS DOCUMENT THAT HAVE BEEN OMITTED PURSUANT TO A REQUEST FOR CONFIDENTIAL TREATMENT FILED SEPARATELY WITH THE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46990</wp:posOffset>
            </wp:positionV>
            <wp:extent cx="7289165"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564" w:right="279" w:bottom="1440" w:gutter="0" w:footer="0" w:header="0"/>
        </w:sectPr>
      </w:pPr>
    </w:p>
    <w:bookmarkStart w:id="111" w:name="page112"/>
    <w:bookmarkEnd w:id="111"/>
    <w:p>
      <w:pPr>
        <w:ind w:right="20" w:firstLine="846"/>
        <w:spacing w:after="0" w:line="247" w:lineRule="auto"/>
        <w:rPr>
          <w:sz w:val="20"/>
          <w:szCs w:val="20"/>
          <w:color w:val="auto"/>
        </w:rPr>
      </w:pPr>
      <w:r>
        <w:rPr>
          <w:rFonts w:ascii="Arial" w:cs="Arial" w:eastAsia="Arial" w:hAnsi="Arial"/>
          <w:sz w:val="21"/>
          <w:szCs w:val="21"/>
          <w:color w:val="auto"/>
        </w:rPr>
        <w:t xml:space="preserve">10.3 </w:t>
      </w:r>
      <w:r>
        <w:rPr>
          <w:rFonts w:ascii="Arial" w:cs="Arial" w:eastAsia="Arial" w:hAnsi="Arial"/>
          <w:sz w:val="21"/>
          <w:szCs w:val="21"/>
          <w:u w:val="single" w:color="auto"/>
          <w:color w:val="auto"/>
        </w:rPr>
        <w:t>Limitation of Liability</w:t>
      </w:r>
      <w:r>
        <w:rPr>
          <w:rFonts w:ascii="Arial" w:cs="Arial" w:eastAsia="Arial" w:hAnsi="Arial"/>
          <w:sz w:val="21"/>
          <w:szCs w:val="21"/>
          <w:color w:val="auto"/>
        </w:rPr>
        <w:t>. EXCEPT [†], NEITHER PARTY WILL BE LIABLE TO THE OTHER FOR ANY LOST PROFITS, LOST BUSINESS OR ANY INDIRECT, INCIDENTAL, CONSEQUENTIAL, PUNITIVE, EXEMPLARY OR OTHER SPECIAL DAMAGES SUFFERED BY THE OTHER PARTY OR ITS AFFILIATES ARISING OUT OF OR RELATED TO THIS AGREEMENT FOR ALL CAUSES OF ACTION OF ANY KIND (INCLUDING TORT, CONTRACT, NEGLIGENCE, STRICT LIABILITY, INDEMNITY AND BREACH OF WARRANTY) EVEN IF SUCH PARTY HAS BEEN ADVISED OF THE POSSIBILITY OF SUCH DAMAGES, UNLESS SUCH DAMAGES ARE PAYABLE TO A THIRD PARTY IN CONNECTION WITH A CLAIM BY SUCH THIRD PARTY THAT IS INDEMNIFIABLE HEREUNDER.</w:t>
      </w:r>
    </w:p>
    <w:p>
      <w:pPr>
        <w:spacing w:after="0" w:line="172" w:lineRule="exact"/>
        <w:rPr>
          <w:sz w:val="20"/>
          <w:szCs w:val="20"/>
          <w:color w:val="auto"/>
        </w:rPr>
      </w:pPr>
    </w:p>
    <w:p>
      <w:pPr>
        <w:ind w:right="20" w:firstLine="846"/>
        <w:spacing w:after="0" w:line="245" w:lineRule="auto"/>
        <w:rPr>
          <w:sz w:val="20"/>
          <w:szCs w:val="20"/>
          <w:color w:val="auto"/>
        </w:rPr>
      </w:pPr>
      <w:r>
        <w:rPr>
          <w:rFonts w:ascii="Arial" w:cs="Arial" w:eastAsia="Arial" w:hAnsi="Arial"/>
          <w:sz w:val="21"/>
          <w:szCs w:val="21"/>
          <w:color w:val="auto"/>
        </w:rPr>
        <w:t xml:space="preserve">10.4 </w:t>
      </w:r>
      <w:r>
        <w:rPr>
          <w:rFonts w:ascii="Arial" w:cs="Arial" w:eastAsia="Arial" w:hAnsi="Arial"/>
          <w:sz w:val="21"/>
          <w:szCs w:val="21"/>
          <w:u w:val="single" w:color="auto"/>
          <w:color w:val="auto"/>
        </w:rPr>
        <w:t>Procedure for Claims</w:t>
      </w:r>
      <w:r>
        <w:rPr>
          <w:rFonts w:ascii="Arial" w:cs="Arial" w:eastAsia="Arial" w:hAnsi="Arial"/>
          <w:sz w:val="21"/>
          <w:szCs w:val="21"/>
          <w:color w:val="auto"/>
        </w:rPr>
        <w:t>. A Party that intends to claim indemnification under this Article 10 (the “</w:t>
      </w:r>
      <w:r>
        <w:rPr>
          <w:rFonts w:ascii="Arial" w:cs="Arial" w:eastAsia="Arial" w:hAnsi="Arial"/>
          <w:sz w:val="21"/>
          <w:szCs w:val="21"/>
          <w:b w:val="1"/>
          <w:bCs w:val="1"/>
          <w:color w:val="auto"/>
        </w:rPr>
        <w:t>Indemnitee</w:t>
      </w:r>
      <w:r>
        <w:rPr>
          <w:rFonts w:ascii="Arial" w:cs="Arial" w:eastAsia="Arial" w:hAnsi="Arial"/>
          <w:sz w:val="21"/>
          <w:szCs w:val="21"/>
          <w:color w:val="auto"/>
        </w:rPr>
        <w:t>”) shall promptly notify the other Party (the “</w:t>
      </w:r>
      <w:r>
        <w:rPr>
          <w:rFonts w:ascii="Arial" w:cs="Arial" w:eastAsia="Arial" w:hAnsi="Arial"/>
          <w:sz w:val="21"/>
          <w:szCs w:val="21"/>
          <w:b w:val="1"/>
          <w:bCs w:val="1"/>
          <w:color w:val="auto"/>
        </w:rPr>
        <w:t>Indemnitor</w:t>
      </w:r>
      <w:r>
        <w:rPr>
          <w:rFonts w:ascii="Arial" w:cs="Arial" w:eastAsia="Arial" w:hAnsi="Arial"/>
          <w:sz w:val="21"/>
          <w:szCs w:val="21"/>
          <w:color w:val="auto"/>
        </w:rPr>
        <w:t>”) in writing of the assertion or the commencement of any Action by a Third Party (a “</w:t>
      </w:r>
      <w:r>
        <w:rPr>
          <w:rFonts w:ascii="Arial" w:cs="Arial" w:eastAsia="Arial" w:hAnsi="Arial"/>
          <w:sz w:val="21"/>
          <w:szCs w:val="21"/>
          <w:b w:val="1"/>
          <w:bCs w:val="1"/>
          <w:color w:val="auto"/>
        </w:rPr>
        <w:t>Third Party Claim</w:t>
      </w:r>
      <w:r>
        <w:rPr>
          <w:rFonts w:ascii="Arial" w:cs="Arial" w:eastAsia="Arial" w:hAnsi="Arial"/>
          <w:sz w:val="21"/>
          <w:szCs w:val="21"/>
          <w:color w:val="auto"/>
        </w:rPr>
        <w:t>”) and will provide the Indemnitor such information with respect thereto that the Indemnitor may reasonably request. The Indemnitor shall be entitled to control and appoint lead counsel for such defense, in each case at its expense. If the Indemnitor shall assume the control of the defense of any Third Party Claim in accordance with the provisions, the Indemnitor shall obtain the prior consent of the Indemnitee (which shall not be unreasonably withheld) before entering into any settlement of such Third Party Claim. The failure to deliver written notice to the Indemnitor within a reasonable time after the commencement of any action with respect to a Third Party Claim shall not relieve the Indemnitor of its obligations under this Article 10 unless the delay or failure is materially prejudicial to its ability to defend such action. The Indemnitee under this Section 10.4 shall cooperate fully with the Indemnitor and its legal representatives in the investigation of any action with respect to a Third Party Claim covered by this indemnification.</w:t>
      </w:r>
    </w:p>
    <w:p>
      <w:pPr>
        <w:spacing w:after="0" w:line="184" w:lineRule="exact"/>
        <w:rPr>
          <w:sz w:val="20"/>
          <w:szCs w:val="20"/>
          <w:color w:val="auto"/>
        </w:rPr>
      </w:pPr>
    </w:p>
    <w:p>
      <w:pPr>
        <w:ind w:left="860"/>
        <w:spacing w:after="0"/>
        <w:tabs>
          <w:tab w:leader="none" w:pos="1860" w:val="left"/>
        </w:tabs>
        <w:rPr>
          <w:sz w:val="20"/>
          <w:szCs w:val="20"/>
          <w:color w:val="auto"/>
        </w:rPr>
      </w:pPr>
      <w:r>
        <w:rPr>
          <w:rFonts w:ascii="Arial" w:cs="Arial" w:eastAsia="Arial" w:hAnsi="Arial"/>
          <w:sz w:val="22"/>
          <w:szCs w:val="22"/>
          <w:color w:val="auto"/>
        </w:rPr>
        <w:t>10.5</w:t>
      </w:r>
      <w:r>
        <w:rPr>
          <w:sz w:val="20"/>
          <w:szCs w:val="20"/>
          <w:color w:val="auto"/>
        </w:rPr>
        <w:tab/>
      </w:r>
      <w:r>
        <w:rPr>
          <w:rFonts w:ascii="Arial" w:cs="Arial" w:eastAsia="Arial" w:hAnsi="Arial"/>
          <w:sz w:val="21"/>
          <w:szCs w:val="21"/>
          <w:color w:val="auto"/>
        </w:rPr>
        <w:t>[†]. [†].</w:t>
      </w:r>
    </w:p>
    <w:p>
      <w:pPr>
        <w:spacing w:after="0" w:line="206" w:lineRule="exact"/>
        <w:rPr>
          <w:sz w:val="20"/>
          <w:szCs w:val="20"/>
          <w:color w:val="auto"/>
        </w:rPr>
      </w:pPr>
    </w:p>
    <w:p>
      <w:pPr>
        <w:ind w:right="40" w:firstLine="846"/>
        <w:spacing w:after="0" w:line="251" w:lineRule="auto"/>
        <w:rPr>
          <w:sz w:val="20"/>
          <w:szCs w:val="20"/>
          <w:color w:val="auto"/>
        </w:rPr>
      </w:pPr>
      <w:r>
        <w:rPr>
          <w:rFonts w:ascii="Arial" w:cs="Arial" w:eastAsia="Arial" w:hAnsi="Arial"/>
          <w:sz w:val="22"/>
          <w:szCs w:val="22"/>
          <w:color w:val="auto"/>
        </w:rPr>
        <w:t xml:space="preserve">10.6 </w:t>
      </w:r>
      <w:r>
        <w:rPr>
          <w:rFonts w:ascii="Arial" w:cs="Arial" w:eastAsia="Arial" w:hAnsi="Arial"/>
          <w:sz w:val="22"/>
          <w:szCs w:val="22"/>
          <w:u w:val="single" w:color="auto"/>
          <w:color w:val="auto"/>
        </w:rPr>
        <w:t>Survival</w:t>
      </w:r>
      <w:r>
        <w:rPr>
          <w:rFonts w:ascii="Arial" w:cs="Arial" w:eastAsia="Arial" w:hAnsi="Arial"/>
          <w:sz w:val="22"/>
          <w:szCs w:val="22"/>
          <w:color w:val="auto"/>
        </w:rPr>
        <w:t>. The Parties hereto agree that their respective representations, warranties, covenants and agreements contained in this Agreement shall survive the Closing for a period of [†].</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ARTICLE 11 MISCELLANEOUS</w:t>
      </w:r>
    </w:p>
    <w:p>
      <w:pPr>
        <w:spacing w:after="0" w:line="212" w:lineRule="exact"/>
        <w:rPr>
          <w:sz w:val="20"/>
          <w:szCs w:val="20"/>
          <w:color w:val="auto"/>
        </w:rPr>
      </w:pPr>
    </w:p>
    <w:p>
      <w:pPr>
        <w:ind w:firstLine="846"/>
        <w:spacing w:after="0" w:line="273" w:lineRule="auto"/>
        <w:rPr>
          <w:sz w:val="20"/>
          <w:szCs w:val="20"/>
          <w:color w:val="auto"/>
        </w:rPr>
      </w:pPr>
      <w:r>
        <w:rPr>
          <w:rFonts w:ascii="Arial" w:cs="Arial" w:eastAsia="Arial" w:hAnsi="Arial"/>
          <w:sz w:val="19"/>
          <w:szCs w:val="19"/>
          <w:color w:val="auto"/>
        </w:rPr>
        <w:t xml:space="preserve">11.1 </w:t>
      </w:r>
      <w:r>
        <w:rPr>
          <w:rFonts w:ascii="Arial" w:cs="Arial" w:eastAsia="Arial" w:hAnsi="Arial"/>
          <w:sz w:val="19"/>
          <w:szCs w:val="19"/>
          <w:u w:val="single" w:color="auto"/>
          <w:color w:val="auto"/>
        </w:rPr>
        <w:t>Notices</w:t>
      </w:r>
      <w:r>
        <w:rPr>
          <w:rFonts w:ascii="Arial" w:cs="Arial" w:eastAsia="Arial" w:hAnsi="Arial"/>
          <w:sz w:val="19"/>
          <w:szCs w:val="19"/>
          <w:color w:val="auto"/>
        </w:rPr>
        <w:t>. Any notice, request, demand, waiver, consent, approval or other communication which is required or permitted hereunder shall be in writing and shall be deemed given: (a) on the date established by the sender as the date of actual personal delivery; (b) on the date delivered by a private courier as established by the sender by evidence obtained from the courier;</w:t>
      </w:r>
    </w:p>
    <w:p>
      <w:pPr>
        <w:spacing w:after="0" w:line="2" w:lineRule="exact"/>
        <w:rPr>
          <w:sz w:val="20"/>
          <w:szCs w:val="20"/>
          <w:color w:val="auto"/>
        </w:rPr>
      </w:pPr>
    </w:p>
    <w:p>
      <w:pPr>
        <w:ind w:right="360" w:firstLine="8"/>
        <w:spacing w:after="0" w:line="234" w:lineRule="auto"/>
        <w:tabs>
          <w:tab w:leader="none" w:pos="294" w:val="left"/>
        </w:tabs>
        <w:numPr>
          <w:ilvl w:val="0"/>
          <w:numId w:val="157"/>
        </w:numPr>
        <w:rPr>
          <w:rFonts w:ascii="Arial" w:cs="Arial" w:eastAsia="Arial" w:hAnsi="Arial"/>
          <w:sz w:val="22"/>
          <w:szCs w:val="22"/>
          <w:color w:val="auto"/>
        </w:rPr>
      </w:pPr>
      <w:r>
        <w:rPr>
          <w:rFonts w:ascii="Arial" w:cs="Arial" w:eastAsia="Arial" w:hAnsi="Arial"/>
          <w:sz w:val="22"/>
          <w:szCs w:val="22"/>
          <w:color w:val="auto"/>
        </w:rPr>
        <w:t>on the date sent by facsimile, with confirmation of transmission, if sent during normal business hours of the recipient, if not, then on the [†]; or (d) on the [†] after the date mailed, by certified or registered mail, return receipt requested, postage prepaid. Such communications, to be valid, must be addressed as follows:</w:t>
      </w: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-21-</w:t>
      </w:r>
    </w:p>
    <w:p>
      <w:pPr>
        <w:spacing w:after="0" w:line="5" w:lineRule="exact"/>
        <w:rPr>
          <w:sz w:val="20"/>
          <w:szCs w:val="20"/>
          <w:color w:val="auto"/>
        </w:rPr>
      </w:pPr>
    </w:p>
    <w:p>
      <w:pPr>
        <w:ind w:right="20" w:firstLine="8"/>
        <w:spacing w:after="0" w:line="237" w:lineRule="auto"/>
        <w:tabs>
          <w:tab w:leader="none" w:pos="204" w:val="left"/>
        </w:tabs>
        <w:numPr>
          <w:ilvl w:val="0"/>
          <w:numId w:val="158"/>
        </w:numPr>
        <w:rPr>
          <w:rFonts w:ascii="Arial" w:cs="Arial" w:eastAsia="Arial" w:hAnsi="Arial"/>
          <w:sz w:val="14"/>
          <w:szCs w:val="14"/>
          <w:color w:val="auto"/>
        </w:rPr>
      </w:pPr>
      <w:r>
        <w:rPr>
          <w:rFonts w:ascii="Arial" w:cs="Arial" w:eastAsia="Arial" w:hAnsi="Arial"/>
          <w:sz w:val="14"/>
          <w:szCs w:val="14"/>
          <w:color w:val="auto"/>
        </w:rPr>
        <w:t>DESIGNATES PORTIONS OF THIS DOCUMENT THAT HAVE BEEN OMITTED PURSUANT TO A REQUEST FOR CONFIDENTIAL TREATMENT FILED SEPARATELY WITH THE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46990</wp:posOffset>
            </wp:positionV>
            <wp:extent cx="7289165"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64" w:right="259" w:bottom="1440" w:gutter="0" w:footer="0" w:header="0"/>
        </w:sectPr>
      </w:pPr>
    </w:p>
    <w:bookmarkStart w:id="112" w:name="page113"/>
    <w:bookmarkEnd w:id="112"/>
    <w:p>
      <w:pPr>
        <w:spacing w:after="0"/>
        <w:rPr>
          <w:sz w:val="20"/>
          <w:szCs w:val="20"/>
          <w:color w:val="auto"/>
        </w:rPr>
      </w:pPr>
      <w:r>
        <w:rPr>
          <w:rFonts w:ascii="Arial" w:cs="Arial" w:eastAsia="Arial" w:hAnsi="Arial"/>
          <w:sz w:val="22"/>
          <w:szCs w:val="22"/>
          <w:color w:val="auto"/>
        </w:rPr>
        <w:t>If to Acquiror, to:</w:t>
      </w:r>
    </w:p>
    <w:p>
      <w:pPr>
        <w:spacing w:after="0" w:line="206" w:lineRule="exact"/>
        <w:rPr>
          <w:sz w:val="20"/>
          <w:szCs w:val="20"/>
          <w:color w:val="auto"/>
        </w:rPr>
      </w:pPr>
    </w:p>
    <w:p>
      <w:pPr>
        <w:ind w:left="1700"/>
        <w:spacing w:after="0"/>
        <w:rPr>
          <w:sz w:val="20"/>
          <w:szCs w:val="20"/>
          <w:color w:val="auto"/>
        </w:rPr>
      </w:pPr>
      <w:r>
        <w:rPr>
          <w:rFonts w:ascii="Arial" w:cs="Arial" w:eastAsia="Arial" w:hAnsi="Arial"/>
          <w:sz w:val="22"/>
          <w:szCs w:val="22"/>
          <w:color w:val="auto"/>
        </w:rPr>
        <w:t>1</w:t>
      </w:r>
      <w:r>
        <w:rPr>
          <w:rFonts w:ascii="Arial" w:cs="Arial" w:eastAsia="Arial" w:hAnsi="Arial"/>
          <w:sz w:val="13"/>
          <w:szCs w:val="13"/>
          <w:color w:val="auto"/>
        </w:rPr>
        <w:t>ST</w:t>
      </w:r>
      <w:r>
        <w:rPr>
          <w:rFonts w:ascii="Arial" w:cs="Arial" w:eastAsia="Arial" w:hAnsi="Arial"/>
          <w:sz w:val="22"/>
          <w:szCs w:val="22"/>
          <w:color w:val="auto"/>
        </w:rPr>
        <w:t xml:space="preserve"> Order Pharmaceuticals</w:t>
      </w:r>
    </w:p>
    <w:p>
      <w:pPr>
        <w:ind w:left="1700"/>
        <w:spacing w:after="0" w:line="238" w:lineRule="auto"/>
        <w:rPr>
          <w:sz w:val="20"/>
          <w:szCs w:val="20"/>
          <w:color w:val="auto"/>
        </w:rPr>
      </w:pPr>
      <w:r>
        <w:rPr>
          <w:rFonts w:ascii="Arial" w:cs="Arial" w:eastAsia="Arial" w:hAnsi="Arial"/>
          <w:sz w:val="22"/>
          <w:szCs w:val="22"/>
          <w:color w:val="auto"/>
        </w:rPr>
        <w:t>5511 NC Highway 902</w:t>
      </w:r>
    </w:p>
    <w:p>
      <w:pPr>
        <w:ind w:left="1700"/>
        <w:spacing w:after="0" w:line="230" w:lineRule="auto"/>
        <w:rPr>
          <w:sz w:val="20"/>
          <w:szCs w:val="20"/>
          <w:color w:val="auto"/>
        </w:rPr>
      </w:pPr>
      <w:r>
        <w:rPr>
          <w:rFonts w:ascii="Arial" w:cs="Arial" w:eastAsia="Arial" w:hAnsi="Arial"/>
          <w:sz w:val="22"/>
          <w:szCs w:val="22"/>
          <w:color w:val="auto"/>
        </w:rPr>
        <w:t>Pittsboro, NC 27312</w:t>
      </w:r>
    </w:p>
    <w:p>
      <w:pPr>
        <w:ind w:left="1700"/>
        <w:spacing w:after="0" w:line="231" w:lineRule="auto"/>
        <w:rPr>
          <w:sz w:val="20"/>
          <w:szCs w:val="20"/>
          <w:color w:val="auto"/>
        </w:rPr>
      </w:pPr>
      <w:r>
        <w:rPr>
          <w:rFonts w:ascii="Arial" w:cs="Arial" w:eastAsia="Arial" w:hAnsi="Arial"/>
          <w:sz w:val="22"/>
          <w:szCs w:val="22"/>
          <w:color w:val="auto"/>
        </w:rPr>
        <w:t>Attn: Chief Executive Officer</w:t>
      </w:r>
    </w:p>
    <w:p>
      <w:pPr>
        <w:ind w:left="1700"/>
        <w:spacing w:after="0" w:line="231" w:lineRule="auto"/>
        <w:rPr>
          <w:sz w:val="20"/>
          <w:szCs w:val="20"/>
          <w:color w:val="auto"/>
        </w:rPr>
      </w:pPr>
      <w:r>
        <w:rPr>
          <w:rFonts w:ascii="Arial" w:cs="Arial" w:eastAsia="Arial" w:hAnsi="Arial"/>
          <w:sz w:val="22"/>
          <w:szCs w:val="22"/>
          <w:color w:val="auto"/>
        </w:rPr>
        <w:t>Facsimile: (919) 542-5421</w:t>
      </w:r>
    </w:p>
    <w:p>
      <w:pPr>
        <w:ind w:left="1700"/>
        <w:spacing w:after="0"/>
        <w:rPr>
          <w:sz w:val="20"/>
          <w:szCs w:val="20"/>
          <w:color w:val="auto"/>
        </w:rPr>
      </w:pPr>
      <w:r>
        <w:rPr>
          <w:rFonts w:ascii="Arial" w:cs="Arial" w:eastAsia="Arial" w:hAnsi="Arial"/>
          <w:sz w:val="22"/>
          <w:szCs w:val="22"/>
          <w:color w:val="auto"/>
        </w:rPr>
        <w:t>Telephone: (919) 812-8119</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color w:val="auto"/>
        </w:rPr>
        <w:t>With a copy to:</w:t>
      </w:r>
    </w:p>
    <w:p>
      <w:pPr>
        <w:spacing w:after="0" w:line="206" w:lineRule="exact"/>
        <w:rPr>
          <w:sz w:val="20"/>
          <w:szCs w:val="20"/>
          <w:color w:val="auto"/>
        </w:rPr>
      </w:pPr>
    </w:p>
    <w:p>
      <w:pPr>
        <w:ind w:left="1700"/>
        <w:spacing w:after="0"/>
        <w:rPr>
          <w:sz w:val="20"/>
          <w:szCs w:val="20"/>
          <w:color w:val="auto"/>
        </w:rPr>
      </w:pPr>
      <w:r>
        <w:rPr>
          <w:rFonts w:ascii="Arial" w:cs="Arial" w:eastAsia="Arial" w:hAnsi="Arial"/>
          <w:sz w:val="22"/>
          <w:szCs w:val="22"/>
          <w:color w:val="auto"/>
        </w:rPr>
        <w:t>Wyrick Robbins Yates &amp; Ponton LLP</w:t>
      </w:r>
    </w:p>
    <w:p>
      <w:pPr>
        <w:ind w:left="1700"/>
        <w:spacing w:after="0" w:line="238" w:lineRule="auto"/>
        <w:rPr>
          <w:sz w:val="20"/>
          <w:szCs w:val="20"/>
          <w:color w:val="auto"/>
        </w:rPr>
      </w:pPr>
      <w:r>
        <w:rPr>
          <w:rFonts w:ascii="Arial" w:cs="Arial" w:eastAsia="Arial" w:hAnsi="Arial"/>
          <w:sz w:val="22"/>
          <w:szCs w:val="22"/>
          <w:color w:val="auto"/>
        </w:rPr>
        <w:t>4101 Lake Boone Trail, Suite 300</w:t>
      </w:r>
    </w:p>
    <w:p>
      <w:pPr>
        <w:ind w:left="1700"/>
        <w:spacing w:after="0" w:line="230" w:lineRule="auto"/>
        <w:rPr>
          <w:sz w:val="20"/>
          <w:szCs w:val="20"/>
          <w:color w:val="auto"/>
        </w:rPr>
      </w:pPr>
      <w:r>
        <w:rPr>
          <w:rFonts w:ascii="Arial" w:cs="Arial" w:eastAsia="Arial" w:hAnsi="Arial"/>
          <w:sz w:val="22"/>
          <w:szCs w:val="22"/>
          <w:color w:val="auto"/>
        </w:rPr>
        <w:t>Raleigh, NC 27607</w:t>
      </w:r>
    </w:p>
    <w:p>
      <w:pPr>
        <w:ind w:left="1700"/>
        <w:spacing w:after="0" w:line="231" w:lineRule="auto"/>
        <w:rPr>
          <w:sz w:val="20"/>
          <w:szCs w:val="20"/>
          <w:color w:val="auto"/>
        </w:rPr>
      </w:pPr>
      <w:r>
        <w:rPr>
          <w:rFonts w:ascii="Arial" w:cs="Arial" w:eastAsia="Arial" w:hAnsi="Arial"/>
          <w:sz w:val="22"/>
          <w:szCs w:val="22"/>
          <w:color w:val="auto"/>
        </w:rPr>
        <w:t>Attn: Thomas A. Allen</w:t>
      </w:r>
    </w:p>
    <w:p>
      <w:pPr>
        <w:spacing w:after="0" w:line="1" w:lineRule="exact"/>
        <w:rPr>
          <w:sz w:val="20"/>
          <w:szCs w:val="20"/>
          <w:color w:val="auto"/>
        </w:rPr>
      </w:pPr>
    </w:p>
    <w:p>
      <w:pPr>
        <w:ind w:left="1700"/>
        <w:spacing w:after="0"/>
        <w:rPr>
          <w:sz w:val="20"/>
          <w:szCs w:val="20"/>
          <w:color w:val="auto"/>
        </w:rPr>
      </w:pPr>
      <w:r>
        <w:rPr>
          <w:rFonts w:ascii="Arial" w:cs="Arial" w:eastAsia="Arial" w:hAnsi="Arial"/>
          <w:sz w:val="22"/>
          <w:szCs w:val="22"/>
          <w:color w:val="auto"/>
        </w:rPr>
        <w:t>Facsimile: (919) 781-4865</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color w:val="auto"/>
        </w:rPr>
        <w:t>If to Seller, to:</w:t>
      </w:r>
    </w:p>
    <w:p>
      <w:pPr>
        <w:spacing w:after="0" w:line="206" w:lineRule="exact"/>
        <w:rPr>
          <w:sz w:val="20"/>
          <w:szCs w:val="20"/>
          <w:color w:val="auto"/>
        </w:rPr>
      </w:pPr>
    </w:p>
    <w:p>
      <w:pPr>
        <w:ind w:left="1700"/>
        <w:spacing w:after="0"/>
        <w:rPr>
          <w:sz w:val="20"/>
          <w:szCs w:val="20"/>
          <w:color w:val="auto"/>
        </w:rPr>
      </w:pPr>
      <w:r>
        <w:rPr>
          <w:rFonts w:ascii="Arial" w:cs="Arial" w:eastAsia="Arial" w:hAnsi="Arial"/>
          <w:sz w:val="22"/>
          <w:szCs w:val="22"/>
          <w:color w:val="auto"/>
        </w:rPr>
        <w:t>[†]</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With a required copy to:</w:t>
      </w:r>
    </w:p>
    <w:p>
      <w:pPr>
        <w:spacing w:after="0" w:line="206" w:lineRule="exact"/>
        <w:rPr>
          <w:sz w:val="20"/>
          <w:szCs w:val="20"/>
          <w:color w:val="auto"/>
        </w:rPr>
      </w:pPr>
    </w:p>
    <w:p>
      <w:pPr>
        <w:ind w:left="1700"/>
        <w:spacing w:after="0"/>
        <w:rPr>
          <w:sz w:val="20"/>
          <w:szCs w:val="20"/>
          <w:color w:val="auto"/>
        </w:rPr>
      </w:pPr>
      <w:r>
        <w:rPr>
          <w:rFonts w:ascii="Arial" w:cs="Arial" w:eastAsia="Arial" w:hAnsi="Arial"/>
          <w:sz w:val="22"/>
          <w:szCs w:val="22"/>
          <w:color w:val="auto"/>
        </w:rPr>
        <w:t>[†]</w:t>
      </w:r>
    </w:p>
    <w:p>
      <w:pPr>
        <w:spacing w:after="0" w:line="206" w:lineRule="exact"/>
        <w:rPr>
          <w:sz w:val="20"/>
          <w:szCs w:val="20"/>
          <w:color w:val="auto"/>
        </w:rPr>
      </w:pPr>
    </w:p>
    <w:p>
      <w:pPr>
        <w:jc w:val="both"/>
        <w:ind w:right="180"/>
        <w:spacing w:after="0"/>
        <w:rPr>
          <w:sz w:val="20"/>
          <w:szCs w:val="20"/>
          <w:color w:val="auto"/>
        </w:rPr>
      </w:pPr>
      <w:r>
        <w:rPr>
          <w:rFonts w:ascii="Arial" w:cs="Arial" w:eastAsia="Arial" w:hAnsi="Arial"/>
          <w:sz w:val="22"/>
          <w:szCs w:val="22"/>
          <w:color w:val="auto"/>
        </w:rPr>
        <w:t>or to such other address or to the attention of such Person or Persons as the recipient party has specified by prior written notice to the sending party. If more than one method for sending notice as set forth above is used, the earliest notice date established as set forth above shall control.</w:t>
      </w:r>
    </w:p>
    <w:p>
      <w:pPr>
        <w:spacing w:after="0" w:line="186" w:lineRule="exact"/>
        <w:rPr>
          <w:sz w:val="20"/>
          <w:szCs w:val="20"/>
          <w:color w:val="auto"/>
        </w:rPr>
      </w:pPr>
    </w:p>
    <w:p>
      <w:pPr>
        <w:ind w:left="860"/>
        <w:spacing w:after="0"/>
        <w:tabs>
          <w:tab w:leader="none" w:pos="1860" w:val="left"/>
        </w:tabs>
        <w:rPr>
          <w:sz w:val="20"/>
          <w:szCs w:val="20"/>
          <w:color w:val="auto"/>
        </w:rPr>
      </w:pPr>
      <w:r>
        <w:rPr>
          <w:rFonts w:ascii="Arial" w:cs="Arial" w:eastAsia="Arial" w:hAnsi="Arial"/>
          <w:sz w:val="22"/>
          <w:szCs w:val="22"/>
          <w:color w:val="auto"/>
        </w:rPr>
        <w:t>11.2</w:t>
      </w:r>
      <w:r>
        <w:rPr>
          <w:sz w:val="20"/>
          <w:szCs w:val="20"/>
          <w:color w:val="auto"/>
        </w:rPr>
        <w:tab/>
      </w:r>
      <w:r>
        <w:rPr>
          <w:rFonts w:ascii="Arial" w:cs="Arial" w:eastAsia="Arial" w:hAnsi="Arial"/>
          <w:sz w:val="19"/>
          <w:szCs w:val="19"/>
          <w:u w:val="single" w:color="auto"/>
          <w:color w:val="auto"/>
        </w:rPr>
        <w:t>Amendments and Waivers</w:t>
      </w:r>
      <w:r>
        <w:rPr>
          <w:rFonts w:ascii="Arial" w:cs="Arial" w:eastAsia="Arial" w:hAnsi="Arial"/>
          <w:sz w:val="19"/>
          <w:szCs w:val="19"/>
          <w:color w:val="auto"/>
        </w:rPr>
        <w:t>.</w:t>
      </w:r>
    </w:p>
    <w:p>
      <w:pPr>
        <w:spacing w:after="0" w:line="206" w:lineRule="exact"/>
        <w:rPr>
          <w:sz w:val="20"/>
          <w:szCs w:val="20"/>
          <w:color w:val="auto"/>
        </w:rPr>
      </w:pPr>
    </w:p>
    <w:p>
      <w:pPr>
        <w:ind w:right="480" w:firstLine="1698"/>
        <w:spacing w:after="0" w:line="251" w:lineRule="auto"/>
        <w:tabs>
          <w:tab w:leader="none" w:pos="2578" w:val="left"/>
        </w:tabs>
        <w:numPr>
          <w:ilvl w:val="0"/>
          <w:numId w:val="159"/>
        </w:numPr>
        <w:rPr>
          <w:rFonts w:ascii="Arial" w:cs="Arial" w:eastAsia="Arial" w:hAnsi="Arial"/>
          <w:sz w:val="22"/>
          <w:szCs w:val="22"/>
          <w:color w:val="auto"/>
        </w:rPr>
      </w:pPr>
      <w:r>
        <w:rPr>
          <w:rFonts w:ascii="Arial" w:cs="Arial" w:eastAsia="Arial" w:hAnsi="Arial"/>
          <w:sz w:val="22"/>
          <w:szCs w:val="22"/>
          <w:color w:val="auto"/>
        </w:rPr>
        <w:t>Any provision of this Agreement may be amended or waived if, and only if, such amendment or waiver is in writing and is signed, in the case of an amendment, by Acquiror and the Seller.</w:t>
      </w:r>
    </w:p>
    <w:p>
      <w:pPr>
        <w:spacing w:after="0" w:line="173" w:lineRule="exact"/>
        <w:rPr>
          <w:rFonts w:ascii="Arial" w:cs="Arial" w:eastAsia="Arial" w:hAnsi="Arial"/>
          <w:sz w:val="22"/>
          <w:szCs w:val="22"/>
          <w:color w:val="auto"/>
        </w:rPr>
      </w:pPr>
    </w:p>
    <w:p>
      <w:pPr>
        <w:ind w:right="180" w:firstLine="1698"/>
        <w:spacing w:after="0"/>
        <w:tabs>
          <w:tab w:leader="none" w:pos="2590" w:val="left"/>
        </w:tabs>
        <w:numPr>
          <w:ilvl w:val="0"/>
          <w:numId w:val="159"/>
        </w:numPr>
        <w:rPr>
          <w:rFonts w:ascii="Arial" w:cs="Arial" w:eastAsia="Arial" w:hAnsi="Arial"/>
          <w:sz w:val="22"/>
          <w:szCs w:val="22"/>
          <w:color w:val="auto"/>
        </w:rPr>
      </w:pPr>
      <w:r>
        <w:rPr>
          <w:rFonts w:ascii="Arial" w:cs="Arial" w:eastAsia="Arial" w:hAnsi="Arial"/>
          <w:sz w:val="22"/>
          <w:szCs w:val="22"/>
          <w:color w:val="auto"/>
        </w:rPr>
        <w:t>No failure or delay by any party in exercising any right or privilege hereunder shall operate as a waiver thereof, nor shall any single or partial exercise thereof preclude any other or further exercise thereof or the exercise of any other right, power or privilege.</w:t>
      </w:r>
    </w:p>
    <w:p>
      <w:pPr>
        <w:spacing w:after="0" w:line="186" w:lineRule="exact"/>
        <w:rPr>
          <w:rFonts w:ascii="Arial" w:cs="Arial" w:eastAsia="Arial" w:hAnsi="Arial"/>
          <w:sz w:val="22"/>
          <w:szCs w:val="22"/>
          <w:color w:val="auto"/>
        </w:rPr>
      </w:pPr>
    </w:p>
    <w:p>
      <w:pPr>
        <w:ind w:right="60" w:firstLine="1698"/>
        <w:spacing w:after="0" w:line="238" w:lineRule="auto"/>
        <w:tabs>
          <w:tab w:leader="none" w:pos="2578" w:val="left"/>
        </w:tabs>
        <w:numPr>
          <w:ilvl w:val="0"/>
          <w:numId w:val="159"/>
        </w:numPr>
        <w:rPr>
          <w:rFonts w:ascii="Arial" w:cs="Arial" w:eastAsia="Arial" w:hAnsi="Arial"/>
          <w:sz w:val="22"/>
          <w:szCs w:val="22"/>
          <w:color w:val="auto"/>
        </w:rPr>
      </w:pPr>
      <w:r>
        <w:rPr>
          <w:rFonts w:ascii="Arial" w:cs="Arial" w:eastAsia="Arial" w:hAnsi="Arial"/>
          <w:sz w:val="22"/>
          <w:szCs w:val="22"/>
          <w:color w:val="auto"/>
        </w:rPr>
        <w:t>To the maximum extent permitted by Law, (i) no waiver that may be given by a party shall be applicable except in the specific instance for which it was given and (ii) no notice to or demand on one party shall be deemed to be a waiver of any obligation of such party or the right of the party giving such notice or demand to take further action without notice or demand.</w:t>
      </w:r>
    </w:p>
    <w:p>
      <w:pPr>
        <w:spacing w:after="0" w:line="200" w:lineRule="exact"/>
        <w:rPr>
          <w:sz w:val="20"/>
          <w:szCs w:val="20"/>
          <w:color w:val="auto"/>
        </w:rPr>
      </w:pPr>
    </w:p>
    <w:p>
      <w:pPr>
        <w:spacing w:after="0" w:line="228"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-22-</w:t>
      </w:r>
    </w:p>
    <w:p>
      <w:pPr>
        <w:spacing w:after="0" w:line="5" w:lineRule="exact"/>
        <w:rPr>
          <w:sz w:val="20"/>
          <w:szCs w:val="20"/>
          <w:color w:val="auto"/>
        </w:rPr>
      </w:pPr>
    </w:p>
    <w:p>
      <w:pPr>
        <w:ind w:firstLine="8"/>
        <w:spacing w:after="0" w:line="237" w:lineRule="auto"/>
        <w:tabs>
          <w:tab w:leader="none" w:pos="204" w:val="left"/>
        </w:tabs>
        <w:numPr>
          <w:ilvl w:val="0"/>
          <w:numId w:val="160"/>
        </w:numPr>
        <w:rPr>
          <w:rFonts w:ascii="Arial" w:cs="Arial" w:eastAsia="Arial" w:hAnsi="Arial"/>
          <w:sz w:val="14"/>
          <w:szCs w:val="14"/>
          <w:color w:val="auto"/>
        </w:rPr>
      </w:pPr>
      <w:r>
        <w:rPr>
          <w:rFonts w:ascii="Arial" w:cs="Arial" w:eastAsia="Arial" w:hAnsi="Arial"/>
          <w:sz w:val="14"/>
          <w:szCs w:val="14"/>
          <w:color w:val="auto"/>
        </w:rPr>
        <w:t>DESIGNATES PORTIONS OF THIS DOCUMENT THAT HAVE BEEN OMITTED PURSUANT TO A REQUEST FOR CONFIDENTIAL TREATMENT FILED SEPARATELY WITH THE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46990</wp:posOffset>
            </wp:positionV>
            <wp:extent cx="7289165"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564" w:right="279" w:bottom="1440" w:gutter="0" w:footer="0" w:header="0"/>
        </w:sectPr>
      </w:pPr>
    </w:p>
    <w:bookmarkStart w:id="113" w:name="page114"/>
    <w:bookmarkEnd w:id="113"/>
    <w:p>
      <w:pPr>
        <w:ind w:firstLine="846"/>
        <w:spacing w:after="0" w:line="236" w:lineRule="auto"/>
        <w:rPr>
          <w:sz w:val="20"/>
          <w:szCs w:val="20"/>
          <w:color w:val="auto"/>
        </w:rPr>
      </w:pPr>
      <w:r>
        <w:rPr>
          <w:rFonts w:ascii="Arial" w:cs="Arial" w:eastAsia="Arial" w:hAnsi="Arial"/>
          <w:sz w:val="22"/>
          <w:szCs w:val="22"/>
          <w:color w:val="auto"/>
        </w:rPr>
        <w:t xml:space="preserve">11.3 </w:t>
      </w:r>
      <w:r>
        <w:rPr>
          <w:rFonts w:ascii="Arial" w:cs="Arial" w:eastAsia="Arial" w:hAnsi="Arial"/>
          <w:sz w:val="22"/>
          <w:szCs w:val="22"/>
          <w:u w:val="single" w:color="auto"/>
          <w:color w:val="auto"/>
        </w:rPr>
        <w:t>Successors and Assigns</w:t>
      </w:r>
      <w:r>
        <w:rPr>
          <w:rFonts w:ascii="Arial" w:cs="Arial" w:eastAsia="Arial" w:hAnsi="Arial"/>
          <w:sz w:val="22"/>
          <w:szCs w:val="22"/>
          <w:color w:val="auto"/>
        </w:rPr>
        <w:t xml:space="preserve">. This Agreement may not be assigned by any party hereto without the prior written consent of the other parties; </w:t>
      </w:r>
      <w:r>
        <w:rPr>
          <w:rFonts w:ascii="Arial" w:cs="Arial" w:eastAsia="Arial" w:hAnsi="Arial"/>
          <w:sz w:val="22"/>
          <w:szCs w:val="22"/>
          <w:i w:val="1"/>
          <w:iCs w:val="1"/>
          <w:color w:val="auto"/>
        </w:rPr>
        <w:t>provided</w:t>
      </w:r>
      <w:r>
        <w:rPr>
          <w:rFonts w:ascii="Arial" w:cs="Arial" w:eastAsia="Arial" w:hAnsi="Arial"/>
          <w:sz w:val="22"/>
          <w:szCs w:val="22"/>
          <w:color w:val="auto"/>
        </w:rPr>
        <w:t>, that Acquiror may assign any of its rights and obligations under this Agreement to any Affiliate of Acquiror, so long as Acquiror shall remain liable for its obligations hereunder. Subject to the foregoing, all of the terms and provisions of this Agreement shall inure to the benefit of and be binding upon the parties hereto and their respective executors, heirs, personal representatives, successors and assigns.</w:t>
      </w:r>
    </w:p>
    <w:p>
      <w:pPr>
        <w:spacing w:after="0" w:line="188" w:lineRule="exact"/>
        <w:rPr>
          <w:sz w:val="20"/>
          <w:szCs w:val="20"/>
          <w:color w:val="auto"/>
        </w:rPr>
      </w:pPr>
    </w:p>
    <w:p>
      <w:pPr>
        <w:ind w:firstLine="846"/>
        <w:spacing w:after="0" w:line="273" w:lineRule="auto"/>
        <w:rPr>
          <w:sz w:val="20"/>
          <w:szCs w:val="20"/>
          <w:color w:val="auto"/>
        </w:rPr>
      </w:pPr>
      <w:r>
        <w:rPr>
          <w:rFonts w:ascii="Arial" w:cs="Arial" w:eastAsia="Arial" w:hAnsi="Arial"/>
          <w:sz w:val="19"/>
          <w:szCs w:val="19"/>
          <w:color w:val="auto"/>
        </w:rPr>
        <w:t xml:space="preserve">11.4 </w:t>
      </w:r>
      <w:r>
        <w:rPr>
          <w:rFonts w:ascii="Arial" w:cs="Arial" w:eastAsia="Arial" w:hAnsi="Arial"/>
          <w:sz w:val="19"/>
          <w:szCs w:val="19"/>
          <w:u w:val="single" w:color="auto"/>
          <w:color w:val="auto"/>
        </w:rPr>
        <w:t>Governing Law; Venue</w:t>
      </w:r>
      <w:r>
        <w:rPr>
          <w:rFonts w:ascii="Arial" w:cs="Arial" w:eastAsia="Arial" w:hAnsi="Arial"/>
          <w:sz w:val="19"/>
          <w:szCs w:val="19"/>
          <w:color w:val="auto"/>
        </w:rPr>
        <w:t>. This Agreement and the exhibits and schedules hereto shall be governed by and interpreted and enforced in accordance with the Laws of [†], without giving effect to any choice of Law or conflict of Laws rules or provisions (whether of [†] or any other jurisdiction) that would cause the application of the Laws of any jurisdiction other than</w:t>
      </w:r>
    </w:p>
    <w:p>
      <w:pPr>
        <w:spacing w:after="0" w:line="2" w:lineRule="exact"/>
        <w:rPr>
          <w:sz w:val="20"/>
          <w:szCs w:val="20"/>
          <w:color w:val="auto"/>
        </w:rPr>
      </w:pPr>
    </w:p>
    <w:p>
      <w:pPr>
        <w:ind w:right="400" w:firstLine="8"/>
        <w:spacing w:after="0" w:line="267" w:lineRule="auto"/>
        <w:tabs>
          <w:tab w:leader="none" w:pos="402" w:val="left"/>
        </w:tabs>
        <w:numPr>
          <w:ilvl w:val="0"/>
          <w:numId w:val="161"/>
        </w:numPr>
        <w:rPr>
          <w:rFonts w:ascii="Arial" w:cs="Arial" w:eastAsia="Arial" w:hAnsi="Arial"/>
          <w:sz w:val="19"/>
          <w:szCs w:val="19"/>
          <w:color w:val="auto"/>
        </w:rPr>
      </w:pPr>
      <w:r>
        <w:rPr>
          <w:rFonts w:ascii="Arial" w:cs="Arial" w:eastAsia="Arial" w:hAnsi="Arial"/>
          <w:sz w:val="19"/>
          <w:szCs w:val="19"/>
          <w:color w:val="auto"/>
        </w:rPr>
        <w:t>Any legal proceeding relating to this Agreement or the enforcement of any provision of this Agreement may be brought or otherwise commenced only in any state or federal court located in [†]. Each party to this Agreement: (i) irrevocably and unconditionally consents and submits to the exclusive jurisdiction and venue of the state and federal courts located in [†];</w:t>
      </w:r>
    </w:p>
    <w:p>
      <w:pPr>
        <w:spacing w:after="0" w:line="233" w:lineRule="auto"/>
        <w:rPr>
          <w:rFonts w:ascii="Arial" w:cs="Arial" w:eastAsia="Arial" w:hAnsi="Arial"/>
          <w:sz w:val="19"/>
          <w:szCs w:val="19"/>
          <w:color w:val="auto"/>
        </w:rPr>
      </w:pPr>
      <w:r>
        <w:rPr>
          <w:rFonts w:ascii="Arial" w:cs="Arial" w:eastAsia="Arial" w:hAnsi="Arial"/>
          <w:sz w:val="22"/>
          <w:szCs w:val="22"/>
          <w:color w:val="auto"/>
        </w:rPr>
        <w:t>(ii) agrees that each state and federal court located in [†] shall be deemed to be a convenient forum; and (iii) agrees not to assert (by way of motion, as a defense or otherwise), in any such legal proceeding commenced in any state or federal court located in [†], any claim that such party is not subject personally to the jurisdiction of such court, that such legal proceeding has been brought in an inconvenient forum, that the venue of such legal proceeding is improper or that this Agreement or the subject matter of this Agreement may not be enforced in or by such court.</w:t>
      </w:r>
    </w:p>
    <w:p>
      <w:pPr>
        <w:spacing w:after="0" w:line="186" w:lineRule="exact"/>
        <w:rPr>
          <w:sz w:val="20"/>
          <w:szCs w:val="20"/>
          <w:color w:val="auto"/>
        </w:rPr>
      </w:pPr>
    </w:p>
    <w:p>
      <w:pPr>
        <w:ind w:right="220" w:firstLine="846"/>
        <w:spacing w:after="0" w:line="282" w:lineRule="auto"/>
        <w:rPr>
          <w:sz w:val="20"/>
          <w:szCs w:val="20"/>
          <w:color w:val="auto"/>
        </w:rPr>
      </w:pPr>
      <w:r>
        <w:rPr>
          <w:rFonts w:ascii="Arial" w:cs="Arial" w:eastAsia="Arial" w:hAnsi="Arial"/>
          <w:sz w:val="19"/>
          <w:szCs w:val="19"/>
          <w:color w:val="auto"/>
        </w:rPr>
        <w:t xml:space="preserve">11.5 </w:t>
      </w:r>
      <w:r>
        <w:rPr>
          <w:rFonts w:ascii="Arial" w:cs="Arial" w:eastAsia="Arial" w:hAnsi="Arial"/>
          <w:sz w:val="19"/>
          <w:szCs w:val="19"/>
          <w:u w:val="single" w:color="auto"/>
          <w:color w:val="auto"/>
        </w:rPr>
        <w:t>Counterparts</w:t>
      </w:r>
      <w:r>
        <w:rPr>
          <w:rFonts w:ascii="Arial" w:cs="Arial" w:eastAsia="Arial" w:hAnsi="Arial"/>
          <w:sz w:val="19"/>
          <w:szCs w:val="19"/>
          <w:color w:val="auto"/>
        </w:rPr>
        <w:t xml:space="preserve">. This Agreement may be executed in any number of counterparts, and any party hereto may execute any such </w:t>
      </w:r>
      <w:r>
        <w:rPr>
          <w:rFonts w:ascii="Arial" w:cs="Arial" w:eastAsia="Arial" w:hAnsi="Arial"/>
          <w:sz w:val="19"/>
          <w:szCs w:val="19"/>
          <w:u w:val="single" w:color="auto"/>
          <w:color w:val="auto"/>
        </w:rPr>
        <w:t>counterpart</w:t>
      </w:r>
      <w:r>
        <w:rPr>
          <w:rFonts w:ascii="Arial" w:cs="Arial" w:eastAsia="Arial" w:hAnsi="Arial"/>
          <w:sz w:val="19"/>
          <w:szCs w:val="19"/>
          <w:color w:val="auto"/>
        </w:rPr>
        <w:t>, each of which when executed and delivered shall be deemed to be an original and all of which counterparts taken together shall constitute but one and the same instrument. This Agreement shall become effective when each party hereto shall have received a counterpart hereof signed by the other parties hereto. The parties agree that the delivery of this Agreement may be effected by means of an exchange of facsimile or other electronic signatures.</w:t>
      </w:r>
    </w:p>
    <w:p>
      <w:pPr>
        <w:spacing w:after="0" w:line="148" w:lineRule="exact"/>
        <w:rPr>
          <w:sz w:val="20"/>
          <w:szCs w:val="20"/>
          <w:color w:val="auto"/>
        </w:rPr>
      </w:pPr>
    </w:p>
    <w:p>
      <w:pPr>
        <w:ind w:right="180" w:firstLine="846"/>
        <w:spacing w:after="0" w:line="238" w:lineRule="auto"/>
        <w:rPr>
          <w:sz w:val="20"/>
          <w:szCs w:val="20"/>
          <w:color w:val="auto"/>
        </w:rPr>
      </w:pPr>
      <w:r>
        <w:rPr>
          <w:rFonts w:ascii="Arial" w:cs="Arial" w:eastAsia="Arial" w:hAnsi="Arial"/>
          <w:sz w:val="22"/>
          <w:szCs w:val="22"/>
          <w:color w:val="auto"/>
        </w:rPr>
        <w:t xml:space="preserve">11.6 </w:t>
      </w:r>
      <w:r>
        <w:rPr>
          <w:rFonts w:ascii="Arial" w:cs="Arial" w:eastAsia="Arial" w:hAnsi="Arial"/>
          <w:sz w:val="22"/>
          <w:szCs w:val="22"/>
          <w:u w:val="single" w:color="auto"/>
          <w:color w:val="auto"/>
        </w:rPr>
        <w:t>Third Party Beneficiaries</w:t>
      </w:r>
      <w:r>
        <w:rPr>
          <w:rFonts w:ascii="Arial" w:cs="Arial" w:eastAsia="Arial" w:hAnsi="Arial"/>
          <w:sz w:val="22"/>
          <w:szCs w:val="22"/>
          <w:color w:val="auto"/>
        </w:rPr>
        <w:t xml:space="preserve">. No provision of this Agreement is intended to confer upon any Person other than the parties hereto any rights or remedies hereunder, except that: (a) in the case of Article 10 hereof, the Indemnified Acquiror Parties or the Indemnified Seller Parties are intended third party </w:t>
      </w:r>
      <w:r>
        <w:rPr>
          <w:rFonts w:ascii="Arial" w:cs="Arial" w:eastAsia="Arial" w:hAnsi="Arial"/>
          <w:sz w:val="22"/>
          <w:szCs w:val="22"/>
          <w:u w:val="single" w:color="auto"/>
          <w:color w:val="auto"/>
        </w:rPr>
        <w:t>beneficiaries</w:t>
      </w:r>
      <w:r>
        <w:rPr>
          <w:rFonts w:ascii="Arial" w:cs="Arial" w:eastAsia="Arial" w:hAnsi="Arial"/>
          <w:sz w:val="22"/>
          <w:szCs w:val="22"/>
          <w:color w:val="auto"/>
        </w:rPr>
        <w:t xml:space="preserve"> of such sections and shall have the right to enforce such sections in their own names.</w:t>
      </w:r>
    </w:p>
    <w:p>
      <w:pPr>
        <w:spacing w:after="0" w:line="185" w:lineRule="exact"/>
        <w:rPr>
          <w:sz w:val="20"/>
          <w:szCs w:val="20"/>
          <w:color w:val="auto"/>
        </w:rPr>
      </w:pPr>
    </w:p>
    <w:p>
      <w:pPr>
        <w:ind w:right="200" w:firstLine="846"/>
        <w:spacing w:after="0" w:line="279" w:lineRule="auto"/>
        <w:rPr>
          <w:sz w:val="20"/>
          <w:szCs w:val="20"/>
          <w:color w:val="auto"/>
        </w:rPr>
      </w:pPr>
      <w:r>
        <w:rPr>
          <w:rFonts w:ascii="Arial" w:cs="Arial" w:eastAsia="Arial" w:hAnsi="Arial"/>
          <w:sz w:val="19"/>
          <w:szCs w:val="19"/>
          <w:color w:val="auto"/>
        </w:rPr>
        <w:t xml:space="preserve">11.7 </w:t>
      </w:r>
      <w:r>
        <w:rPr>
          <w:rFonts w:ascii="Arial" w:cs="Arial" w:eastAsia="Arial" w:hAnsi="Arial"/>
          <w:sz w:val="19"/>
          <w:szCs w:val="19"/>
          <w:u w:val="single" w:color="auto"/>
          <w:color w:val="auto"/>
        </w:rPr>
        <w:t>Entire Agreement</w:t>
      </w:r>
      <w:r>
        <w:rPr>
          <w:rFonts w:ascii="Arial" w:cs="Arial" w:eastAsia="Arial" w:hAnsi="Arial"/>
          <w:sz w:val="19"/>
          <w:szCs w:val="19"/>
          <w:color w:val="auto"/>
        </w:rPr>
        <w:t xml:space="preserve">. This Agreement and the documents, instruments and other agreements specifically referred to herein or delivered pursuant hereto set forth the entire understanding of the parties hereto with respect to the Transaction. All exhibits and schedules referred to herein are intended to be and hereby are specifically made a part of this Agreement. Any and all previous </w:t>
      </w:r>
      <w:r>
        <w:rPr>
          <w:rFonts w:ascii="Arial" w:cs="Arial" w:eastAsia="Arial" w:hAnsi="Arial"/>
          <w:sz w:val="19"/>
          <w:szCs w:val="19"/>
          <w:u w:val="single" w:color="auto"/>
          <w:color w:val="auto"/>
        </w:rPr>
        <w:t>agreements</w:t>
      </w:r>
      <w:r>
        <w:rPr>
          <w:rFonts w:ascii="Arial" w:cs="Arial" w:eastAsia="Arial" w:hAnsi="Arial"/>
          <w:sz w:val="19"/>
          <w:szCs w:val="19"/>
          <w:color w:val="auto"/>
        </w:rPr>
        <w:t xml:space="preserve"> and understandings between or among the parties regarding the subject matter hereof, whether written or oral, are superseded by this Agreement, other than the Confidentiality Agreement which shall continue in full force and effect in accordance with its terms except as terminated or modified in accordance with Section 3.2 hereof.</w:t>
      </w:r>
    </w:p>
    <w:p>
      <w:pPr>
        <w:spacing w:after="0" w:line="151"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-23-</w:t>
      </w:r>
    </w:p>
    <w:p>
      <w:pPr>
        <w:spacing w:after="0" w:line="5" w:lineRule="exact"/>
        <w:rPr>
          <w:sz w:val="20"/>
          <w:szCs w:val="20"/>
          <w:color w:val="auto"/>
        </w:rPr>
      </w:pPr>
    </w:p>
    <w:p>
      <w:pPr>
        <w:ind w:right="20" w:firstLine="8"/>
        <w:spacing w:after="0" w:line="237" w:lineRule="auto"/>
        <w:tabs>
          <w:tab w:leader="none" w:pos="204" w:val="left"/>
        </w:tabs>
        <w:numPr>
          <w:ilvl w:val="0"/>
          <w:numId w:val="162"/>
        </w:numPr>
        <w:rPr>
          <w:rFonts w:ascii="Arial" w:cs="Arial" w:eastAsia="Arial" w:hAnsi="Arial"/>
          <w:sz w:val="14"/>
          <w:szCs w:val="14"/>
          <w:color w:val="auto"/>
        </w:rPr>
      </w:pPr>
      <w:r>
        <w:rPr>
          <w:rFonts w:ascii="Arial" w:cs="Arial" w:eastAsia="Arial" w:hAnsi="Arial"/>
          <w:sz w:val="14"/>
          <w:szCs w:val="14"/>
          <w:color w:val="auto"/>
        </w:rPr>
        <w:t>DESIGNATES PORTIONS OF THIS DOCUMENT THAT HAVE BEEN OMITTED PURSUANT TO A REQUEST FOR CONFIDENTIAL TREATMENT FILED SEPARATELY WITH THE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46990</wp:posOffset>
            </wp:positionV>
            <wp:extent cx="7289165"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64" w:right="259" w:bottom="1440" w:gutter="0" w:footer="0" w:header="0"/>
        </w:sectPr>
      </w:pPr>
    </w:p>
    <w:bookmarkStart w:id="114" w:name="page115"/>
    <w:bookmarkEnd w:id="114"/>
    <w:p>
      <w:pPr>
        <w:ind w:right="100" w:firstLine="846"/>
        <w:spacing w:after="0" w:line="251" w:lineRule="auto"/>
        <w:rPr>
          <w:sz w:val="20"/>
          <w:szCs w:val="20"/>
          <w:color w:val="auto"/>
        </w:rPr>
      </w:pPr>
      <w:r>
        <w:rPr>
          <w:rFonts w:ascii="Arial" w:cs="Arial" w:eastAsia="Arial" w:hAnsi="Arial"/>
          <w:sz w:val="22"/>
          <w:szCs w:val="22"/>
          <w:color w:val="auto"/>
        </w:rPr>
        <w:t xml:space="preserve">11.8 </w:t>
      </w:r>
      <w:r>
        <w:rPr>
          <w:rFonts w:ascii="Arial" w:cs="Arial" w:eastAsia="Arial" w:hAnsi="Arial"/>
          <w:sz w:val="22"/>
          <w:szCs w:val="22"/>
          <w:u w:val="single" w:color="auto"/>
          <w:color w:val="auto"/>
        </w:rPr>
        <w:t>Captions</w:t>
      </w:r>
      <w:r>
        <w:rPr>
          <w:rFonts w:ascii="Arial" w:cs="Arial" w:eastAsia="Arial" w:hAnsi="Arial"/>
          <w:sz w:val="22"/>
          <w:szCs w:val="22"/>
          <w:color w:val="auto"/>
        </w:rPr>
        <w:t xml:space="preserve">. All captions contained in this Agreement are for convenience of reference only, do not form a part of this Agreement and shall not affect in any way the meaning or interpretation of this </w:t>
      </w:r>
      <w:r>
        <w:rPr>
          <w:rFonts w:ascii="Arial" w:cs="Arial" w:eastAsia="Arial" w:hAnsi="Arial"/>
          <w:sz w:val="22"/>
          <w:szCs w:val="22"/>
          <w:u w:val="single" w:color="auto"/>
          <w:color w:val="auto"/>
        </w:rPr>
        <w:t>Agreement</w:t>
      </w:r>
      <w:r>
        <w:rPr>
          <w:rFonts w:ascii="Arial" w:cs="Arial" w:eastAsia="Arial" w:hAnsi="Arial"/>
          <w:sz w:val="22"/>
          <w:szCs w:val="22"/>
          <w:color w:val="auto"/>
        </w:rPr>
        <w:t>.</w:t>
      </w:r>
    </w:p>
    <w:p>
      <w:pPr>
        <w:spacing w:after="0" w:line="173" w:lineRule="exact"/>
        <w:rPr>
          <w:sz w:val="20"/>
          <w:szCs w:val="20"/>
          <w:color w:val="auto"/>
        </w:rPr>
      </w:pPr>
    </w:p>
    <w:p>
      <w:pPr>
        <w:ind w:right="140" w:firstLine="846"/>
        <w:spacing w:after="0" w:line="238" w:lineRule="auto"/>
        <w:rPr>
          <w:sz w:val="20"/>
          <w:szCs w:val="20"/>
          <w:color w:val="auto"/>
        </w:rPr>
      </w:pPr>
      <w:r>
        <w:rPr>
          <w:rFonts w:ascii="Arial" w:cs="Arial" w:eastAsia="Arial" w:hAnsi="Arial"/>
          <w:sz w:val="22"/>
          <w:szCs w:val="22"/>
          <w:color w:val="auto"/>
        </w:rPr>
        <w:t xml:space="preserve">11.9 </w:t>
      </w:r>
      <w:r>
        <w:rPr>
          <w:rFonts w:ascii="Arial" w:cs="Arial" w:eastAsia="Arial" w:hAnsi="Arial"/>
          <w:sz w:val="22"/>
          <w:szCs w:val="22"/>
          <w:u w:val="single" w:color="auto"/>
          <w:color w:val="auto"/>
        </w:rPr>
        <w:t>Severability</w:t>
      </w:r>
      <w:r>
        <w:rPr>
          <w:rFonts w:ascii="Arial" w:cs="Arial" w:eastAsia="Arial" w:hAnsi="Arial"/>
          <w:sz w:val="22"/>
          <w:szCs w:val="22"/>
          <w:color w:val="auto"/>
        </w:rPr>
        <w:t xml:space="preserve">. Any provision of this Agreement which is invalid or unenforceable in any jurisdiction shall be </w:t>
      </w:r>
      <w:r>
        <w:rPr>
          <w:rFonts w:ascii="Arial" w:cs="Arial" w:eastAsia="Arial" w:hAnsi="Arial"/>
          <w:sz w:val="22"/>
          <w:szCs w:val="22"/>
          <w:u w:val="single" w:color="auto"/>
          <w:color w:val="auto"/>
        </w:rPr>
        <w:t>ineffective</w:t>
      </w:r>
      <w:r>
        <w:rPr>
          <w:rFonts w:ascii="Arial" w:cs="Arial" w:eastAsia="Arial" w:hAnsi="Arial"/>
          <w:sz w:val="22"/>
          <w:szCs w:val="22"/>
          <w:color w:val="auto"/>
        </w:rPr>
        <w:t xml:space="preserve"> to the extent of such invalidity or unenforceability without invalidating or rendering unenforceable the remaining provisions hereof, and any such invalidity or unenforceability in any jurisdiction shall not invalidate or render unenforceable such provision in any other jurisdiction.</w:t>
      </w:r>
    </w:p>
    <w:p>
      <w:pPr>
        <w:spacing w:after="0" w:line="185" w:lineRule="exact"/>
        <w:rPr>
          <w:sz w:val="20"/>
          <w:szCs w:val="20"/>
          <w:color w:val="auto"/>
        </w:rPr>
      </w:pPr>
    </w:p>
    <w:p>
      <w:pPr>
        <w:ind w:firstLine="846"/>
        <w:spacing w:after="0" w:line="258" w:lineRule="auto"/>
        <w:rPr>
          <w:sz w:val="20"/>
          <w:szCs w:val="20"/>
          <w:color w:val="auto"/>
        </w:rPr>
      </w:pPr>
      <w:r>
        <w:rPr>
          <w:rFonts w:ascii="Arial" w:cs="Arial" w:eastAsia="Arial" w:hAnsi="Arial"/>
          <w:sz w:val="21"/>
          <w:szCs w:val="21"/>
          <w:color w:val="auto"/>
        </w:rPr>
        <w:t xml:space="preserve">11.10 </w:t>
      </w:r>
      <w:r>
        <w:rPr>
          <w:rFonts w:ascii="Arial" w:cs="Arial" w:eastAsia="Arial" w:hAnsi="Arial"/>
          <w:sz w:val="21"/>
          <w:szCs w:val="21"/>
          <w:u w:val="single" w:color="auto"/>
          <w:color w:val="auto"/>
        </w:rPr>
        <w:t>Specific Performance</w:t>
      </w:r>
      <w:r>
        <w:rPr>
          <w:rFonts w:ascii="Arial" w:cs="Arial" w:eastAsia="Arial" w:hAnsi="Arial"/>
          <w:sz w:val="21"/>
          <w:szCs w:val="21"/>
          <w:color w:val="auto"/>
        </w:rPr>
        <w:t>. Acquiror and Seller agree that irreparable damage would occur in the event that any of the provisions of this Agreement were not performed by them in accordance with the terms hereof and that each party shall be entitled to specific performance of the terms hereof, in addition to any other remedy at Law or equity.</w:t>
      </w:r>
    </w:p>
    <w:p>
      <w:pPr>
        <w:spacing w:after="0" w:line="167" w:lineRule="exact"/>
        <w:rPr>
          <w:sz w:val="20"/>
          <w:szCs w:val="20"/>
          <w:color w:val="auto"/>
        </w:rPr>
      </w:pPr>
    </w:p>
    <w:p>
      <w:pPr>
        <w:ind w:firstLine="846"/>
        <w:spacing w:after="0" w:line="236" w:lineRule="auto"/>
        <w:rPr>
          <w:sz w:val="20"/>
          <w:szCs w:val="20"/>
          <w:color w:val="auto"/>
        </w:rPr>
      </w:pPr>
      <w:r>
        <w:rPr>
          <w:rFonts w:ascii="Arial" w:cs="Arial" w:eastAsia="Arial" w:hAnsi="Arial"/>
          <w:sz w:val="22"/>
          <w:szCs w:val="22"/>
          <w:color w:val="auto"/>
        </w:rPr>
        <w:t xml:space="preserve">11.11 </w:t>
      </w:r>
      <w:r>
        <w:rPr>
          <w:rFonts w:ascii="Arial" w:cs="Arial" w:eastAsia="Arial" w:hAnsi="Arial"/>
          <w:sz w:val="22"/>
          <w:szCs w:val="22"/>
          <w:u w:val="single" w:color="auto"/>
          <w:color w:val="auto"/>
        </w:rPr>
        <w:t>Waiver of Jury Trial</w:t>
      </w:r>
      <w:r>
        <w:rPr>
          <w:rFonts w:ascii="Arial" w:cs="Arial" w:eastAsia="Arial" w:hAnsi="Arial"/>
          <w:sz w:val="22"/>
          <w:szCs w:val="22"/>
          <w:color w:val="auto"/>
        </w:rPr>
        <w:t>. EACH PARTY HERETO HEREBY IRREVOCABLY WAIVES ALL RIGHT TO TRIAL BY JURY IN ANY ACTION, PROCEEDING OR COUNTERCLAIM (WHETHER BASED ON CONTRACT, TORT OR OTHERWISE) ARISING OUT OF OR RELATING TO THIS AGREEMENT OR THE TRANSACTIONS CONTEMPLATED HEREBY OR THE ACTIONS OF A PARTY HERETO IN THE NEGOTIATION, ADMINISTRATION, PERFORMANCE AND ENFORCEMENT OF THIS AGREEMENT.</w:t>
      </w:r>
    </w:p>
    <w:p>
      <w:pPr>
        <w:spacing w:after="0" w:line="188" w:lineRule="exact"/>
        <w:rPr>
          <w:sz w:val="20"/>
          <w:szCs w:val="20"/>
          <w:color w:val="auto"/>
        </w:rPr>
      </w:pPr>
    </w:p>
    <w:p>
      <w:pPr>
        <w:ind w:left="860"/>
        <w:spacing w:after="0"/>
        <w:tabs>
          <w:tab w:leader="none" w:pos="1860" w:val="left"/>
        </w:tabs>
        <w:rPr>
          <w:sz w:val="20"/>
          <w:szCs w:val="20"/>
          <w:color w:val="auto"/>
        </w:rPr>
      </w:pPr>
      <w:r>
        <w:rPr>
          <w:rFonts w:ascii="Arial" w:cs="Arial" w:eastAsia="Arial" w:hAnsi="Arial"/>
          <w:sz w:val="22"/>
          <w:szCs w:val="22"/>
          <w:color w:val="auto"/>
        </w:rPr>
        <w:t>11.12</w:t>
      </w:r>
      <w:r>
        <w:rPr>
          <w:sz w:val="20"/>
          <w:szCs w:val="20"/>
          <w:color w:val="auto"/>
        </w:rPr>
        <w:tab/>
      </w:r>
      <w:r>
        <w:rPr>
          <w:rFonts w:ascii="Arial" w:cs="Arial" w:eastAsia="Arial" w:hAnsi="Arial"/>
          <w:sz w:val="19"/>
          <w:szCs w:val="19"/>
          <w:u w:val="single" w:color="auto"/>
          <w:color w:val="auto"/>
        </w:rPr>
        <w:t>Interpretation</w:t>
      </w:r>
      <w:r>
        <w:rPr>
          <w:rFonts w:ascii="Arial" w:cs="Arial" w:eastAsia="Arial" w:hAnsi="Arial"/>
          <w:sz w:val="19"/>
          <w:szCs w:val="19"/>
          <w:color w:val="auto"/>
        </w:rPr>
        <w:t>.</w:t>
      </w:r>
    </w:p>
    <w:p>
      <w:pPr>
        <w:spacing w:after="0" w:line="206" w:lineRule="exact"/>
        <w:rPr>
          <w:sz w:val="20"/>
          <w:szCs w:val="20"/>
          <w:color w:val="auto"/>
        </w:rPr>
      </w:pPr>
    </w:p>
    <w:p>
      <w:pPr>
        <w:ind w:right="60" w:firstLine="1698"/>
        <w:spacing w:after="0" w:line="297" w:lineRule="auto"/>
        <w:tabs>
          <w:tab w:leader="none" w:pos="2520" w:val="left"/>
        </w:tabs>
        <w:numPr>
          <w:ilvl w:val="0"/>
          <w:numId w:val="163"/>
        </w:numPr>
        <w:rPr>
          <w:rFonts w:ascii="Arial" w:cs="Arial" w:eastAsia="Arial" w:hAnsi="Arial"/>
          <w:sz w:val="19"/>
          <w:szCs w:val="19"/>
          <w:color w:val="auto"/>
        </w:rPr>
      </w:pPr>
      <w:r>
        <w:rPr>
          <w:rFonts w:ascii="Arial" w:cs="Arial" w:eastAsia="Arial" w:hAnsi="Arial"/>
          <w:sz w:val="19"/>
          <w:szCs w:val="19"/>
          <w:color w:val="auto"/>
        </w:rPr>
        <w:t>The meaning assigned to each term defined herein shall be equally applicable to both the singular and the plural forms of such term and vice versa, and words denoting either gender shall include both genders as the context requires. Where a word or phrase is defined herein, each of its other grammatical forms shall have a corresponding meaning.</w:t>
      </w:r>
    </w:p>
    <w:p>
      <w:pPr>
        <w:spacing w:after="0" w:line="134" w:lineRule="exact"/>
        <w:rPr>
          <w:rFonts w:ascii="Arial" w:cs="Arial" w:eastAsia="Arial" w:hAnsi="Arial"/>
          <w:sz w:val="19"/>
          <w:szCs w:val="19"/>
          <w:color w:val="auto"/>
        </w:rPr>
      </w:pPr>
    </w:p>
    <w:p>
      <w:pPr>
        <w:ind w:right="440" w:firstLine="1698"/>
        <w:spacing w:after="0" w:line="328" w:lineRule="auto"/>
        <w:tabs>
          <w:tab w:leader="none" w:pos="2586" w:val="left"/>
        </w:tabs>
        <w:numPr>
          <w:ilvl w:val="0"/>
          <w:numId w:val="163"/>
        </w:numPr>
        <w:rPr>
          <w:rFonts w:ascii="Arial" w:cs="Arial" w:eastAsia="Arial" w:hAnsi="Arial"/>
          <w:sz w:val="19"/>
          <w:szCs w:val="19"/>
          <w:color w:val="auto"/>
        </w:rPr>
      </w:pPr>
      <w:r>
        <w:rPr>
          <w:rFonts w:ascii="Arial" w:cs="Arial" w:eastAsia="Arial" w:hAnsi="Arial"/>
          <w:sz w:val="19"/>
          <w:szCs w:val="19"/>
          <w:color w:val="auto"/>
        </w:rPr>
        <w:t>The terms “hereof”, “herein” and “herewith” and words of similar import shall, unless otherwise stated, be construed to refer to this Agreement as a whole and not to any particular provision of this Agreement.</w:t>
      </w:r>
    </w:p>
    <w:p>
      <w:pPr>
        <w:spacing w:after="0" w:line="105" w:lineRule="exact"/>
        <w:rPr>
          <w:rFonts w:ascii="Arial" w:cs="Arial" w:eastAsia="Arial" w:hAnsi="Arial"/>
          <w:sz w:val="19"/>
          <w:szCs w:val="19"/>
          <w:color w:val="auto"/>
        </w:rPr>
      </w:pPr>
    </w:p>
    <w:p>
      <w:pPr>
        <w:ind w:right="220" w:firstLine="1698"/>
        <w:spacing w:after="0" w:line="328" w:lineRule="auto"/>
        <w:tabs>
          <w:tab w:leader="none" w:pos="2574" w:val="left"/>
        </w:tabs>
        <w:numPr>
          <w:ilvl w:val="0"/>
          <w:numId w:val="163"/>
        </w:numPr>
        <w:rPr>
          <w:rFonts w:ascii="Arial" w:cs="Arial" w:eastAsia="Arial" w:hAnsi="Arial"/>
          <w:sz w:val="19"/>
          <w:szCs w:val="19"/>
          <w:color w:val="auto"/>
        </w:rPr>
      </w:pPr>
      <w:r>
        <w:rPr>
          <w:rFonts w:ascii="Arial" w:cs="Arial" w:eastAsia="Arial" w:hAnsi="Arial"/>
          <w:sz w:val="19"/>
          <w:szCs w:val="19"/>
          <w:color w:val="auto"/>
        </w:rPr>
        <w:t>When a reference is made in this Agreement to an Article, Section, paragraph, Exhibit or Schedule, such reference is to an Article, Section, paragraph, Exhibit or Schedule to this Agreement unless otherwise specified.</w:t>
      </w:r>
    </w:p>
    <w:p>
      <w:pPr>
        <w:spacing w:after="0" w:line="105" w:lineRule="exact"/>
        <w:rPr>
          <w:rFonts w:ascii="Arial" w:cs="Arial" w:eastAsia="Arial" w:hAnsi="Arial"/>
          <w:sz w:val="19"/>
          <w:szCs w:val="19"/>
          <w:color w:val="auto"/>
        </w:rPr>
      </w:pPr>
    </w:p>
    <w:p>
      <w:pPr>
        <w:ind w:left="2600" w:hanging="902"/>
        <w:spacing w:after="0"/>
        <w:tabs>
          <w:tab w:leader="none" w:pos="2600" w:val="left"/>
        </w:tabs>
        <w:numPr>
          <w:ilvl w:val="0"/>
          <w:numId w:val="163"/>
        </w:numPr>
        <w:rPr>
          <w:rFonts w:ascii="Arial" w:cs="Arial" w:eastAsia="Arial" w:hAnsi="Arial"/>
          <w:sz w:val="22"/>
          <w:szCs w:val="22"/>
          <w:color w:val="auto"/>
        </w:rPr>
      </w:pPr>
      <w:r>
        <w:rPr>
          <w:rFonts w:ascii="Arial" w:cs="Arial" w:eastAsia="Arial" w:hAnsi="Arial"/>
          <w:sz w:val="22"/>
          <w:szCs w:val="22"/>
          <w:color w:val="auto"/>
        </w:rPr>
        <w:t>References to “dollars” or “$” are references to United States dollars.</w:t>
      </w:r>
    </w:p>
    <w:p>
      <w:pPr>
        <w:spacing w:after="0" w:line="206" w:lineRule="exact"/>
        <w:rPr>
          <w:rFonts w:ascii="Arial" w:cs="Arial" w:eastAsia="Arial" w:hAnsi="Arial"/>
          <w:sz w:val="22"/>
          <w:szCs w:val="22"/>
          <w:color w:val="auto"/>
        </w:rPr>
      </w:pPr>
    </w:p>
    <w:p>
      <w:pPr>
        <w:ind w:right="80" w:firstLine="1698"/>
        <w:spacing w:after="0" w:line="251" w:lineRule="auto"/>
        <w:tabs>
          <w:tab w:leader="none" w:pos="2574" w:val="left"/>
        </w:tabs>
        <w:numPr>
          <w:ilvl w:val="0"/>
          <w:numId w:val="163"/>
        </w:numPr>
        <w:rPr>
          <w:rFonts w:ascii="Arial" w:cs="Arial" w:eastAsia="Arial" w:hAnsi="Arial"/>
          <w:sz w:val="22"/>
          <w:szCs w:val="22"/>
          <w:color w:val="auto"/>
        </w:rPr>
      </w:pPr>
      <w:r>
        <w:rPr>
          <w:rFonts w:ascii="Arial" w:cs="Arial" w:eastAsia="Arial" w:hAnsi="Arial"/>
          <w:sz w:val="22"/>
          <w:szCs w:val="22"/>
          <w:color w:val="auto"/>
        </w:rPr>
        <w:t>The word “include”, “includes”, and “including” when used in this Agreement shall be deemed to be followed by the words “without limitation”, unless otherwise specified.</w:t>
      </w:r>
    </w:p>
    <w:p>
      <w:pPr>
        <w:spacing w:after="0" w:line="173" w:lineRule="exact"/>
        <w:rPr>
          <w:rFonts w:ascii="Arial" w:cs="Arial" w:eastAsia="Arial" w:hAnsi="Arial"/>
          <w:sz w:val="22"/>
          <w:szCs w:val="22"/>
          <w:color w:val="auto"/>
        </w:rPr>
      </w:pPr>
    </w:p>
    <w:p>
      <w:pPr>
        <w:ind w:right="340" w:firstLine="1698"/>
        <w:spacing w:after="0" w:line="251" w:lineRule="auto"/>
        <w:tabs>
          <w:tab w:leader="none" w:pos="2542" w:val="left"/>
        </w:tabs>
        <w:numPr>
          <w:ilvl w:val="0"/>
          <w:numId w:val="163"/>
        </w:numPr>
        <w:rPr>
          <w:rFonts w:ascii="Arial" w:cs="Arial" w:eastAsia="Arial" w:hAnsi="Arial"/>
          <w:sz w:val="22"/>
          <w:szCs w:val="22"/>
          <w:color w:val="auto"/>
        </w:rPr>
      </w:pPr>
      <w:r>
        <w:rPr>
          <w:rFonts w:ascii="Arial" w:cs="Arial" w:eastAsia="Arial" w:hAnsi="Arial"/>
          <w:sz w:val="22"/>
          <w:szCs w:val="22"/>
          <w:color w:val="auto"/>
        </w:rPr>
        <w:t>A reference to any party to this Agreement or any other agreement or document shall include such party’s predecessors, successors and permitted assigns.</w:t>
      </w:r>
    </w:p>
    <w:p>
      <w:pPr>
        <w:spacing w:after="0" w:line="173"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-24-</w:t>
      </w:r>
    </w:p>
    <w:p>
      <w:pPr>
        <w:spacing w:after="0" w:line="5" w:lineRule="exact"/>
        <w:rPr>
          <w:sz w:val="20"/>
          <w:szCs w:val="20"/>
          <w:color w:val="auto"/>
        </w:rPr>
      </w:pPr>
    </w:p>
    <w:p>
      <w:pPr>
        <w:ind w:firstLine="8"/>
        <w:spacing w:after="0" w:line="237" w:lineRule="auto"/>
        <w:tabs>
          <w:tab w:leader="none" w:pos="204" w:val="left"/>
        </w:tabs>
        <w:numPr>
          <w:ilvl w:val="0"/>
          <w:numId w:val="164"/>
        </w:numPr>
        <w:rPr>
          <w:rFonts w:ascii="Arial" w:cs="Arial" w:eastAsia="Arial" w:hAnsi="Arial"/>
          <w:sz w:val="14"/>
          <w:szCs w:val="14"/>
          <w:color w:val="auto"/>
        </w:rPr>
      </w:pPr>
      <w:r>
        <w:rPr>
          <w:rFonts w:ascii="Arial" w:cs="Arial" w:eastAsia="Arial" w:hAnsi="Arial"/>
          <w:sz w:val="14"/>
          <w:szCs w:val="14"/>
          <w:color w:val="auto"/>
        </w:rPr>
        <w:t>DESIGNATES PORTIONS OF THIS DOCUMENT THAT HAVE BEEN OMITTED PURSUANT TO A REQUEST FOR CONFIDENTIAL TREATMENT FILED SEPARATELY WITH THE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46990</wp:posOffset>
            </wp:positionV>
            <wp:extent cx="7289165"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564" w:right="279" w:bottom="1440" w:gutter="0" w:footer="0" w:header="0"/>
        </w:sectPr>
      </w:pPr>
    </w:p>
    <w:bookmarkStart w:id="115" w:name="page116"/>
    <w:bookmarkEnd w:id="115"/>
    <w:p>
      <w:pPr>
        <w:ind w:left="-8" w:firstLine="1698"/>
        <w:spacing w:after="0" w:line="251" w:lineRule="auto"/>
        <w:tabs>
          <w:tab w:leader="none" w:pos="2582" w:val="left"/>
        </w:tabs>
        <w:numPr>
          <w:ilvl w:val="0"/>
          <w:numId w:val="165"/>
        </w:numPr>
        <w:rPr>
          <w:rFonts w:ascii="Arial" w:cs="Arial" w:eastAsia="Arial" w:hAnsi="Arial"/>
          <w:sz w:val="22"/>
          <w:szCs w:val="22"/>
          <w:color w:val="auto"/>
        </w:rPr>
      </w:pPr>
      <w:r>
        <w:rPr>
          <w:rFonts w:ascii="Arial" w:cs="Arial" w:eastAsia="Arial" w:hAnsi="Arial"/>
          <w:sz w:val="22"/>
          <w:szCs w:val="22"/>
          <w:color w:val="auto"/>
        </w:rPr>
        <w:t>Reference to any Law means such Law as amended, modified, codified, replaced or reenacted, and all rules and regulations promulgated thereunder.</w:t>
      </w:r>
    </w:p>
    <w:p>
      <w:pPr>
        <w:spacing w:after="0" w:line="173" w:lineRule="exact"/>
        <w:rPr>
          <w:rFonts w:ascii="Arial" w:cs="Arial" w:eastAsia="Arial" w:hAnsi="Arial"/>
          <w:sz w:val="22"/>
          <w:szCs w:val="22"/>
          <w:color w:val="auto"/>
        </w:rPr>
      </w:pPr>
    </w:p>
    <w:p>
      <w:pPr>
        <w:jc w:val="both"/>
        <w:ind w:left="-8" w:right="260" w:firstLine="1698"/>
        <w:spacing w:after="0"/>
        <w:tabs>
          <w:tab w:leader="none" w:pos="2578" w:val="left"/>
        </w:tabs>
        <w:numPr>
          <w:ilvl w:val="0"/>
          <w:numId w:val="165"/>
        </w:numPr>
        <w:rPr>
          <w:rFonts w:ascii="Arial" w:cs="Arial" w:eastAsia="Arial" w:hAnsi="Arial"/>
          <w:sz w:val="22"/>
          <w:szCs w:val="22"/>
          <w:color w:val="auto"/>
        </w:rPr>
      </w:pPr>
      <w:r>
        <w:rPr>
          <w:rFonts w:ascii="Arial" w:cs="Arial" w:eastAsia="Arial" w:hAnsi="Arial"/>
          <w:sz w:val="22"/>
          <w:szCs w:val="22"/>
          <w:color w:val="auto"/>
        </w:rPr>
        <w:t>The parties have participated jointly in the negotiation and drafting of this Agreement. Any rule of construction or interpretation otherwise requiring this Agreement to be construed or interpreted against any party by virtue of the authorship of this Agreement shall not apply to the construction and interpretation hereof.</w:t>
      </w:r>
    </w:p>
    <w:p>
      <w:pPr>
        <w:spacing w:after="0" w:line="186" w:lineRule="exact"/>
        <w:rPr>
          <w:sz w:val="20"/>
          <w:szCs w:val="20"/>
          <w:color w:val="auto"/>
        </w:rPr>
      </w:pPr>
    </w:p>
    <w:p>
      <w:pPr>
        <w:jc w:val="center"/>
        <w:ind w:right="-11"/>
        <w:spacing w:after="0"/>
        <w:rPr>
          <w:sz w:val="20"/>
          <w:szCs w:val="20"/>
          <w:color w:val="auto"/>
        </w:rPr>
      </w:pPr>
      <w:r>
        <w:rPr>
          <w:rFonts w:ascii="Arial" w:cs="Arial" w:eastAsia="Arial" w:hAnsi="Arial"/>
          <w:sz w:val="22"/>
          <w:szCs w:val="22"/>
          <w:color w:val="auto"/>
        </w:rPr>
        <w:t>[REMAINDER OF PAGE INTENTIONALLY LEFT BLANK]</w:t>
      </w:r>
    </w:p>
    <w:p>
      <w:pPr>
        <w:spacing w:after="0" w:line="200" w:lineRule="exact"/>
        <w:rPr>
          <w:sz w:val="20"/>
          <w:szCs w:val="20"/>
          <w:color w:val="auto"/>
        </w:rPr>
      </w:pPr>
    </w:p>
    <w:p>
      <w:pPr>
        <w:spacing w:after="0" w:line="249" w:lineRule="exact"/>
        <w:rPr>
          <w:sz w:val="20"/>
          <w:szCs w:val="20"/>
          <w:color w:val="auto"/>
        </w:rPr>
      </w:pPr>
    </w:p>
    <w:p>
      <w:pPr>
        <w:jc w:val="center"/>
        <w:ind w:right="-11"/>
        <w:spacing w:after="0"/>
        <w:rPr>
          <w:sz w:val="20"/>
          <w:szCs w:val="20"/>
          <w:color w:val="auto"/>
        </w:rPr>
      </w:pPr>
      <w:r>
        <w:rPr>
          <w:rFonts w:ascii="Arial" w:cs="Arial" w:eastAsia="Arial" w:hAnsi="Arial"/>
          <w:sz w:val="22"/>
          <w:szCs w:val="22"/>
          <w:color w:val="auto"/>
        </w:rPr>
        <w:t>-25-</w:t>
      </w:r>
    </w:p>
    <w:p>
      <w:pPr>
        <w:spacing w:after="0" w:line="5" w:lineRule="exact"/>
        <w:rPr>
          <w:sz w:val="20"/>
          <w:szCs w:val="20"/>
          <w:color w:val="auto"/>
        </w:rPr>
      </w:pPr>
    </w:p>
    <w:p>
      <w:pPr>
        <w:ind w:left="-8" w:right="40" w:firstLine="8"/>
        <w:spacing w:after="0" w:line="237" w:lineRule="auto"/>
        <w:tabs>
          <w:tab w:leader="none" w:pos="196" w:val="left"/>
        </w:tabs>
        <w:numPr>
          <w:ilvl w:val="0"/>
          <w:numId w:val="166"/>
        </w:numPr>
        <w:rPr>
          <w:rFonts w:ascii="Arial" w:cs="Arial" w:eastAsia="Arial" w:hAnsi="Arial"/>
          <w:sz w:val="14"/>
          <w:szCs w:val="14"/>
          <w:color w:val="auto"/>
        </w:rPr>
      </w:pPr>
      <w:r>
        <w:rPr>
          <w:rFonts w:ascii="Arial" w:cs="Arial" w:eastAsia="Arial" w:hAnsi="Arial"/>
          <w:sz w:val="14"/>
          <w:szCs w:val="14"/>
          <w:color w:val="auto"/>
        </w:rPr>
        <w:t>DESIGNATES PORTIONS OF THIS DOCUMENT THAT HAVE BEEN OMITTED PURSUANT TO A REQUEST FOR CONFIDENTIAL TREATMENT FILED SEPARATELY WITH THE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46990</wp:posOffset>
            </wp:positionV>
            <wp:extent cx="7289165"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12"/>
          </w:cols>
          <w:pgMar w:left="248" w:top="564" w:right="239" w:bottom="1440" w:gutter="0" w:footer="0" w:header="0"/>
        </w:sectPr>
      </w:pPr>
    </w:p>
    <w:bookmarkStart w:id="116" w:name="page117"/>
    <w:bookmarkEnd w:id="116"/>
    <w:p>
      <w:pPr>
        <w:ind w:right="440" w:firstLine="877"/>
        <w:spacing w:after="0" w:line="274" w:lineRule="auto"/>
        <w:rPr>
          <w:sz w:val="20"/>
          <w:szCs w:val="20"/>
          <w:color w:val="auto"/>
        </w:rPr>
      </w:pPr>
      <w:r>
        <w:rPr>
          <w:rFonts w:ascii="Arial" w:cs="Arial" w:eastAsia="Arial" w:hAnsi="Arial"/>
          <w:sz w:val="21"/>
          <w:szCs w:val="21"/>
          <w:color w:val="auto"/>
        </w:rPr>
        <w:t>IN WITNESS WHEREOF, the parties hereto, intending to be legally bound hereby, have caused this Asset Purchase Agreement to be executed by their duly authorized representatives as of the date first written above.</w:t>
      </w:r>
    </w:p>
    <w:p>
      <w:pPr>
        <w:spacing w:after="0" w:line="151" w:lineRule="exact"/>
        <w:rPr>
          <w:sz w:val="20"/>
          <w:szCs w:val="20"/>
          <w:color w:val="auto"/>
        </w:rPr>
      </w:pPr>
    </w:p>
    <w:p>
      <w:pPr>
        <w:ind w:left="6160"/>
        <w:spacing w:after="0"/>
        <w:rPr>
          <w:sz w:val="20"/>
          <w:szCs w:val="20"/>
          <w:color w:val="auto"/>
        </w:rPr>
      </w:pPr>
      <w:r>
        <w:rPr>
          <w:rFonts w:ascii="Arial" w:cs="Arial" w:eastAsia="Arial" w:hAnsi="Arial"/>
          <w:sz w:val="22"/>
          <w:szCs w:val="22"/>
          <w:color w:val="auto"/>
        </w:rPr>
        <w:t>1</w:t>
      </w:r>
      <w:r>
        <w:rPr>
          <w:rFonts w:ascii="Arial" w:cs="Arial" w:eastAsia="Arial" w:hAnsi="Arial"/>
          <w:sz w:val="13"/>
          <w:szCs w:val="13"/>
          <w:color w:val="auto"/>
        </w:rPr>
        <w:t>ST</w:t>
      </w:r>
      <w:r>
        <w:rPr>
          <w:rFonts w:ascii="Arial" w:cs="Arial" w:eastAsia="Arial" w:hAnsi="Arial"/>
          <w:sz w:val="22"/>
          <w:szCs w:val="22"/>
          <w:color w:val="auto"/>
        </w:rPr>
        <w:t xml:space="preserve"> ORDER PHAMACEUTICALS, INC.</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616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i w:val="1"/>
          <w:iCs w:val="1"/>
          <w:u w:val="single" w:color="auto"/>
          <w:color w:val="auto"/>
        </w:rPr>
        <w:t>/s/ Christopher S. Crean</w:t>
      </w:r>
    </w:p>
    <w:p>
      <w:pPr>
        <w:ind w:left="6160"/>
        <w:spacing w:after="0" w:line="238" w:lineRule="auto"/>
        <w:rPr>
          <w:sz w:val="20"/>
          <w:szCs w:val="20"/>
          <w:color w:val="auto"/>
        </w:rPr>
      </w:pPr>
      <w:r>
        <w:rPr>
          <w:rFonts w:ascii="Arial" w:cs="Arial" w:eastAsia="Arial" w:hAnsi="Arial"/>
          <w:sz w:val="22"/>
          <w:szCs w:val="22"/>
          <w:color w:val="auto"/>
        </w:rPr>
        <w:t>Name: Christopher S. Crean</w:t>
      </w:r>
    </w:p>
    <w:p>
      <w:pPr>
        <w:ind w:left="6160"/>
        <w:spacing w:after="0"/>
        <w:rPr>
          <w:sz w:val="20"/>
          <w:szCs w:val="20"/>
          <w:color w:val="auto"/>
        </w:rPr>
      </w:pPr>
      <w:r>
        <w:rPr>
          <w:rFonts w:ascii="Arial" w:cs="Arial" w:eastAsia="Arial" w:hAnsi="Arial"/>
          <w:sz w:val="22"/>
          <w:szCs w:val="22"/>
          <w:color w:val="auto"/>
        </w:rPr>
        <w:t>Title: President &amp; CSO</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6160"/>
        <w:spacing w:after="0"/>
        <w:rPr>
          <w:sz w:val="20"/>
          <w:szCs w:val="20"/>
          <w:color w:val="auto"/>
        </w:rPr>
      </w:pPr>
      <w:r>
        <w:rPr>
          <w:rFonts w:ascii="Arial" w:cs="Arial" w:eastAsia="Arial" w:hAnsi="Arial"/>
          <w:sz w:val="22"/>
          <w:szCs w:val="22"/>
          <w:color w:val="auto"/>
        </w:rPr>
        <w:t>VALEANT PHARMACEUTICALS LUXEMBOURG</w:t>
      </w:r>
    </w:p>
    <w:p>
      <w:pPr>
        <w:spacing w:after="0" w:line="8" w:lineRule="exact"/>
        <w:rPr>
          <w:sz w:val="20"/>
          <w:szCs w:val="20"/>
          <w:color w:val="auto"/>
        </w:rPr>
      </w:pPr>
    </w:p>
    <w:p>
      <w:pPr>
        <w:ind w:left="6160"/>
        <w:spacing w:after="0"/>
        <w:rPr>
          <w:sz w:val="20"/>
          <w:szCs w:val="20"/>
          <w:color w:val="auto"/>
        </w:rPr>
      </w:pPr>
      <w:r>
        <w:rPr>
          <w:rFonts w:ascii="Arial" w:cs="Arial" w:eastAsia="Arial" w:hAnsi="Arial"/>
          <w:sz w:val="22"/>
          <w:szCs w:val="22"/>
          <w:color w:val="auto"/>
        </w:rPr>
        <w:t>S.A.R.L</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6160"/>
        <w:spacing w:after="0"/>
        <w:rPr>
          <w:sz w:val="20"/>
          <w:szCs w:val="20"/>
          <w:color w:val="auto"/>
        </w:rPr>
      </w:pPr>
      <w:r>
        <w:rPr>
          <w:rFonts w:ascii="Arial" w:cs="Arial" w:eastAsia="Arial" w:hAnsi="Arial"/>
          <w:sz w:val="22"/>
          <w:szCs w:val="22"/>
          <w:color w:val="auto"/>
        </w:rPr>
        <w:t>By: [†]</w:t>
      </w:r>
    </w:p>
    <w:p>
      <w:pPr>
        <w:ind w:left="6160"/>
        <w:spacing w:after="0" w:line="238" w:lineRule="auto"/>
        <w:rPr>
          <w:sz w:val="20"/>
          <w:szCs w:val="20"/>
          <w:color w:val="auto"/>
        </w:rPr>
      </w:pPr>
      <w:r>
        <w:rPr>
          <w:rFonts w:ascii="Arial" w:cs="Arial" w:eastAsia="Arial" w:hAnsi="Arial"/>
          <w:sz w:val="22"/>
          <w:szCs w:val="22"/>
          <w:color w:val="auto"/>
        </w:rPr>
        <w:t>Name: [†]</w:t>
      </w:r>
    </w:p>
    <w:p>
      <w:pPr>
        <w:ind w:left="6160"/>
        <w:spacing w:after="0"/>
        <w:rPr>
          <w:sz w:val="20"/>
          <w:szCs w:val="20"/>
          <w:color w:val="auto"/>
        </w:rPr>
      </w:pPr>
      <w:r>
        <w:rPr>
          <w:rFonts w:ascii="Arial" w:cs="Arial" w:eastAsia="Arial" w:hAnsi="Arial"/>
          <w:sz w:val="22"/>
          <w:szCs w:val="22"/>
          <w:color w:val="auto"/>
        </w:rPr>
        <w:t>Title: [†]</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firstLine="8"/>
        <w:spacing w:after="0" w:line="253" w:lineRule="auto"/>
        <w:tabs>
          <w:tab w:leader="none" w:pos="204" w:val="left"/>
        </w:tabs>
        <w:numPr>
          <w:ilvl w:val="0"/>
          <w:numId w:val="167"/>
        </w:numPr>
        <w:rPr>
          <w:rFonts w:ascii="Arial" w:cs="Arial" w:eastAsia="Arial" w:hAnsi="Arial"/>
          <w:sz w:val="14"/>
          <w:szCs w:val="14"/>
          <w:color w:val="auto"/>
        </w:rPr>
      </w:pPr>
      <w:r>
        <w:rPr>
          <w:rFonts w:ascii="Arial" w:cs="Arial" w:eastAsia="Arial" w:hAnsi="Arial"/>
          <w:sz w:val="14"/>
          <w:szCs w:val="14"/>
          <w:color w:val="auto"/>
        </w:rPr>
        <w:t>DESIGNATES PORTIONS OF THIS DOCUMENT THAT HAVE BEEN OMITTED PURSUANT TO A REQUEST FOR CONFIDENTIAL TREATMENT FILED SEPARATELY WITH THE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40640</wp:posOffset>
            </wp:positionV>
            <wp:extent cx="7289165"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564" w:right="279" w:bottom="1440" w:gutter="0" w:footer="0" w:header="0"/>
        </w:sectPr>
      </w:pPr>
    </w:p>
    <w:bookmarkStart w:id="117" w:name="page118"/>
    <w:bookmarkEnd w:id="117"/>
    <w:p>
      <w:pPr>
        <w:spacing w:after="0"/>
        <w:rPr>
          <w:sz w:val="20"/>
          <w:szCs w:val="20"/>
          <w:color w:val="auto"/>
        </w:rPr>
      </w:pPr>
      <w:r>
        <w:rPr>
          <w:rFonts w:ascii="Arial" w:cs="Arial" w:eastAsia="Arial" w:hAnsi="Arial"/>
          <w:sz w:val="20"/>
          <w:szCs w:val="20"/>
          <w:b w:val="1"/>
          <w:bCs w:val="1"/>
          <w:color w:val="auto"/>
        </w:rPr>
        <w:t>Seller Schedule 4.3(a)</w:t>
      </w:r>
    </w:p>
    <w:p>
      <w:pPr>
        <w:spacing w:after="0" w:line="14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Section 1. Intellectual Property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245745</wp:posOffset>
            </wp:positionV>
            <wp:extent cx="7246620" cy="2675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46620" cy="2675890"/>
                    </a:xfrm>
                    <a:prstGeom prst="rect">
                      <a:avLst/>
                    </a:prstGeom>
                    <a:noFill/>
                  </pic:spPr>
                </pic:pic>
              </a:graphicData>
            </a:graphic>
          </wp:anchor>
        </w:drawing>
      </w: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139"/>
        </w:trPr>
        <w:tc>
          <w:tcPr>
            <w:tcW w:w="920" w:type="dxa"/>
            <w:vAlign w:val="bottom"/>
            <w:tcBorders>
              <w:top w:val="single" w:sz="8" w:color="auto"/>
            </w:tcBorders>
          </w:tcPr>
          <w:p>
            <w:pPr>
              <w:ind w:left="20"/>
              <w:spacing w:after="0" w:line="139" w:lineRule="exact"/>
              <w:rPr>
                <w:sz w:val="20"/>
                <w:szCs w:val="20"/>
                <w:color w:val="auto"/>
              </w:rPr>
            </w:pPr>
            <w:r>
              <w:rPr>
                <w:rFonts w:ascii="Arial" w:cs="Arial" w:eastAsia="Arial" w:hAnsi="Arial"/>
                <w:sz w:val="14"/>
                <w:szCs w:val="14"/>
                <w:b w:val="1"/>
                <w:bCs w:val="1"/>
                <w:color w:val="auto"/>
              </w:rPr>
              <w:t>Jones Day</w:t>
            </w:r>
          </w:p>
        </w:tc>
        <w:tc>
          <w:tcPr>
            <w:tcW w:w="1120" w:type="dxa"/>
            <w:vAlign w:val="bottom"/>
            <w:tcBorders>
              <w:top w:val="single" w:sz="8" w:color="auto"/>
            </w:tcBorders>
          </w:tcPr>
          <w:p>
            <w:pPr>
              <w:ind w:left="260"/>
              <w:spacing w:after="0" w:line="139" w:lineRule="exact"/>
              <w:rPr>
                <w:sz w:val="20"/>
                <w:szCs w:val="20"/>
                <w:color w:val="auto"/>
              </w:rPr>
            </w:pPr>
            <w:r>
              <w:rPr>
                <w:rFonts w:ascii="Arial" w:cs="Arial" w:eastAsia="Arial" w:hAnsi="Arial"/>
                <w:sz w:val="14"/>
                <w:szCs w:val="14"/>
                <w:b w:val="1"/>
                <w:bCs w:val="1"/>
                <w:color w:val="auto"/>
              </w:rPr>
              <w:t>Country</w:t>
            </w:r>
          </w:p>
        </w:tc>
        <w:tc>
          <w:tcPr>
            <w:tcW w:w="1680" w:type="dxa"/>
            <w:vAlign w:val="bottom"/>
            <w:tcBorders>
              <w:top w:val="single" w:sz="8" w:color="auto"/>
            </w:tcBorders>
          </w:tcPr>
          <w:p>
            <w:pPr>
              <w:ind w:left="320"/>
              <w:spacing w:after="0" w:line="139" w:lineRule="exact"/>
              <w:rPr>
                <w:sz w:val="20"/>
                <w:szCs w:val="20"/>
                <w:color w:val="auto"/>
              </w:rPr>
            </w:pPr>
            <w:r>
              <w:rPr>
                <w:rFonts w:ascii="Arial" w:cs="Arial" w:eastAsia="Arial" w:hAnsi="Arial"/>
                <w:sz w:val="14"/>
                <w:szCs w:val="14"/>
                <w:b w:val="1"/>
                <w:bCs w:val="1"/>
                <w:color w:val="auto"/>
              </w:rPr>
              <w:t>Title</w:t>
            </w:r>
          </w:p>
        </w:tc>
        <w:tc>
          <w:tcPr>
            <w:tcW w:w="1620" w:type="dxa"/>
            <w:vAlign w:val="bottom"/>
            <w:tcBorders>
              <w:top w:val="single" w:sz="8" w:color="auto"/>
            </w:tcBorders>
          </w:tcPr>
          <w:p>
            <w:pPr>
              <w:ind w:left="1100"/>
              <w:spacing w:after="0" w:line="139" w:lineRule="exact"/>
              <w:rPr>
                <w:sz w:val="20"/>
                <w:szCs w:val="20"/>
                <w:color w:val="auto"/>
              </w:rPr>
            </w:pPr>
            <w:r>
              <w:rPr>
                <w:rFonts w:ascii="Arial" w:cs="Arial" w:eastAsia="Arial" w:hAnsi="Arial"/>
                <w:sz w:val="14"/>
                <w:szCs w:val="14"/>
                <w:b w:val="1"/>
                <w:bCs w:val="1"/>
                <w:color w:val="auto"/>
              </w:rPr>
              <w:t>App.</w:t>
            </w:r>
          </w:p>
        </w:tc>
        <w:tc>
          <w:tcPr>
            <w:tcW w:w="1000" w:type="dxa"/>
            <w:vAlign w:val="bottom"/>
            <w:tcBorders>
              <w:top w:val="single" w:sz="8" w:color="auto"/>
            </w:tcBorders>
          </w:tcPr>
          <w:p>
            <w:pPr>
              <w:ind w:left="220"/>
              <w:spacing w:after="0" w:line="139" w:lineRule="exact"/>
              <w:rPr>
                <w:sz w:val="20"/>
                <w:szCs w:val="20"/>
                <w:color w:val="auto"/>
              </w:rPr>
            </w:pPr>
            <w:r>
              <w:rPr>
                <w:rFonts w:ascii="Arial" w:cs="Arial" w:eastAsia="Arial" w:hAnsi="Arial"/>
                <w:sz w:val="14"/>
                <w:szCs w:val="14"/>
                <w:b w:val="1"/>
                <w:bCs w:val="1"/>
                <w:color w:val="auto"/>
              </w:rPr>
              <w:t>App.</w:t>
            </w:r>
          </w:p>
        </w:tc>
        <w:tc>
          <w:tcPr>
            <w:tcW w:w="1000" w:type="dxa"/>
            <w:vAlign w:val="bottom"/>
            <w:tcBorders>
              <w:top w:val="single" w:sz="8" w:color="auto"/>
            </w:tcBorders>
          </w:tcPr>
          <w:p>
            <w:pPr>
              <w:ind w:left="480"/>
              <w:spacing w:after="0" w:line="139" w:lineRule="exact"/>
              <w:rPr>
                <w:sz w:val="20"/>
                <w:szCs w:val="20"/>
                <w:color w:val="auto"/>
              </w:rPr>
            </w:pPr>
            <w:r>
              <w:rPr>
                <w:rFonts w:ascii="Arial" w:cs="Arial" w:eastAsia="Arial" w:hAnsi="Arial"/>
                <w:sz w:val="14"/>
                <w:szCs w:val="14"/>
                <w:b w:val="1"/>
                <w:bCs w:val="1"/>
                <w:color w:val="auto"/>
              </w:rPr>
              <w:t>Pub</w:t>
            </w:r>
          </w:p>
        </w:tc>
        <w:tc>
          <w:tcPr>
            <w:tcW w:w="720" w:type="dxa"/>
            <w:vAlign w:val="bottom"/>
            <w:tcBorders>
              <w:top w:val="single" w:sz="8" w:color="auto"/>
            </w:tcBorders>
          </w:tcPr>
          <w:p>
            <w:pPr>
              <w:ind w:left="240"/>
              <w:spacing w:after="0" w:line="139" w:lineRule="exact"/>
              <w:rPr>
                <w:sz w:val="20"/>
                <w:szCs w:val="20"/>
                <w:color w:val="auto"/>
              </w:rPr>
            </w:pPr>
            <w:r>
              <w:rPr>
                <w:rFonts w:ascii="Arial" w:cs="Arial" w:eastAsia="Arial" w:hAnsi="Arial"/>
                <w:sz w:val="14"/>
                <w:szCs w:val="14"/>
                <w:b w:val="1"/>
                <w:bCs w:val="1"/>
                <w:color w:val="auto"/>
              </w:rPr>
              <w:t>Pub</w:t>
            </w:r>
          </w:p>
        </w:tc>
        <w:tc>
          <w:tcPr>
            <w:tcW w:w="1120" w:type="dxa"/>
            <w:vAlign w:val="bottom"/>
            <w:tcBorders>
              <w:top w:val="single" w:sz="8" w:color="auto"/>
              <w:right w:val="single" w:sz="8" w:color="auto"/>
            </w:tcBorders>
          </w:tcPr>
          <w:p>
            <w:pPr>
              <w:ind w:left="260"/>
              <w:spacing w:after="0" w:line="139" w:lineRule="exact"/>
              <w:rPr>
                <w:sz w:val="20"/>
                <w:szCs w:val="20"/>
                <w:color w:val="auto"/>
              </w:rPr>
            </w:pPr>
            <w:r>
              <w:rPr>
                <w:rFonts w:ascii="Arial" w:cs="Arial" w:eastAsia="Arial" w:hAnsi="Arial"/>
                <w:sz w:val="14"/>
                <w:szCs w:val="14"/>
                <w:b w:val="1"/>
                <w:bCs w:val="1"/>
                <w:color w:val="auto"/>
              </w:rPr>
              <w:t>Issue</w:t>
            </w:r>
          </w:p>
        </w:tc>
        <w:tc>
          <w:tcPr>
            <w:tcW w:w="1060" w:type="dxa"/>
            <w:vAlign w:val="bottom"/>
            <w:tcBorders>
              <w:top w:val="single" w:sz="8" w:color="auto"/>
              <w:right w:val="single" w:sz="8" w:color="auto"/>
            </w:tcBorders>
          </w:tcPr>
          <w:p>
            <w:pPr>
              <w:spacing w:after="0" w:line="139" w:lineRule="exact"/>
              <w:rPr>
                <w:sz w:val="20"/>
                <w:szCs w:val="20"/>
                <w:color w:val="auto"/>
              </w:rPr>
            </w:pPr>
            <w:r>
              <w:rPr>
                <w:rFonts w:ascii="Arial" w:cs="Arial" w:eastAsia="Arial" w:hAnsi="Arial"/>
                <w:sz w:val="14"/>
                <w:szCs w:val="14"/>
                <w:b w:val="1"/>
                <w:bCs w:val="1"/>
                <w:color w:val="auto"/>
              </w:rPr>
              <w:t>Patent</w:t>
            </w:r>
          </w:p>
        </w:tc>
        <w:tc>
          <w:tcPr>
            <w:tcW w:w="1180" w:type="dxa"/>
            <w:vAlign w:val="bottom"/>
            <w:tcBorders>
              <w:top w:val="single" w:sz="8" w:color="auto"/>
            </w:tcBorders>
          </w:tcPr>
          <w:p>
            <w:pPr>
              <w:jc w:val="right"/>
              <w:ind w:right="728"/>
              <w:spacing w:after="0" w:line="139" w:lineRule="exact"/>
              <w:rPr>
                <w:sz w:val="20"/>
                <w:szCs w:val="20"/>
                <w:color w:val="auto"/>
              </w:rPr>
            </w:pPr>
            <w:r>
              <w:rPr>
                <w:rFonts w:ascii="Arial" w:cs="Arial" w:eastAsia="Arial" w:hAnsi="Arial"/>
                <w:sz w:val="14"/>
                <w:szCs w:val="14"/>
                <w:b w:val="1"/>
                <w:bCs w:val="1"/>
                <w:color w:val="auto"/>
                <w:w w:val="84"/>
              </w:rPr>
              <w:t>Status</w:t>
            </w:r>
          </w:p>
        </w:tc>
      </w:tr>
      <w:tr>
        <w:trPr>
          <w:trHeight w:val="171"/>
        </w:trPr>
        <w:tc>
          <w:tcPr>
            <w:tcW w:w="9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Reference</w:t>
            </w:r>
          </w:p>
        </w:tc>
        <w:tc>
          <w:tcPr>
            <w:tcW w:w="112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tcPr>
          <w:p>
            <w:pPr>
              <w:ind w:left="1100"/>
              <w:spacing w:after="0"/>
              <w:rPr>
                <w:sz w:val="20"/>
                <w:szCs w:val="20"/>
                <w:color w:val="auto"/>
              </w:rPr>
            </w:pPr>
            <w:r>
              <w:rPr>
                <w:rFonts w:ascii="Arial" w:cs="Arial" w:eastAsia="Arial" w:hAnsi="Arial"/>
                <w:sz w:val="14"/>
                <w:szCs w:val="14"/>
                <w:b w:val="1"/>
                <w:bCs w:val="1"/>
                <w:color w:val="auto"/>
              </w:rPr>
              <w:t>Date</w:t>
            </w:r>
          </w:p>
        </w:tc>
        <w:tc>
          <w:tcPr>
            <w:tcW w:w="1000" w:type="dxa"/>
            <w:vAlign w:val="bottom"/>
            <w:tcBorders>
              <w:bottom w:val="single" w:sz="8" w:color="auto"/>
            </w:tcBorders>
          </w:tcPr>
          <w:p>
            <w:pPr>
              <w:ind w:left="220"/>
              <w:spacing w:after="0"/>
              <w:rPr>
                <w:sz w:val="20"/>
                <w:szCs w:val="20"/>
                <w:color w:val="auto"/>
              </w:rPr>
            </w:pPr>
            <w:r>
              <w:rPr>
                <w:rFonts w:ascii="Arial" w:cs="Arial" w:eastAsia="Arial" w:hAnsi="Arial"/>
                <w:sz w:val="14"/>
                <w:szCs w:val="14"/>
                <w:b w:val="1"/>
                <w:bCs w:val="1"/>
                <w:color w:val="auto"/>
              </w:rPr>
              <w:t>No.</w:t>
            </w:r>
          </w:p>
        </w:tc>
        <w:tc>
          <w:tcPr>
            <w:tcW w:w="1000" w:type="dxa"/>
            <w:vAlign w:val="bottom"/>
            <w:tcBorders>
              <w:bottom w:val="single" w:sz="8" w:color="auto"/>
            </w:tcBorders>
          </w:tcPr>
          <w:p>
            <w:pPr>
              <w:ind w:left="480"/>
              <w:spacing w:after="0"/>
              <w:rPr>
                <w:sz w:val="20"/>
                <w:szCs w:val="20"/>
                <w:color w:val="auto"/>
              </w:rPr>
            </w:pPr>
            <w:r>
              <w:rPr>
                <w:rFonts w:ascii="Arial" w:cs="Arial" w:eastAsia="Arial" w:hAnsi="Arial"/>
                <w:sz w:val="14"/>
                <w:szCs w:val="14"/>
                <w:b w:val="1"/>
                <w:bCs w:val="1"/>
                <w:color w:val="auto"/>
              </w:rPr>
              <w:t>Date</w:t>
            </w:r>
          </w:p>
        </w:tc>
        <w:tc>
          <w:tcPr>
            <w:tcW w:w="720" w:type="dxa"/>
            <w:vAlign w:val="bottom"/>
            <w:tcBorders>
              <w:bottom w:val="single" w:sz="8" w:color="auto"/>
            </w:tcBorders>
          </w:tcPr>
          <w:p>
            <w:pPr>
              <w:ind w:left="240"/>
              <w:spacing w:after="0"/>
              <w:rPr>
                <w:sz w:val="20"/>
                <w:szCs w:val="20"/>
                <w:color w:val="auto"/>
              </w:rPr>
            </w:pPr>
            <w:r>
              <w:rPr>
                <w:rFonts w:ascii="Arial" w:cs="Arial" w:eastAsia="Arial" w:hAnsi="Arial"/>
                <w:sz w:val="14"/>
                <w:szCs w:val="14"/>
                <w:b w:val="1"/>
                <w:bCs w:val="1"/>
                <w:color w:val="auto"/>
              </w:rPr>
              <w:t>No.</w:t>
            </w:r>
          </w:p>
        </w:tc>
        <w:tc>
          <w:tcPr>
            <w:tcW w:w="1120" w:type="dxa"/>
            <w:vAlign w:val="bottom"/>
            <w:tcBorders>
              <w:bottom w:val="single" w:sz="8" w:color="auto"/>
              <w:right w:val="single" w:sz="8" w:color="auto"/>
            </w:tcBorders>
          </w:tcPr>
          <w:p>
            <w:pPr>
              <w:ind w:left="260"/>
              <w:spacing w:after="0"/>
              <w:rPr>
                <w:sz w:val="20"/>
                <w:szCs w:val="20"/>
                <w:color w:val="auto"/>
              </w:rPr>
            </w:pPr>
            <w:r>
              <w:rPr>
                <w:rFonts w:ascii="Arial" w:cs="Arial" w:eastAsia="Arial" w:hAnsi="Arial"/>
                <w:sz w:val="14"/>
                <w:szCs w:val="14"/>
                <w:b w:val="1"/>
                <w:bCs w:val="1"/>
                <w:color w:val="auto"/>
              </w:rPr>
              <w:t>Date</w:t>
            </w:r>
          </w:p>
        </w:tc>
        <w:tc>
          <w:tcPr>
            <w:tcW w:w="10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b w:val="1"/>
                <w:bCs w:val="1"/>
                <w:color w:val="auto"/>
              </w:rPr>
              <w:t>No.</w:t>
            </w:r>
          </w:p>
        </w:tc>
        <w:tc>
          <w:tcPr>
            <w:tcW w:w="1180" w:type="dxa"/>
            <w:vAlign w:val="bottom"/>
            <w:tcBorders>
              <w:bottom w:val="single" w:sz="8" w:color="auto"/>
            </w:tcBorders>
          </w:tcPr>
          <w:p>
            <w:pPr>
              <w:spacing w:after="0"/>
              <w:rPr>
                <w:sz w:val="14"/>
                <w:szCs w:val="14"/>
                <w:color w:val="auto"/>
              </w:rPr>
            </w:pPr>
          </w:p>
        </w:tc>
      </w:tr>
      <w:tr>
        <w:trPr>
          <w:trHeight w:val="142"/>
        </w:trPr>
        <w:tc>
          <w:tcPr>
            <w:tcW w:w="920" w:type="dxa"/>
            <w:vAlign w:val="bottom"/>
            <w:tcBorders>
              <w:bottom w:val="single" w:sz="8" w:color="auto"/>
            </w:tcBorders>
          </w:tcPr>
          <w:p>
            <w:pPr>
              <w:ind w:left="20"/>
              <w:spacing w:after="0" w:line="142" w:lineRule="exact"/>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tcPr>
          <w:p>
            <w:pPr>
              <w:ind w:left="260"/>
              <w:spacing w:after="0" w:line="142" w:lineRule="exact"/>
              <w:rPr>
                <w:sz w:val="20"/>
                <w:szCs w:val="20"/>
                <w:color w:val="auto"/>
              </w:rPr>
            </w:pPr>
            <w:r>
              <w:rPr>
                <w:rFonts w:ascii="Arial" w:cs="Arial" w:eastAsia="Arial" w:hAnsi="Arial"/>
                <w:sz w:val="14"/>
                <w:szCs w:val="14"/>
                <w:color w:val="auto"/>
              </w:rPr>
              <w:t>[†]</w:t>
            </w:r>
          </w:p>
        </w:tc>
        <w:tc>
          <w:tcPr>
            <w:tcW w:w="1680" w:type="dxa"/>
            <w:vAlign w:val="bottom"/>
            <w:tcBorders>
              <w:bottom w:val="single" w:sz="8" w:color="auto"/>
            </w:tcBorders>
          </w:tcPr>
          <w:p>
            <w:pPr>
              <w:ind w:left="320"/>
              <w:spacing w:after="0" w:line="142" w:lineRule="exact"/>
              <w:rPr>
                <w:sz w:val="20"/>
                <w:szCs w:val="20"/>
                <w:color w:val="auto"/>
              </w:rPr>
            </w:pPr>
            <w:r>
              <w:rPr>
                <w:rFonts w:ascii="Arial" w:cs="Arial" w:eastAsia="Arial" w:hAnsi="Arial"/>
                <w:sz w:val="14"/>
                <w:szCs w:val="14"/>
                <w:color w:val="auto"/>
              </w:rPr>
              <w:t>[†]</w:t>
            </w:r>
          </w:p>
        </w:tc>
        <w:tc>
          <w:tcPr>
            <w:tcW w:w="1620" w:type="dxa"/>
            <w:vAlign w:val="bottom"/>
            <w:tcBorders>
              <w:bottom w:val="single" w:sz="8" w:color="auto"/>
            </w:tcBorders>
          </w:tcPr>
          <w:p>
            <w:pPr>
              <w:ind w:left="1100"/>
              <w:spacing w:after="0" w:line="142" w:lineRule="exact"/>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tcPr>
          <w:p>
            <w:pPr>
              <w:ind w:left="220"/>
              <w:spacing w:after="0" w:line="142" w:lineRule="exact"/>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tcPr>
          <w:p>
            <w:pPr>
              <w:ind w:left="480"/>
              <w:spacing w:after="0" w:line="142" w:lineRule="exact"/>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tcPr>
          <w:p>
            <w:pPr>
              <w:ind w:left="240"/>
              <w:spacing w:after="0" w:line="142" w:lineRule="exact"/>
              <w:rPr>
                <w:sz w:val="20"/>
                <w:szCs w:val="20"/>
                <w:color w:val="auto"/>
              </w:rPr>
            </w:pPr>
            <w:r>
              <w:rPr>
                <w:rFonts w:ascii="Arial" w:cs="Arial" w:eastAsia="Arial" w:hAnsi="Arial"/>
                <w:sz w:val="14"/>
                <w:szCs w:val="14"/>
                <w:color w:val="auto"/>
              </w:rPr>
              <w:t>[†]</w:t>
            </w:r>
          </w:p>
        </w:tc>
        <w:tc>
          <w:tcPr>
            <w:tcW w:w="1120" w:type="dxa"/>
            <w:vAlign w:val="bottom"/>
            <w:tcBorders>
              <w:bottom w:val="single" w:sz="8" w:color="auto"/>
              <w:right w:val="single" w:sz="8" w:color="auto"/>
            </w:tcBorders>
          </w:tcPr>
          <w:p>
            <w:pPr>
              <w:ind w:left="260"/>
              <w:spacing w:after="0" w:line="142" w:lineRule="exact"/>
              <w:rPr>
                <w:sz w:val="20"/>
                <w:szCs w:val="20"/>
                <w:color w:val="auto"/>
              </w:rPr>
            </w:pPr>
            <w:r>
              <w:rPr>
                <w:rFonts w:ascii="Arial" w:cs="Arial" w:eastAsia="Arial" w:hAnsi="Arial"/>
                <w:sz w:val="14"/>
                <w:szCs w:val="14"/>
                <w:color w:val="auto"/>
              </w:rPr>
              <w:t>[†]</w:t>
            </w:r>
          </w:p>
        </w:tc>
        <w:tc>
          <w:tcPr>
            <w:tcW w:w="1060" w:type="dxa"/>
            <w:vAlign w:val="bottom"/>
            <w:tcBorders>
              <w:bottom w:val="single" w:sz="8" w:color="auto"/>
              <w:right w:val="single" w:sz="8" w:color="auto"/>
            </w:tcBorders>
          </w:tcPr>
          <w:p>
            <w:pPr>
              <w:spacing w:after="0" w:line="142" w:lineRule="exact"/>
              <w:rPr>
                <w:sz w:val="20"/>
                <w:szCs w:val="20"/>
                <w:color w:val="auto"/>
              </w:rPr>
            </w:pPr>
            <w:r>
              <w:rPr>
                <w:rFonts w:ascii="Arial" w:cs="Arial" w:eastAsia="Arial" w:hAnsi="Arial"/>
                <w:sz w:val="14"/>
                <w:szCs w:val="14"/>
                <w:color w:val="auto"/>
              </w:rPr>
              <w:t>[†]</w:t>
            </w:r>
          </w:p>
        </w:tc>
        <w:tc>
          <w:tcPr>
            <w:tcW w:w="1180" w:type="dxa"/>
            <w:vAlign w:val="bottom"/>
            <w:tcBorders>
              <w:bottom w:val="single" w:sz="8" w:color="auto"/>
            </w:tcBorders>
          </w:tcPr>
          <w:p>
            <w:pPr>
              <w:jc w:val="right"/>
              <w:ind w:right="948"/>
              <w:spacing w:after="0" w:line="142" w:lineRule="exact"/>
              <w:rPr>
                <w:sz w:val="20"/>
                <w:szCs w:val="20"/>
                <w:color w:val="auto"/>
              </w:rPr>
            </w:pPr>
            <w:r>
              <w:rPr>
                <w:rFonts w:ascii="Arial" w:cs="Arial" w:eastAsia="Arial" w:hAnsi="Arial"/>
                <w:sz w:val="14"/>
                <w:szCs w:val="14"/>
                <w:color w:val="auto"/>
                <w:w w:val="89"/>
              </w:rPr>
              <w:t>[†]</w:t>
            </w:r>
          </w:p>
        </w:tc>
      </w:tr>
      <w:tr>
        <w:trPr>
          <w:trHeight w:val="142"/>
        </w:trPr>
        <w:tc>
          <w:tcPr>
            <w:tcW w:w="920" w:type="dxa"/>
            <w:vAlign w:val="bottom"/>
            <w:tcBorders>
              <w:bottom w:val="single" w:sz="8" w:color="auto"/>
            </w:tcBorders>
          </w:tcPr>
          <w:p>
            <w:pPr>
              <w:ind w:left="20"/>
              <w:spacing w:after="0" w:line="142" w:lineRule="exact"/>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tcPr>
          <w:p>
            <w:pPr>
              <w:ind w:left="260"/>
              <w:spacing w:after="0" w:line="142" w:lineRule="exact"/>
              <w:rPr>
                <w:sz w:val="20"/>
                <w:szCs w:val="20"/>
                <w:color w:val="auto"/>
              </w:rPr>
            </w:pPr>
            <w:r>
              <w:rPr>
                <w:rFonts w:ascii="Arial" w:cs="Arial" w:eastAsia="Arial" w:hAnsi="Arial"/>
                <w:sz w:val="14"/>
                <w:szCs w:val="14"/>
                <w:color w:val="auto"/>
              </w:rPr>
              <w:t>[†]</w:t>
            </w:r>
          </w:p>
        </w:tc>
        <w:tc>
          <w:tcPr>
            <w:tcW w:w="1680" w:type="dxa"/>
            <w:vAlign w:val="bottom"/>
            <w:tcBorders>
              <w:bottom w:val="single" w:sz="8" w:color="auto"/>
            </w:tcBorders>
          </w:tcPr>
          <w:p>
            <w:pPr>
              <w:ind w:left="320"/>
              <w:spacing w:after="0" w:line="142" w:lineRule="exact"/>
              <w:rPr>
                <w:sz w:val="20"/>
                <w:szCs w:val="20"/>
                <w:color w:val="auto"/>
              </w:rPr>
            </w:pPr>
            <w:r>
              <w:rPr>
                <w:rFonts w:ascii="Arial" w:cs="Arial" w:eastAsia="Arial" w:hAnsi="Arial"/>
                <w:sz w:val="14"/>
                <w:szCs w:val="14"/>
                <w:color w:val="auto"/>
              </w:rPr>
              <w:t>[†]</w:t>
            </w:r>
          </w:p>
        </w:tc>
        <w:tc>
          <w:tcPr>
            <w:tcW w:w="1620" w:type="dxa"/>
            <w:vAlign w:val="bottom"/>
            <w:tcBorders>
              <w:bottom w:val="single" w:sz="8" w:color="auto"/>
            </w:tcBorders>
          </w:tcPr>
          <w:p>
            <w:pPr>
              <w:ind w:left="1100"/>
              <w:spacing w:after="0" w:line="142" w:lineRule="exact"/>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tcPr>
          <w:p>
            <w:pPr>
              <w:ind w:left="220"/>
              <w:spacing w:after="0" w:line="142" w:lineRule="exact"/>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tcPr>
          <w:p>
            <w:pPr>
              <w:ind w:left="480"/>
              <w:spacing w:after="0" w:line="142" w:lineRule="exact"/>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tcPr>
          <w:p>
            <w:pPr>
              <w:ind w:left="240"/>
              <w:spacing w:after="0" w:line="142" w:lineRule="exact"/>
              <w:rPr>
                <w:sz w:val="20"/>
                <w:szCs w:val="20"/>
                <w:color w:val="auto"/>
              </w:rPr>
            </w:pPr>
            <w:r>
              <w:rPr>
                <w:rFonts w:ascii="Arial" w:cs="Arial" w:eastAsia="Arial" w:hAnsi="Arial"/>
                <w:sz w:val="14"/>
                <w:szCs w:val="14"/>
                <w:color w:val="auto"/>
              </w:rPr>
              <w:t>[†]</w:t>
            </w:r>
          </w:p>
        </w:tc>
        <w:tc>
          <w:tcPr>
            <w:tcW w:w="1120" w:type="dxa"/>
            <w:vAlign w:val="bottom"/>
            <w:tcBorders>
              <w:bottom w:val="single" w:sz="8" w:color="auto"/>
              <w:right w:val="single" w:sz="8" w:color="auto"/>
            </w:tcBorders>
          </w:tcPr>
          <w:p>
            <w:pPr>
              <w:spacing w:after="0"/>
              <w:rPr>
                <w:sz w:val="12"/>
                <w:szCs w:val="12"/>
                <w:color w:val="auto"/>
              </w:rPr>
            </w:pPr>
          </w:p>
        </w:tc>
        <w:tc>
          <w:tcPr>
            <w:tcW w:w="1060" w:type="dxa"/>
            <w:vAlign w:val="bottom"/>
            <w:tcBorders>
              <w:bottom w:val="single" w:sz="8" w:color="auto"/>
              <w:right w:val="single" w:sz="8" w:color="auto"/>
            </w:tcBorders>
          </w:tcPr>
          <w:p>
            <w:pPr>
              <w:spacing w:after="0"/>
              <w:rPr>
                <w:sz w:val="12"/>
                <w:szCs w:val="12"/>
                <w:color w:val="auto"/>
              </w:rPr>
            </w:pPr>
          </w:p>
        </w:tc>
        <w:tc>
          <w:tcPr>
            <w:tcW w:w="1180" w:type="dxa"/>
            <w:vAlign w:val="bottom"/>
            <w:tcBorders>
              <w:bottom w:val="single" w:sz="8" w:color="auto"/>
            </w:tcBorders>
          </w:tcPr>
          <w:p>
            <w:pPr>
              <w:jc w:val="right"/>
              <w:ind w:right="948"/>
              <w:spacing w:after="0" w:line="142" w:lineRule="exact"/>
              <w:rPr>
                <w:sz w:val="20"/>
                <w:szCs w:val="20"/>
                <w:color w:val="auto"/>
              </w:rPr>
            </w:pPr>
            <w:r>
              <w:rPr>
                <w:rFonts w:ascii="Arial" w:cs="Arial" w:eastAsia="Arial" w:hAnsi="Arial"/>
                <w:sz w:val="14"/>
                <w:szCs w:val="14"/>
                <w:color w:val="auto"/>
                <w:w w:val="89"/>
              </w:rPr>
              <w:t>[†]</w:t>
            </w:r>
          </w:p>
        </w:tc>
      </w:tr>
      <w:tr>
        <w:trPr>
          <w:trHeight w:val="142"/>
        </w:trPr>
        <w:tc>
          <w:tcPr>
            <w:tcW w:w="920" w:type="dxa"/>
            <w:vAlign w:val="bottom"/>
            <w:tcBorders>
              <w:bottom w:val="single" w:sz="8" w:color="auto"/>
            </w:tcBorders>
          </w:tcPr>
          <w:p>
            <w:pPr>
              <w:ind w:left="20"/>
              <w:spacing w:after="0" w:line="142" w:lineRule="exact"/>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tcPr>
          <w:p>
            <w:pPr>
              <w:ind w:left="260"/>
              <w:spacing w:after="0" w:line="142" w:lineRule="exact"/>
              <w:rPr>
                <w:sz w:val="20"/>
                <w:szCs w:val="20"/>
                <w:color w:val="auto"/>
              </w:rPr>
            </w:pPr>
            <w:r>
              <w:rPr>
                <w:rFonts w:ascii="Arial" w:cs="Arial" w:eastAsia="Arial" w:hAnsi="Arial"/>
                <w:sz w:val="14"/>
                <w:szCs w:val="14"/>
                <w:color w:val="auto"/>
              </w:rPr>
              <w:t>[†]</w:t>
            </w:r>
          </w:p>
        </w:tc>
        <w:tc>
          <w:tcPr>
            <w:tcW w:w="1680" w:type="dxa"/>
            <w:vAlign w:val="bottom"/>
            <w:tcBorders>
              <w:bottom w:val="single" w:sz="8" w:color="auto"/>
            </w:tcBorders>
          </w:tcPr>
          <w:p>
            <w:pPr>
              <w:ind w:left="320"/>
              <w:spacing w:after="0" w:line="142" w:lineRule="exact"/>
              <w:rPr>
                <w:sz w:val="20"/>
                <w:szCs w:val="20"/>
                <w:color w:val="auto"/>
              </w:rPr>
            </w:pPr>
            <w:r>
              <w:rPr>
                <w:rFonts w:ascii="Arial" w:cs="Arial" w:eastAsia="Arial" w:hAnsi="Arial"/>
                <w:sz w:val="14"/>
                <w:szCs w:val="14"/>
                <w:color w:val="auto"/>
              </w:rPr>
              <w:t>[†]</w:t>
            </w:r>
          </w:p>
        </w:tc>
        <w:tc>
          <w:tcPr>
            <w:tcW w:w="1620" w:type="dxa"/>
            <w:vAlign w:val="bottom"/>
            <w:tcBorders>
              <w:bottom w:val="single" w:sz="8" w:color="auto"/>
            </w:tcBorders>
          </w:tcPr>
          <w:p>
            <w:pPr>
              <w:ind w:left="1100"/>
              <w:spacing w:after="0" w:line="142" w:lineRule="exact"/>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tcPr>
          <w:p>
            <w:pPr>
              <w:ind w:left="220"/>
              <w:spacing w:after="0" w:line="142" w:lineRule="exact"/>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tcPr>
          <w:p>
            <w:pPr>
              <w:ind w:left="480"/>
              <w:spacing w:after="0" w:line="142" w:lineRule="exact"/>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tcPr>
          <w:p>
            <w:pPr>
              <w:ind w:left="240"/>
              <w:spacing w:after="0" w:line="142" w:lineRule="exact"/>
              <w:rPr>
                <w:sz w:val="20"/>
                <w:szCs w:val="20"/>
                <w:color w:val="auto"/>
              </w:rPr>
            </w:pPr>
            <w:r>
              <w:rPr>
                <w:rFonts w:ascii="Arial" w:cs="Arial" w:eastAsia="Arial" w:hAnsi="Arial"/>
                <w:sz w:val="14"/>
                <w:szCs w:val="14"/>
                <w:color w:val="auto"/>
              </w:rPr>
              <w:t>[†]</w:t>
            </w:r>
          </w:p>
        </w:tc>
        <w:tc>
          <w:tcPr>
            <w:tcW w:w="1120" w:type="dxa"/>
            <w:vAlign w:val="bottom"/>
            <w:tcBorders>
              <w:bottom w:val="single" w:sz="8" w:color="auto"/>
              <w:right w:val="single" w:sz="8" w:color="auto"/>
            </w:tcBorders>
          </w:tcPr>
          <w:p>
            <w:pPr>
              <w:ind w:left="260"/>
              <w:spacing w:after="0" w:line="142" w:lineRule="exact"/>
              <w:rPr>
                <w:sz w:val="20"/>
                <w:szCs w:val="20"/>
                <w:color w:val="auto"/>
              </w:rPr>
            </w:pPr>
            <w:r>
              <w:rPr>
                <w:rFonts w:ascii="Arial" w:cs="Arial" w:eastAsia="Arial" w:hAnsi="Arial"/>
                <w:sz w:val="14"/>
                <w:szCs w:val="14"/>
                <w:color w:val="auto"/>
              </w:rPr>
              <w:t>[†]</w:t>
            </w:r>
          </w:p>
        </w:tc>
        <w:tc>
          <w:tcPr>
            <w:tcW w:w="1060" w:type="dxa"/>
            <w:vAlign w:val="bottom"/>
            <w:tcBorders>
              <w:bottom w:val="single" w:sz="8" w:color="auto"/>
              <w:right w:val="single" w:sz="8" w:color="auto"/>
            </w:tcBorders>
          </w:tcPr>
          <w:p>
            <w:pPr>
              <w:spacing w:after="0" w:line="142" w:lineRule="exact"/>
              <w:rPr>
                <w:sz w:val="20"/>
                <w:szCs w:val="20"/>
                <w:color w:val="auto"/>
              </w:rPr>
            </w:pPr>
            <w:r>
              <w:rPr>
                <w:rFonts w:ascii="Arial" w:cs="Arial" w:eastAsia="Arial" w:hAnsi="Arial"/>
                <w:sz w:val="14"/>
                <w:szCs w:val="14"/>
                <w:color w:val="auto"/>
              </w:rPr>
              <w:t>[†]</w:t>
            </w:r>
          </w:p>
        </w:tc>
        <w:tc>
          <w:tcPr>
            <w:tcW w:w="1180" w:type="dxa"/>
            <w:vAlign w:val="bottom"/>
            <w:tcBorders>
              <w:bottom w:val="single" w:sz="8" w:color="auto"/>
            </w:tcBorders>
          </w:tcPr>
          <w:p>
            <w:pPr>
              <w:jc w:val="right"/>
              <w:ind w:right="948"/>
              <w:spacing w:after="0" w:line="142" w:lineRule="exact"/>
              <w:rPr>
                <w:sz w:val="20"/>
                <w:szCs w:val="20"/>
                <w:color w:val="auto"/>
              </w:rPr>
            </w:pPr>
            <w:r>
              <w:rPr>
                <w:rFonts w:ascii="Arial" w:cs="Arial" w:eastAsia="Arial" w:hAnsi="Arial"/>
                <w:sz w:val="14"/>
                <w:szCs w:val="14"/>
                <w:color w:val="auto"/>
                <w:w w:val="89"/>
              </w:rPr>
              <w:t>[†]</w:t>
            </w:r>
          </w:p>
        </w:tc>
      </w:tr>
      <w:tr>
        <w:trPr>
          <w:trHeight w:val="142"/>
        </w:trPr>
        <w:tc>
          <w:tcPr>
            <w:tcW w:w="920" w:type="dxa"/>
            <w:vAlign w:val="bottom"/>
            <w:tcBorders>
              <w:bottom w:val="single" w:sz="8" w:color="auto"/>
            </w:tcBorders>
          </w:tcPr>
          <w:p>
            <w:pPr>
              <w:ind w:left="20"/>
              <w:spacing w:after="0" w:line="142" w:lineRule="exact"/>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tcPr>
          <w:p>
            <w:pPr>
              <w:ind w:left="260"/>
              <w:spacing w:after="0" w:line="142" w:lineRule="exact"/>
              <w:rPr>
                <w:sz w:val="20"/>
                <w:szCs w:val="20"/>
                <w:color w:val="auto"/>
              </w:rPr>
            </w:pPr>
            <w:r>
              <w:rPr>
                <w:rFonts w:ascii="Arial" w:cs="Arial" w:eastAsia="Arial" w:hAnsi="Arial"/>
                <w:sz w:val="14"/>
                <w:szCs w:val="14"/>
                <w:color w:val="auto"/>
              </w:rPr>
              <w:t>[†]</w:t>
            </w:r>
          </w:p>
        </w:tc>
        <w:tc>
          <w:tcPr>
            <w:tcW w:w="1680" w:type="dxa"/>
            <w:vAlign w:val="bottom"/>
            <w:tcBorders>
              <w:bottom w:val="single" w:sz="8" w:color="auto"/>
            </w:tcBorders>
          </w:tcPr>
          <w:p>
            <w:pPr>
              <w:ind w:left="320"/>
              <w:spacing w:after="0" w:line="142" w:lineRule="exact"/>
              <w:rPr>
                <w:sz w:val="20"/>
                <w:szCs w:val="20"/>
                <w:color w:val="auto"/>
              </w:rPr>
            </w:pPr>
            <w:r>
              <w:rPr>
                <w:rFonts w:ascii="Arial" w:cs="Arial" w:eastAsia="Arial" w:hAnsi="Arial"/>
                <w:sz w:val="14"/>
                <w:szCs w:val="14"/>
                <w:color w:val="auto"/>
              </w:rPr>
              <w:t>[†]</w:t>
            </w:r>
          </w:p>
        </w:tc>
        <w:tc>
          <w:tcPr>
            <w:tcW w:w="1620" w:type="dxa"/>
            <w:vAlign w:val="bottom"/>
            <w:tcBorders>
              <w:bottom w:val="single" w:sz="8" w:color="auto"/>
            </w:tcBorders>
          </w:tcPr>
          <w:p>
            <w:pPr>
              <w:ind w:left="1100"/>
              <w:spacing w:after="0" w:line="142" w:lineRule="exact"/>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tcPr>
          <w:p>
            <w:pPr>
              <w:ind w:left="220"/>
              <w:spacing w:after="0" w:line="142" w:lineRule="exact"/>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tcPr>
          <w:p>
            <w:pPr>
              <w:ind w:left="480"/>
              <w:spacing w:after="0" w:line="142" w:lineRule="exact"/>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tcPr>
          <w:p>
            <w:pPr>
              <w:ind w:left="240"/>
              <w:spacing w:after="0" w:line="142" w:lineRule="exact"/>
              <w:rPr>
                <w:sz w:val="20"/>
                <w:szCs w:val="20"/>
                <w:color w:val="auto"/>
              </w:rPr>
            </w:pPr>
            <w:r>
              <w:rPr>
                <w:rFonts w:ascii="Arial" w:cs="Arial" w:eastAsia="Arial" w:hAnsi="Arial"/>
                <w:sz w:val="14"/>
                <w:szCs w:val="14"/>
                <w:color w:val="auto"/>
              </w:rPr>
              <w:t>[†]</w:t>
            </w:r>
          </w:p>
        </w:tc>
        <w:tc>
          <w:tcPr>
            <w:tcW w:w="1120" w:type="dxa"/>
            <w:vAlign w:val="bottom"/>
            <w:tcBorders>
              <w:bottom w:val="single" w:sz="8" w:color="auto"/>
              <w:right w:val="single" w:sz="8" w:color="auto"/>
            </w:tcBorders>
          </w:tcPr>
          <w:p>
            <w:pPr>
              <w:spacing w:after="0"/>
              <w:rPr>
                <w:sz w:val="12"/>
                <w:szCs w:val="12"/>
                <w:color w:val="auto"/>
              </w:rPr>
            </w:pPr>
          </w:p>
        </w:tc>
        <w:tc>
          <w:tcPr>
            <w:tcW w:w="1060" w:type="dxa"/>
            <w:vAlign w:val="bottom"/>
            <w:tcBorders>
              <w:bottom w:val="single" w:sz="8" w:color="auto"/>
              <w:right w:val="single" w:sz="8" w:color="auto"/>
            </w:tcBorders>
          </w:tcPr>
          <w:p>
            <w:pPr>
              <w:spacing w:after="0"/>
              <w:rPr>
                <w:sz w:val="12"/>
                <w:szCs w:val="12"/>
                <w:color w:val="auto"/>
              </w:rPr>
            </w:pPr>
          </w:p>
        </w:tc>
        <w:tc>
          <w:tcPr>
            <w:tcW w:w="1180" w:type="dxa"/>
            <w:vAlign w:val="bottom"/>
            <w:tcBorders>
              <w:bottom w:val="single" w:sz="8" w:color="auto"/>
            </w:tcBorders>
          </w:tcPr>
          <w:p>
            <w:pPr>
              <w:jc w:val="right"/>
              <w:ind w:right="948"/>
              <w:spacing w:after="0" w:line="142" w:lineRule="exact"/>
              <w:rPr>
                <w:sz w:val="20"/>
                <w:szCs w:val="20"/>
                <w:color w:val="auto"/>
              </w:rPr>
            </w:pPr>
            <w:r>
              <w:rPr>
                <w:rFonts w:ascii="Arial" w:cs="Arial" w:eastAsia="Arial" w:hAnsi="Arial"/>
                <w:sz w:val="14"/>
                <w:szCs w:val="14"/>
                <w:color w:val="auto"/>
                <w:w w:val="89"/>
              </w:rPr>
              <w:t>[†]</w:t>
            </w:r>
          </w:p>
        </w:tc>
      </w:tr>
      <w:tr>
        <w:trPr>
          <w:trHeight w:val="142"/>
        </w:trPr>
        <w:tc>
          <w:tcPr>
            <w:tcW w:w="920" w:type="dxa"/>
            <w:vAlign w:val="bottom"/>
            <w:tcBorders>
              <w:bottom w:val="single" w:sz="8" w:color="auto"/>
            </w:tcBorders>
          </w:tcPr>
          <w:p>
            <w:pPr>
              <w:ind w:left="20"/>
              <w:spacing w:after="0" w:line="142" w:lineRule="exact"/>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tcPr>
          <w:p>
            <w:pPr>
              <w:ind w:left="260"/>
              <w:spacing w:after="0" w:line="142" w:lineRule="exact"/>
              <w:rPr>
                <w:sz w:val="20"/>
                <w:szCs w:val="20"/>
                <w:color w:val="auto"/>
              </w:rPr>
            </w:pPr>
            <w:r>
              <w:rPr>
                <w:rFonts w:ascii="Arial" w:cs="Arial" w:eastAsia="Arial" w:hAnsi="Arial"/>
                <w:sz w:val="14"/>
                <w:szCs w:val="14"/>
                <w:color w:val="auto"/>
              </w:rPr>
              <w:t>[†]</w:t>
            </w:r>
          </w:p>
        </w:tc>
        <w:tc>
          <w:tcPr>
            <w:tcW w:w="1680" w:type="dxa"/>
            <w:vAlign w:val="bottom"/>
            <w:tcBorders>
              <w:bottom w:val="single" w:sz="8" w:color="auto"/>
            </w:tcBorders>
          </w:tcPr>
          <w:p>
            <w:pPr>
              <w:ind w:left="320"/>
              <w:spacing w:after="0" w:line="142" w:lineRule="exact"/>
              <w:rPr>
                <w:sz w:val="20"/>
                <w:szCs w:val="20"/>
                <w:color w:val="auto"/>
              </w:rPr>
            </w:pPr>
            <w:r>
              <w:rPr>
                <w:rFonts w:ascii="Arial" w:cs="Arial" w:eastAsia="Arial" w:hAnsi="Arial"/>
                <w:sz w:val="14"/>
                <w:szCs w:val="14"/>
                <w:color w:val="auto"/>
              </w:rPr>
              <w:t>[†]</w:t>
            </w:r>
          </w:p>
        </w:tc>
        <w:tc>
          <w:tcPr>
            <w:tcW w:w="1620" w:type="dxa"/>
            <w:vAlign w:val="bottom"/>
            <w:tcBorders>
              <w:bottom w:val="single" w:sz="8" w:color="auto"/>
            </w:tcBorders>
          </w:tcPr>
          <w:p>
            <w:pPr>
              <w:ind w:left="1100"/>
              <w:spacing w:after="0" w:line="142" w:lineRule="exact"/>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tcPr>
          <w:p>
            <w:pPr>
              <w:ind w:left="220"/>
              <w:spacing w:after="0" w:line="142" w:lineRule="exact"/>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tcPr>
          <w:p>
            <w:pPr>
              <w:ind w:left="480"/>
              <w:spacing w:after="0" w:line="142" w:lineRule="exact"/>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tcPr>
          <w:p>
            <w:pPr>
              <w:ind w:left="240"/>
              <w:spacing w:after="0" w:line="142" w:lineRule="exact"/>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tcPr>
          <w:p>
            <w:pPr>
              <w:ind w:left="260"/>
              <w:spacing w:after="0" w:line="142" w:lineRule="exact"/>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tcPr>
          <w:p>
            <w:pPr>
              <w:spacing w:after="0"/>
              <w:rPr>
                <w:sz w:val="12"/>
                <w:szCs w:val="12"/>
                <w:color w:val="auto"/>
              </w:rPr>
            </w:pPr>
          </w:p>
        </w:tc>
      </w:tr>
      <w:tr>
        <w:trPr>
          <w:trHeight w:val="142"/>
        </w:trPr>
        <w:tc>
          <w:tcPr>
            <w:tcW w:w="920" w:type="dxa"/>
            <w:vAlign w:val="bottom"/>
            <w:tcBorders>
              <w:bottom w:val="single" w:sz="8" w:color="auto"/>
            </w:tcBorders>
          </w:tcPr>
          <w:p>
            <w:pPr>
              <w:ind w:left="20"/>
              <w:spacing w:after="0" w:line="142" w:lineRule="exact"/>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tcPr>
          <w:p>
            <w:pPr>
              <w:ind w:left="260"/>
              <w:spacing w:after="0" w:line="142" w:lineRule="exact"/>
              <w:rPr>
                <w:sz w:val="20"/>
                <w:szCs w:val="20"/>
                <w:color w:val="auto"/>
              </w:rPr>
            </w:pPr>
            <w:r>
              <w:rPr>
                <w:rFonts w:ascii="Arial" w:cs="Arial" w:eastAsia="Arial" w:hAnsi="Arial"/>
                <w:sz w:val="14"/>
                <w:szCs w:val="14"/>
                <w:color w:val="auto"/>
              </w:rPr>
              <w:t>[†]</w:t>
            </w:r>
          </w:p>
        </w:tc>
        <w:tc>
          <w:tcPr>
            <w:tcW w:w="1680" w:type="dxa"/>
            <w:vAlign w:val="bottom"/>
            <w:tcBorders>
              <w:bottom w:val="single" w:sz="8" w:color="auto"/>
            </w:tcBorders>
          </w:tcPr>
          <w:p>
            <w:pPr>
              <w:ind w:left="320"/>
              <w:spacing w:after="0" w:line="142" w:lineRule="exact"/>
              <w:rPr>
                <w:sz w:val="20"/>
                <w:szCs w:val="20"/>
                <w:color w:val="auto"/>
              </w:rPr>
            </w:pPr>
            <w:r>
              <w:rPr>
                <w:rFonts w:ascii="Arial" w:cs="Arial" w:eastAsia="Arial" w:hAnsi="Arial"/>
                <w:sz w:val="14"/>
                <w:szCs w:val="14"/>
                <w:color w:val="auto"/>
              </w:rPr>
              <w:t>[†]</w:t>
            </w:r>
          </w:p>
        </w:tc>
        <w:tc>
          <w:tcPr>
            <w:tcW w:w="162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ind w:left="260"/>
              <w:spacing w:after="0" w:line="142" w:lineRule="exact"/>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tcPr>
          <w:p>
            <w:pPr>
              <w:spacing w:after="0" w:line="142" w:lineRule="exact"/>
              <w:rPr>
                <w:sz w:val="20"/>
                <w:szCs w:val="20"/>
                <w:color w:val="auto"/>
              </w:rPr>
            </w:pPr>
            <w:r>
              <w:rPr>
                <w:rFonts w:ascii="Arial" w:cs="Arial" w:eastAsia="Arial" w:hAnsi="Arial"/>
                <w:sz w:val="14"/>
                <w:szCs w:val="14"/>
                <w:color w:val="auto"/>
              </w:rPr>
              <w:t>[†]</w:t>
            </w:r>
          </w:p>
        </w:tc>
        <w:tc>
          <w:tcPr>
            <w:tcW w:w="1180" w:type="dxa"/>
            <w:vAlign w:val="bottom"/>
            <w:tcBorders>
              <w:bottom w:val="single" w:sz="8" w:color="auto"/>
            </w:tcBorders>
          </w:tcPr>
          <w:p>
            <w:pPr>
              <w:jc w:val="right"/>
              <w:ind w:right="948"/>
              <w:spacing w:after="0" w:line="142" w:lineRule="exact"/>
              <w:rPr>
                <w:sz w:val="20"/>
                <w:szCs w:val="20"/>
                <w:color w:val="auto"/>
              </w:rPr>
            </w:pPr>
            <w:r>
              <w:rPr>
                <w:rFonts w:ascii="Arial" w:cs="Arial" w:eastAsia="Arial" w:hAnsi="Arial"/>
                <w:sz w:val="14"/>
                <w:szCs w:val="14"/>
                <w:color w:val="auto"/>
                <w:w w:val="89"/>
              </w:rPr>
              <w:t>[†]</w:t>
            </w:r>
          </w:p>
        </w:tc>
      </w:tr>
      <w:tr>
        <w:trPr>
          <w:trHeight w:val="142"/>
        </w:trPr>
        <w:tc>
          <w:tcPr>
            <w:tcW w:w="920" w:type="dxa"/>
            <w:vAlign w:val="bottom"/>
            <w:tcBorders>
              <w:bottom w:val="single" w:sz="8" w:color="auto"/>
            </w:tcBorders>
          </w:tcPr>
          <w:p>
            <w:pPr>
              <w:ind w:left="20"/>
              <w:spacing w:after="0" w:line="142" w:lineRule="exact"/>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tcPr>
          <w:p>
            <w:pPr>
              <w:ind w:left="260"/>
              <w:spacing w:after="0" w:line="142" w:lineRule="exact"/>
              <w:rPr>
                <w:sz w:val="20"/>
                <w:szCs w:val="20"/>
                <w:color w:val="auto"/>
              </w:rPr>
            </w:pPr>
            <w:r>
              <w:rPr>
                <w:rFonts w:ascii="Arial" w:cs="Arial" w:eastAsia="Arial" w:hAnsi="Arial"/>
                <w:sz w:val="14"/>
                <w:szCs w:val="14"/>
                <w:color w:val="auto"/>
              </w:rPr>
              <w:t>[†]</w:t>
            </w:r>
          </w:p>
        </w:tc>
        <w:tc>
          <w:tcPr>
            <w:tcW w:w="1680" w:type="dxa"/>
            <w:vAlign w:val="bottom"/>
            <w:tcBorders>
              <w:bottom w:val="single" w:sz="8" w:color="auto"/>
            </w:tcBorders>
          </w:tcPr>
          <w:p>
            <w:pPr>
              <w:ind w:left="320"/>
              <w:spacing w:after="0" w:line="142" w:lineRule="exact"/>
              <w:rPr>
                <w:sz w:val="20"/>
                <w:szCs w:val="20"/>
                <w:color w:val="auto"/>
              </w:rPr>
            </w:pPr>
            <w:r>
              <w:rPr>
                <w:rFonts w:ascii="Arial" w:cs="Arial" w:eastAsia="Arial" w:hAnsi="Arial"/>
                <w:sz w:val="14"/>
                <w:szCs w:val="14"/>
                <w:color w:val="auto"/>
              </w:rPr>
              <w:t>[†]</w:t>
            </w:r>
          </w:p>
        </w:tc>
        <w:tc>
          <w:tcPr>
            <w:tcW w:w="162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ind w:left="260"/>
              <w:spacing w:after="0" w:line="142" w:lineRule="exact"/>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tcPr>
          <w:p>
            <w:pPr>
              <w:spacing w:after="0" w:line="142" w:lineRule="exact"/>
              <w:rPr>
                <w:sz w:val="20"/>
                <w:szCs w:val="20"/>
                <w:color w:val="auto"/>
              </w:rPr>
            </w:pPr>
            <w:r>
              <w:rPr>
                <w:rFonts w:ascii="Arial" w:cs="Arial" w:eastAsia="Arial" w:hAnsi="Arial"/>
                <w:sz w:val="14"/>
                <w:szCs w:val="14"/>
                <w:color w:val="auto"/>
              </w:rPr>
              <w:t>[†]</w:t>
            </w:r>
          </w:p>
        </w:tc>
        <w:tc>
          <w:tcPr>
            <w:tcW w:w="1180" w:type="dxa"/>
            <w:vAlign w:val="bottom"/>
            <w:tcBorders>
              <w:bottom w:val="single" w:sz="8" w:color="auto"/>
            </w:tcBorders>
          </w:tcPr>
          <w:p>
            <w:pPr>
              <w:jc w:val="right"/>
              <w:ind w:right="948"/>
              <w:spacing w:after="0" w:line="142" w:lineRule="exact"/>
              <w:rPr>
                <w:sz w:val="20"/>
                <w:szCs w:val="20"/>
                <w:color w:val="auto"/>
              </w:rPr>
            </w:pPr>
            <w:r>
              <w:rPr>
                <w:rFonts w:ascii="Arial" w:cs="Arial" w:eastAsia="Arial" w:hAnsi="Arial"/>
                <w:sz w:val="14"/>
                <w:szCs w:val="14"/>
                <w:color w:val="auto"/>
                <w:w w:val="89"/>
              </w:rPr>
              <w:t>[†]</w:t>
            </w:r>
          </w:p>
        </w:tc>
      </w:tr>
      <w:tr>
        <w:trPr>
          <w:trHeight w:val="142"/>
        </w:trPr>
        <w:tc>
          <w:tcPr>
            <w:tcW w:w="920" w:type="dxa"/>
            <w:vAlign w:val="bottom"/>
            <w:tcBorders>
              <w:bottom w:val="single" w:sz="8" w:color="auto"/>
            </w:tcBorders>
          </w:tcPr>
          <w:p>
            <w:pPr>
              <w:ind w:left="20"/>
              <w:spacing w:after="0" w:line="142" w:lineRule="exact"/>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tcPr>
          <w:p>
            <w:pPr>
              <w:ind w:left="260"/>
              <w:spacing w:after="0" w:line="142" w:lineRule="exact"/>
              <w:rPr>
                <w:sz w:val="20"/>
                <w:szCs w:val="20"/>
                <w:color w:val="auto"/>
              </w:rPr>
            </w:pPr>
            <w:r>
              <w:rPr>
                <w:rFonts w:ascii="Arial" w:cs="Arial" w:eastAsia="Arial" w:hAnsi="Arial"/>
                <w:sz w:val="14"/>
                <w:szCs w:val="14"/>
                <w:color w:val="auto"/>
              </w:rPr>
              <w:t>[†]</w:t>
            </w:r>
          </w:p>
        </w:tc>
        <w:tc>
          <w:tcPr>
            <w:tcW w:w="1680" w:type="dxa"/>
            <w:vAlign w:val="bottom"/>
            <w:tcBorders>
              <w:bottom w:val="single" w:sz="8" w:color="auto"/>
            </w:tcBorders>
          </w:tcPr>
          <w:p>
            <w:pPr>
              <w:ind w:left="320"/>
              <w:spacing w:after="0" w:line="142" w:lineRule="exact"/>
              <w:rPr>
                <w:sz w:val="20"/>
                <w:szCs w:val="20"/>
                <w:color w:val="auto"/>
              </w:rPr>
            </w:pPr>
            <w:r>
              <w:rPr>
                <w:rFonts w:ascii="Arial" w:cs="Arial" w:eastAsia="Arial" w:hAnsi="Arial"/>
                <w:sz w:val="14"/>
                <w:szCs w:val="14"/>
                <w:color w:val="auto"/>
              </w:rPr>
              <w:t>[†]</w:t>
            </w:r>
          </w:p>
        </w:tc>
        <w:tc>
          <w:tcPr>
            <w:tcW w:w="162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ind w:left="260"/>
              <w:spacing w:after="0" w:line="142" w:lineRule="exact"/>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tcPr>
          <w:p>
            <w:pPr>
              <w:spacing w:after="0" w:line="142" w:lineRule="exact"/>
              <w:rPr>
                <w:sz w:val="20"/>
                <w:szCs w:val="20"/>
                <w:color w:val="auto"/>
              </w:rPr>
            </w:pPr>
            <w:r>
              <w:rPr>
                <w:rFonts w:ascii="Arial" w:cs="Arial" w:eastAsia="Arial" w:hAnsi="Arial"/>
                <w:sz w:val="14"/>
                <w:szCs w:val="14"/>
                <w:color w:val="auto"/>
              </w:rPr>
              <w:t>[†]</w:t>
            </w:r>
          </w:p>
        </w:tc>
        <w:tc>
          <w:tcPr>
            <w:tcW w:w="1180" w:type="dxa"/>
            <w:vAlign w:val="bottom"/>
            <w:tcBorders>
              <w:bottom w:val="single" w:sz="8" w:color="auto"/>
            </w:tcBorders>
          </w:tcPr>
          <w:p>
            <w:pPr>
              <w:jc w:val="right"/>
              <w:ind w:right="948"/>
              <w:spacing w:after="0" w:line="142" w:lineRule="exact"/>
              <w:rPr>
                <w:sz w:val="20"/>
                <w:szCs w:val="20"/>
                <w:color w:val="auto"/>
              </w:rPr>
            </w:pPr>
            <w:r>
              <w:rPr>
                <w:rFonts w:ascii="Arial" w:cs="Arial" w:eastAsia="Arial" w:hAnsi="Arial"/>
                <w:sz w:val="14"/>
                <w:szCs w:val="14"/>
                <w:color w:val="auto"/>
                <w:w w:val="89"/>
              </w:rPr>
              <w:t>[†]</w:t>
            </w:r>
          </w:p>
        </w:tc>
      </w:tr>
      <w:tr>
        <w:trPr>
          <w:trHeight w:val="142"/>
        </w:trPr>
        <w:tc>
          <w:tcPr>
            <w:tcW w:w="920" w:type="dxa"/>
            <w:vAlign w:val="bottom"/>
            <w:tcBorders>
              <w:bottom w:val="single" w:sz="8" w:color="auto"/>
            </w:tcBorders>
          </w:tcPr>
          <w:p>
            <w:pPr>
              <w:ind w:left="20"/>
              <w:spacing w:after="0" w:line="142" w:lineRule="exact"/>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tcPr>
          <w:p>
            <w:pPr>
              <w:ind w:left="260"/>
              <w:spacing w:after="0" w:line="142" w:lineRule="exact"/>
              <w:rPr>
                <w:sz w:val="20"/>
                <w:szCs w:val="20"/>
                <w:color w:val="auto"/>
              </w:rPr>
            </w:pPr>
            <w:r>
              <w:rPr>
                <w:rFonts w:ascii="Arial" w:cs="Arial" w:eastAsia="Arial" w:hAnsi="Arial"/>
                <w:sz w:val="14"/>
                <w:szCs w:val="14"/>
                <w:color w:val="auto"/>
              </w:rPr>
              <w:t>[†]</w:t>
            </w:r>
          </w:p>
        </w:tc>
        <w:tc>
          <w:tcPr>
            <w:tcW w:w="1680" w:type="dxa"/>
            <w:vAlign w:val="bottom"/>
            <w:tcBorders>
              <w:bottom w:val="single" w:sz="8" w:color="auto"/>
            </w:tcBorders>
          </w:tcPr>
          <w:p>
            <w:pPr>
              <w:ind w:left="320"/>
              <w:spacing w:after="0" w:line="142" w:lineRule="exact"/>
              <w:rPr>
                <w:sz w:val="20"/>
                <w:szCs w:val="20"/>
                <w:color w:val="auto"/>
              </w:rPr>
            </w:pPr>
            <w:r>
              <w:rPr>
                <w:rFonts w:ascii="Arial" w:cs="Arial" w:eastAsia="Arial" w:hAnsi="Arial"/>
                <w:sz w:val="14"/>
                <w:szCs w:val="14"/>
                <w:color w:val="auto"/>
              </w:rPr>
              <w:t>[†]</w:t>
            </w:r>
          </w:p>
        </w:tc>
        <w:tc>
          <w:tcPr>
            <w:tcW w:w="162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ind w:left="260"/>
              <w:spacing w:after="0" w:line="142" w:lineRule="exact"/>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tcPr>
          <w:p>
            <w:pPr>
              <w:spacing w:after="0" w:line="142" w:lineRule="exact"/>
              <w:rPr>
                <w:sz w:val="20"/>
                <w:szCs w:val="20"/>
                <w:color w:val="auto"/>
              </w:rPr>
            </w:pPr>
            <w:r>
              <w:rPr>
                <w:rFonts w:ascii="Arial" w:cs="Arial" w:eastAsia="Arial" w:hAnsi="Arial"/>
                <w:sz w:val="14"/>
                <w:szCs w:val="14"/>
                <w:color w:val="auto"/>
              </w:rPr>
              <w:t>[†]</w:t>
            </w:r>
          </w:p>
        </w:tc>
        <w:tc>
          <w:tcPr>
            <w:tcW w:w="1180" w:type="dxa"/>
            <w:vAlign w:val="bottom"/>
            <w:tcBorders>
              <w:bottom w:val="single" w:sz="8" w:color="auto"/>
            </w:tcBorders>
          </w:tcPr>
          <w:p>
            <w:pPr>
              <w:jc w:val="right"/>
              <w:ind w:right="948"/>
              <w:spacing w:after="0" w:line="142" w:lineRule="exact"/>
              <w:rPr>
                <w:sz w:val="20"/>
                <w:szCs w:val="20"/>
                <w:color w:val="auto"/>
              </w:rPr>
            </w:pPr>
            <w:r>
              <w:rPr>
                <w:rFonts w:ascii="Arial" w:cs="Arial" w:eastAsia="Arial" w:hAnsi="Arial"/>
                <w:sz w:val="14"/>
                <w:szCs w:val="14"/>
                <w:color w:val="auto"/>
                <w:w w:val="89"/>
              </w:rPr>
              <w:t>[†]</w:t>
            </w:r>
          </w:p>
        </w:tc>
      </w:tr>
      <w:tr>
        <w:trPr>
          <w:trHeight w:val="142"/>
        </w:trPr>
        <w:tc>
          <w:tcPr>
            <w:tcW w:w="920" w:type="dxa"/>
            <w:vAlign w:val="bottom"/>
            <w:tcBorders>
              <w:bottom w:val="single" w:sz="8" w:color="auto"/>
            </w:tcBorders>
          </w:tcPr>
          <w:p>
            <w:pPr>
              <w:ind w:left="20"/>
              <w:spacing w:after="0" w:line="142" w:lineRule="exact"/>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tcPr>
          <w:p>
            <w:pPr>
              <w:ind w:left="260"/>
              <w:spacing w:after="0" w:line="142" w:lineRule="exact"/>
              <w:rPr>
                <w:sz w:val="20"/>
                <w:szCs w:val="20"/>
                <w:color w:val="auto"/>
              </w:rPr>
            </w:pPr>
            <w:r>
              <w:rPr>
                <w:rFonts w:ascii="Arial" w:cs="Arial" w:eastAsia="Arial" w:hAnsi="Arial"/>
                <w:sz w:val="14"/>
                <w:szCs w:val="14"/>
                <w:color w:val="auto"/>
              </w:rPr>
              <w:t>[†]</w:t>
            </w:r>
          </w:p>
        </w:tc>
        <w:tc>
          <w:tcPr>
            <w:tcW w:w="1680" w:type="dxa"/>
            <w:vAlign w:val="bottom"/>
            <w:tcBorders>
              <w:bottom w:val="single" w:sz="8" w:color="auto"/>
            </w:tcBorders>
          </w:tcPr>
          <w:p>
            <w:pPr>
              <w:ind w:left="320"/>
              <w:spacing w:after="0" w:line="142" w:lineRule="exact"/>
              <w:rPr>
                <w:sz w:val="20"/>
                <w:szCs w:val="20"/>
                <w:color w:val="auto"/>
              </w:rPr>
            </w:pPr>
            <w:r>
              <w:rPr>
                <w:rFonts w:ascii="Arial" w:cs="Arial" w:eastAsia="Arial" w:hAnsi="Arial"/>
                <w:sz w:val="14"/>
                <w:szCs w:val="14"/>
                <w:color w:val="auto"/>
              </w:rPr>
              <w:t>[†]</w:t>
            </w:r>
          </w:p>
        </w:tc>
        <w:tc>
          <w:tcPr>
            <w:tcW w:w="162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ind w:left="260"/>
              <w:spacing w:after="0" w:line="142" w:lineRule="exact"/>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tcPr>
          <w:p>
            <w:pPr>
              <w:spacing w:after="0" w:line="142" w:lineRule="exact"/>
              <w:rPr>
                <w:sz w:val="20"/>
                <w:szCs w:val="20"/>
                <w:color w:val="auto"/>
              </w:rPr>
            </w:pPr>
            <w:r>
              <w:rPr>
                <w:rFonts w:ascii="Arial" w:cs="Arial" w:eastAsia="Arial" w:hAnsi="Arial"/>
                <w:sz w:val="14"/>
                <w:szCs w:val="14"/>
                <w:color w:val="auto"/>
              </w:rPr>
              <w:t>[†]</w:t>
            </w:r>
          </w:p>
        </w:tc>
        <w:tc>
          <w:tcPr>
            <w:tcW w:w="1180" w:type="dxa"/>
            <w:vAlign w:val="bottom"/>
            <w:tcBorders>
              <w:bottom w:val="single" w:sz="8" w:color="auto"/>
            </w:tcBorders>
          </w:tcPr>
          <w:p>
            <w:pPr>
              <w:jc w:val="right"/>
              <w:ind w:right="948"/>
              <w:spacing w:after="0" w:line="142" w:lineRule="exact"/>
              <w:rPr>
                <w:sz w:val="20"/>
                <w:szCs w:val="20"/>
                <w:color w:val="auto"/>
              </w:rPr>
            </w:pPr>
            <w:r>
              <w:rPr>
                <w:rFonts w:ascii="Arial" w:cs="Arial" w:eastAsia="Arial" w:hAnsi="Arial"/>
                <w:sz w:val="14"/>
                <w:szCs w:val="14"/>
                <w:color w:val="auto"/>
                <w:w w:val="89"/>
              </w:rPr>
              <w:t>[†]</w:t>
            </w:r>
          </w:p>
        </w:tc>
      </w:tr>
      <w:tr>
        <w:trPr>
          <w:trHeight w:val="142"/>
        </w:trPr>
        <w:tc>
          <w:tcPr>
            <w:tcW w:w="920" w:type="dxa"/>
            <w:vAlign w:val="bottom"/>
            <w:tcBorders>
              <w:bottom w:val="single" w:sz="8" w:color="auto"/>
            </w:tcBorders>
          </w:tcPr>
          <w:p>
            <w:pPr>
              <w:ind w:left="20"/>
              <w:spacing w:after="0" w:line="142" w:lineRule="exact"/>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tcPr>
          <w:p>
            <w:pPr>
              <w:ind w:left="260"/>
              <w:spacing w:after="0" w:line="142" w:lineRule="exact"/>
              <w:rPr>
                <w:sz w:val="20"/>
                <w:szCs w:val="20"/>
                <w:color w:val="auto"/>
              </w:rPr>
            </w:pPr>
            <w:r>
              <w:rPr>
                <w:rFonts w:ascii="Arial" w:cs="Arial" w:eastAsia="Arial" w:hAnsi="Arial"/>
                <w:sz w:val="14"/>
                <w:szCs w:val="14"/>
                <w:color w:val="auto"/>
              </w:rPr>
              <w:t>[†]</w:t>
            </w:r>
          </w:p>
        </w:tc>
        <w:tc>
          <w:tcPr>
            <w:tcW w:w="1680" w:type="dxa"/>
            <w:vAlign w:val="bottom"/>
            <w:tcBorders>
              <w:bottom w:val="single" w:sz="8" w:color="auto"/>
            </w:tcBorders>
          </w:tcPr>
          <w:p>
            <w:pPr>
              <w:ind w:left="320"/>
              <w:spacing w:after="0" w:line="142" w:lineRule="exact"/>
              <w:rPr>
                <w:sz w:val="20"/>
                <w:szCs w:val="20"/>
                <w:color w:val="auto"/>
              </w:rPr>
            </w:pPr>
            <w:r>
              <w:rPr>
                <w:rFonts w:ascii="Arial" w:cs="Arial" w:eastAsia="Arial" w:hAnsi="Arial"/>
                <w:sz w:val="14"/>
                <w:szCs w:val="14"/>
                <w:color w:val="auto"/>
              </w:rPr>
              <w:t>[†]</w:t>
            </w:r>
          </w:p>
        </w:tc>
        <w:tc>
          <w:tcPr>
            <w:tcW w:w="162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ind w:left="260"/>
              <w:spacing w:after="0" w:line="142" w:lineRule="exact"/>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tcPr>
          <w:p>
            <w:pPr>
              <w:spacing w:after="0" w:line="142" w:lineRule="exact"/>
              <w:rPr>
                <w:sz w:val="20"/>
                <w:szCs w:val="20"/>
                <w:color w:val="auto"/>
              </w:rPr>
            </w:pPr>
            <w:r>
              <w:rPr>
                <w:rFonts w:ascii="Arial" w:cs="Arial" w:eastAsia="Arial" w:hAnsi="Arial"/>
                <w:sz w:val="14"/>
                <w:szCs w:val="14"/>
                <w:color w:val="auto"/>
              </w:rPr>
              <w:t>[†]</w:t>
            </w:r>
          </w:p>
        </w:tc>
        <w:tc>
          <w:tcPr>
            <w:tcW w:w="1180" w:type="dxa"/>
            <w:vAlign w:val="bottom"/>
            <w:tcBorders>
              <w:bottom w:val="single" w:sz="8" w:color="auto"/>
            </w:tcBorders>
          </w:tcPr>
          <w:p>
            <w:pPr>
              <w:jc w:val="right"/>
              <w:ind w:right="948"/>
              <w:spacing w:after="0" w:line="142" w:lineRule="exact"/>
              <w:rPr>
                <w:sz w:val="20"/>
                <w:szCs w:val="20"/>
                <w:color w:val="auto"/>
              </w:rPr>
            </w:pPr>
            <w:r>
              <w:rPr>
                <w:rFonts w:ascii="Arial" w:cs="Arial" w:eastAsia="Arial" w:hAnsi="Arial"/>
                <w:sz w:val="14"/>
                <w:szCs w:val="14"/>
                <w:color w:val="auto"/>
                <w:w w:val="89"/>
              </w:rPr>
              <w:t>[†]</w:t>
            </w:r>
          </w:p>
        </w:tc>
      </w:tr>
      <w:tr>
        <w:trPr>
          <w:trHeight w:val="142"/>
        </w:trPr>
        <w:tc>
          <w:tcPr>
            <w:tcW w:w="920" w:type="dxa"/>
            <w:vAlign w:val="bottom"/>
            <w:tcBorders>
              <w:bottom w:val="single" w:sz="8" w:color="auto"/>
            </w:tcBorders>
          </w:tcPr>
          <w:p>
            <w:pPr>
              <w:ind w:left="20"/>
              <w:spacing w:after="0" w:line="142" w:lineRule="exact"/>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tcPr>
          <w:p>
            <w:pPr>
              <w:ind w:left="260"/>
              <w:spacing w:after="0" w:line="142" w:lineRule="exact"/>
              <w:rPr>
                <w:sz w:val="20"/>
                <w:szCs w:val="20"/>
                <w:color w:val="auto"/>
              </w:rPr>
            </w:pPr>
            <w:r>
              <w:rPr>
                <w:rFonts w:ascii="Arial" w:cs="Arial" w:eastAsia="Arial" w:hAnsi="Arial"/>
                <w:sz w:val="14"/>
                <w:szCs w:val="14"/>
                <w:color w:val="auto"/>
              </w:rPr>
              <w:t>[†]</w:t>
            </w:r>
          </w:p>
        </w:tc>
        <w:tc>
          <w:tcPr>
            <w:tcW w:w="1680" w:type="dxa"/>
            <w:vAlign w:val="bottom"/>
            <w:tcBorders>
              <w:bottom w:val="single" w:sz="8" w:color="auto"/>
            </w:tcBorders>
          </w:tcPr>
          <w:p>
            <w:pPr>
              <w:ind w:left="320"/>
              <w:spacing w:after="0" w:line="142" w:lineRule="exact"/>
              <w:rPr>
                <w:sz w:val="20"/>
                <w:szCs w:val="20"/>
                <w:color w:val="auto"/>
              </w:rPr>
            </w:pPr>
            <w:r>
              <w:rPr>
                <w:rFonts w:ascii="Arial" w:cs="Arial" w:eastAsia="Arial" w:hAnsi="Arial"/>
                <w:sz w:val="14"/>
                <w:szCs w:val="14"/>
                <w:color w:val="auto"/>
              </w:rPr>
              <w:t>[†]</w:t>
            </w:r>
          </w:p>
        </w:tc>
        <w:tc>
          <w:tcPr>
            <w:tcW w:w="1620" w:type="dxa"/>
            <w:vAlign w:val="bottom"/>
            <w:tcBorders>
              <w:bottom w:val="single" w:sz="8" w:color="auto"/>
            </w:tcBorders>
          </w:tcPr>
          <w:p>
            <w:pPr>
              <w:ind w:left="1100"/>
              <w:spacing w:after="0" w:line="142" w:lineRule="exact"/>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tcPr>
          <w:p>
            <w:pPr>
              <w:ind w:left="220"/>
              <w:spacing w:after="0" w:line="142" w:lineRule="exact"/>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ind w:left="260"/>
              <w:spacing w:after="0" w:line="142" w:lineRule="exact"/>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tcPr>
          <w:p>
            <w:pPr>
              <w:spacing w:after="0" w:line="142" w:lineRule="exact"/>
              <w:rPr>
                <w:sz w:val="20"/>
                <w:szCs w:val="20"/>
                <w:color w:val="auto"/>
              </w:rPr>
            </w:pPr>
            <w:r>
              <w:rPr>
                <w:rFonts w:ascii="Arial" w:cs="Arial" w:eastAsia="Arial" w:hAnsi="Arial"/>
                <w:sz w:val="14"/>
                <w:szCs w:val="14"/>
                <w:color w:val="auto"/>
              </w:rPr>
              <w:t>[†]</w:t>
            </w:r>
          </w:p>
        </w:tc>
        <w:tc>
          <w:tcPr>
            <w:tcW w:w="1180" w:type="dxa"/>
            <w:vAlign w:val="bottom"/>
            <w:tcBorders>
              <w:bottom w:val="single" w:sz="8" w:color="auto"/>
            </w:tcBorders>
          </w:tcPr>
          <w:p>
            <w:pPr>
              <w:jc w:val="right"/>
              <w:ind w:right="948"/>
              <w:spacing w:after="0" w:line="142" w:lineRule="exact"/>
              <w:rPr>
                <w:sz w:val="20"/>
                <w:szCs w:val="20"/>
                <w:color w:val="auto"/>
              </w:rPr>
            </w:pPr>
            <w:r>
              <w:rPr>
                <w:rFonts w:ascii="Arial" w:cs="Arial" w:eastAsia="Arial" w:hAnsi="Arial"/>
                <w:sz w:val="14"/>
                <w:szCs w:val="14"/>
                <w:color w:val="auto"/>
                <w:w w:val="89"/>
              </w:rPr>
              <w:t>[†]</w:t>
            </w:r>
          </w:p>
        </w:tc>
      </w:tr>
      <w:tr>
        <w:trPr>
          <w:trHeight w:val="142"/>
        </w:trPr>
        <w:tc>
          <w:tcPr>
            <w:tcW w:w="920" w:type="dxa"/>
            <w:vAlign w:val="bottom"/>
            <w:tcBorders>
              <w:bottom w:val="single" w:sz="8" w:color="auto"/>
            </w:tcBorders>
          </w:tcPr>
          <w:p>
            <w:pPr>
              <w:ind w:left="20"/>
              <w:spacing w:after="0" w:line="142" w:lineRule="exact"/>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tcPr>
          <w:p>
            <w:pPr>
              <w:ind w:left="260"/>
              <w:spacing w:after="0" w:line="142" w:lineRule="exact"/>
              <w:rPr>
                <w:sz w:val="20"/>
                <w:szCs w:val="20"/>
                <w:color w:val="auto"/>
              </w:rPr>
            </w:pPr>
            <w:r>
              <w:rPr>
                <w:rFonts w:ascii="Arial" w:cs="Arial" w:eastAsia="Arial" w:hAnsi="Arial"/>
                <w:sz w:val="14"/>
                <w:szCs w:val="14"/>
                <w:color w:val="auto"/>
              </w:rPr>
              <w:t>[†]</w:t>
            </w:r>
          </w:p>
        </w:tc>
        <w:tc>
          <w:tcPr>
            <w:tcW w:w="1680" w:type="dxa"/>
            <w:vAlign w:val="bottom"/>
            <w:tcBorders>
              <w:bottom w:val="single" w:sz="8" w:color="auto"/>
            </w:tcBorders>
          </w:tcPr>
          <w:p>
            <w:pPr>
              <w:ind w:left="320"/>
              <w:spacing w:after="0" w:line="142" w:lineRule="exact"/>
              <w:rPr>
                <w:sz w:val="20"/>
                <w:szCs w:val="20"/>
                <w:color w:val="auto"/>
              </w:rPr>
            </w:pPr>
            <w:r>
              <w:rPr>
                <w:rFonts w:ascii="Arial" w:cs="Arial" w:eastAsia="Arial" w:hAnsi="Arial"/>
                <w:sz w:val="14"/>
                <w:szCs w:val="14"/>
                <w:color w:val="auto"/>
              </w:rPr>
              <w:t>[†]</w:t>
            </w:r>
          </w:p>
        </w:tc>
        <w:tc>
          <w:tcPr>
            <w:tcW w:w="1620" w:type="dxa"/>
            <w:vAlign w:val="bottom"/>
            <w:tcBorders>
              <w:bottom w:val="single" w:sz="8" w:color="auto"/>
            </w:tcBorders>
          </w:tcPr>
          <w:p>
            <w:pPr>
              <w:ind w:left="1100"/>
              <w:spacing w:after="0" w:line="142" w:lineRule="exact"/>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tcPr>
          <w:p>
            <w:pPr>
              <w:ind w:left="220"/>
              <w:spacing w:after="0" w:line="142" w:lineRule="exact"/>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ind w:left="240"/>
              <w:spacing w:after="0" w:line="142" w:lineRule="exact"/>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tcPr>
          <w:p>
            <w:pPr>
              <w:ind w:left="260"/>
              <w:spacing w:after="0" w:line="142" w:lineRule="exact"/>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tcPr>
          <w:p>
            <w:pPr>
              <w:spacing w:after="0" w:line="142" w:lineRule="exact"/>
              <w:rPr>
                <w:sz w:val="20"/>
                <w:szCs w:val="20"/>
                <w:color w:val="auto"/>
              </w:rPr>
            </w:pPr>
            <w:r>
              <w:rPr>
                <w:rFonts w:ascii="Arial" w:cs="Arial" w:eastAsia="Arial" w:hAnsi="Arial"/>
                <w:sz w:val="14"/>
                <w:szCs w:val="14"/>
                <w:color w:val="auto"/>
              </w:rPr>
              <w:t>[†]</w:t>
            </w:r>
          </w:p>
        </w:tc>
        <w:tc>
          <w:tcPr>
            <w:tcW w:w="1180" w:type="dxa"/>
            <w:vAlign w:val="bottom"/>
            <w:tcBorders>
              <w:bottom w:val="single" w:sz="8" w:color="auto"/>
            </w:tcBorders>
          </w:tcPr>
          <w:p>
            <w:pPr>
              <w:jc w:val="right"/>
              <w:ind w:right="948"/>
              <w:spacing w:after="0" w:line="142" w:lineRule="exact"/>
              <w:rPr>
                <w:sz w:val="20"/>
                <w:szCs w:val="20"/>
                <w:color w:val="auto"/>
              </w:rPr>
            </w:pPr>
            <w:r>
              <w:rPr>
                <w:rFonts w:ascii="Arial" w:cs="Arial" w:eastAsia="Arial" w:hAnsi="Arial"/>
                <w:sz w:val="14"/>
                <w:szCs w:val="14"/>
                <w:color w:val="auto"/>
                <w:w w:val="89"/>
              </w:rPr>
              <w:t>[†]</w:t>
            </w:r>
          </w:p>
        </w:tc>
      </w:tr>
      <w:tr>
        <w:trPr>
          <w:trHeight w:val="142"/>
        </w:trPr>
        <w:tc>
          <w:tcPr>
            <w:tcW w:w="920" w:type="dxa"/>
            <w:vAlign w:val="bottom"/>
            <w:tcBorders>
              <w:bottom w:val="single" w:sz="8" w:color="auto"/>
            </w:tcBorders>
          </w:tcPr>
          <w:p>
            <w:pPr>
              <w:ind w:left="20"/>
              <w:spacing w:after="0" w:line="142" w:lineRule="exact"/>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tcPr>
          <w:p>
            <w:pPr>
              <w:ind w:left="260"/>
              <w:spacing w:after="0" w:line="142" w:lineRule="exact"/>
              <w:rPr>
                <w:sz w:val="20"/>
                <w:szCs w:val="20"/>
                <w:color w:val="auto"/>
              </w:rPr>
            </w:pPr>
            <w:r>
              <w:rPr>
                <w:rFonts w:ascii="Arial" w:cs="Arial" w:eastAsia="Arial" w:hAnsi="Arial"/>
                <w:sz w:val="14"/>
                <w:szCs w:val="14"/>
                <w:color w:val="auto"/>
              </w:rPr>
              <w:t>[†]</w:t>
            </w:r>
          </w:p>
        </w:tc>
        <w:tc>
          <w:tcPr>
            <w:tcW w:w="1680" w:type="dxa"/>
            <w:vAlign w:val="bottom"/>
            <w:tcBorders>
              <w:bottom w:val="single" w:sz="8" w:color="auto"/>
            </w:tcBorders>
          </w:tcPr>
          <w:p>
            <w:pPr>
              <w:ind w:left="320"/>
              <w:spacing w:after="0" w:line="142" w:lineRule="exact"/>
              <w:rPr>
                <w:sz w:val="20"/>
                <w:szCs w:val="20"/>
                <w:color w:val="auto"/>
              </w:rPr>
            </w:pPr>
            <w:r>
              <w:rPr>
                <w:rFonts w:ascii="Arial" w:cs="Arial" w:eastAsia="Arial" w:hAnsi="Arial"/>
                <w:sz w:val="14"/>
                <w:szCs w:val="14"/>
                <w:color w:val="auto"/>
              </w:rPr>
              <w:t>[†]</w:t>
            </w:r>
          </w:p>
        </w:tc>
        <w:tc>
          <w:tcPr>
            <w:tcW w:w="1620" w:type="dxa"/>
            <w:vAlign w:val="bottom"/>
            <w:tcBorders>
              <w:bottom w:val="single" w:sz="8" w:color="auto"/>
            </w:tcBorders>
          </w:tcPr>
          <w:p>
            <w:pPr>
              <w:ind w:left="1100"/>
              <w:spacing w:after="0" w:line="142" w:lineRule="exact"/>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tcPr>
          <w:p>
            <w:pPr>
              <w:ind w:left="220"/>
              <w:spacing w:after="0" w:line="142" w:lineRule="exact"/>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tcPr>
          <w:p>
            <w:pPr>
              <w:ind w:left="480"/>
              <w:spacing w:after="0" w:line="142" w:lineRule="exact"/>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tcPr>
          <w:p>
            <w:pPr>
              <w:ind w:left="240"/>
              <w:spacing w:after="0" w:line="142" w:lineRule="exact"/>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tcPr>
          <w:p>
            <w:pPr>
              <w:ind w:left="260"/>
              <w:spacing w:after="0" w:line="142" w:lineRule="exact"/>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tcPr>
          <w:p>
            <w:pPr>
              <w:spacing w:after="0" w:line="142" w:lineRule="exact"/>
              <w:rPr>
                <w:sz w:val="20"/>
                <w:szCs w:val="20"/>
                <w:color w:val="auto"/>
              </w:rPr>
            </w:pPr>
            <w:r>
              <w:rPr>
                <w:rFonts w:ascii="Arial" w:cs="Arial" w:eastAsia="Arial" w:hAnsi="Arial"/>
                <w:sz w:val="14"/>
                <w:szCs w:val="14"/>
                <w:color w:val="auto"/>
              </w:rPr>
              <w:t>[†]</w:t>
            </w:r>
          </w:p>
        </w:tc>
        <w:tc>
          <w:tcPr>
            <w:tcW w:w="1180" w:type="dxa"/>
            <w:vAlign w:val="bottom"/>
            <w:tcBorders>
              <w:bottom w:val="single" w:sz="8" w:color="auto"/>
            </w:tcBorders>
          </w:tcPr>
          <w:p>
            <w:pPr>
              <w:jc w:val="right"/>
              <w:ind w:right="948"/>
              <w:spacing w:after="0" w:line="142" w:lineRule="exact"/>
              <w:rPr>
                <w:sz w:val="20"/>
                <w:szCs w:val="20"/>
                <w:color w:val="auto"/>
              </w:rPr>
            </w:pPr>
            <w:r>
              <w:rPr>
                <w:rFonts w:ascii="Arial" w:cs="Arial" w:eastAsia="Arial" w:hAnsi="Arial"/>
                <w:sz w:val="14"/>
                <w:szCs w:val="14"/>
                <w:color w:val="auto"/>
                <w:w w:val="89"/>
              </w:rPr>
              <w:t>[†]</w:t>
            </w:r>
          </w:p>
        </w:tc>
      </w:tr>
      <w:tr>
        <w:trPr>
          <w:trHeight w:val="142"/>
        </w:trPr>
        <w:tc>
          <w:tcPr>
            <w:tcW w:w="920" w:type="dxa"/>
            <w:vAlign w:val="bottom"/>
            <w:tcBorders>
              <w:bottom w:val="single" w:sz="8" w:color="auto"/>
            </w:tcBorders>
          </w:tcPr>
          <w:p>
            <w:pPr>
              <w:ind w:left="20"/>
              <w:spacing w:after="0" w:line="142" w:lineRule="exact"/>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tcPr>
          <w:p>
            <w:pPr>
              <w:ind w:left="260"/>
              <w:spacing w:after="0" w:line="142" w:lineRule="exact"/>
              <w:rPr>
                <w:sz w:val="20"/>
                <w:szCs w:val="20"/>
                <w:color w:val="auto"/>
              </w:rPr>
            </w:pPr>
            <w:r>
              <w:rPr>
                <w:rFonts w:ascii="Arial" w:cs="Arial" w:eastAsia="Arial" w:hAnsi="Arial"/>
                <w:sz w:val="14"/>
                <w:szCs w:val="14"/>
                <w:color w:val="auto"/>
              </w:rPr>
              <w:t>[†]</w:t>
            </w:r>
          </w:p>
        </w:tc>
        <w:tc>
          <w:tcPr>
            <w:tcW w:w="1680" w:type="dxa"/>
            <w:vAlign w:val="bottom"/>
            <w:tcBorders>
              <w:bottom w:val="single" w:sz="8" w:color="auto"/>
            </w:tcBorders>
          </w:tcPr>
          <w:p>
            <w:pPr>
              <w:ind w:left="320"/>
              <w:spacing w:after="0" w:line="142" w:lineRule="exact"/>
              <w:rPr>
                <w:sz w:val="20"/>
                <w:szCs w:val="20"/>
                <w:color w:val="auto"/>
              </w:rPr>
            </w:pPr>
            <w:r>
              <w:rPr>
                <w:rFonts w:ascii="Arial" w:cs="Arial" w:eastAsia="Arial" w:hAnsi="Arial"/>
                <w:sz w:val="14"/>
                <w:szCs w:val="14"/>
                <w:color w:val="auto"/>
              </w:rPr>
              <w:t>[†]</w:t>
            </w:r>
          </w:p>
        </w:tc>
        <w:tc>
          <w:tcPr>
            <w:tcW w:w="1620" w:type="dxa"/>
            <w:vAlign w:val="bottom"/>
            <w:tcBorders>
              <w:bottom w:val="single" w:sz="8" w:color="auto"/>
            </w:tcBorders>
          </w:tcPr>
          <w:p>
            <w:pPr>
              <w:ind w:left="1100"/>
              <w:spacing w:after="0" w:line="142" w:lineRule="exact"/>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tcPr>
          <w:p>
            <w:pPr>
              <w:ind w:left="220"/>
              <w:spacing w:after="0" w:line="142" w:lineRule="exact"/>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tcPr>
          <w:p>
            <w:pPr>
              <w:ind w:left="480"/>
              <w:spacing w:after="0" w:line="142" w:lineRule="exact"/>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tcPr>
          <w:p>
            <w:pPr>
              <w:ind w:left="240"/>
              <w:spacing w:after="0" w:line="142" w:lineRule="exact"/>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tcPr>
          <w:p>
            <w:pPr>
              <w:ind w:left="260"/>
              <w:spacing w:after="0" w:line="142" w:lineRule="exact"/>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tcPr>
          <w:p>
            <w:pPr>
              <w:spacing w:after="0" w:line="142" w:lineRule="exact"/>
              <w:rPr>
                <w:sz w:val="20"/>
                <w:szCs w:val="20"/>
                <w:color w:val="auto"/>
              </w:rPr>
            </w:pPr>
            <w:r>
              <w:rPr>
                <w:rFonts w:ascii="Arial" w:cs="Arial" w:eastAsia="Arial" w:hAnsi="Arial"/>
                <w:sz w:val="14"/>
                <w:szCs w:val="14"/>
                <w:color w:val="auto"/>
              </w:rPr>
              <w:t>[†]</w:t>
            </w:r>
          </w:p>
        </w:tc>
        <w:tc>
          <w:tcPr>
            <w:tcW w:w="1180" w:type="dxa"/>
            <w:vAlign w:val="bottom"/>
            <w:tcBorders>
              <w:bottom w:val="single" w:sz="8" w:color="auto"/>
            </w:tcBorders>
          </w:tcPr>
          <w:p>
            <w:pPr>
              <w:jc w:val="right"/>
              <w:ind w:right="948"/>
              <w:spacing w:after="0" w:line="142" w:lineRule="exact"/>
              <w:rPr>
                <w:sz w:val="20"/>
                <w:szCs w:val="20"/>
                <w:color w:val="auto"/>
              </w:rPr>
            </w:pPr>
            <w:r>
              <w:rPr>
                <w:rFonts w:ascii="Arial" w:cs="Arial" w:eastAsia="Arial" w:hAnsi="Arial"/>
                <w:sz w:val="14"/>
                <w:szCs w:val="14"/>
                <w:color w:val="auto"/>
                <w:w w:val="89"/>
              </w:rPr>
              <w:t>[†]</w:t>
            </w:r>
          </w:p>
        </w:tc>
      </w:tr>
      <w:tr>
        <w:trPr>
          <w:trHeight w:val="142"/>
        </w:trPr>
        <w:tc>
          <w:tcPr>
            <w:tcW w:w="920" w:type="dxa"/>
            <w:vAlign w:val="bottom"/>
            <w:tcBorders>
              <w:bottom w:val="single" w:sz="8" w:color="auto"/>
            </w:tcBorders>
          </w:tcPr>
          <w:p>
            <w:pPr>
              <w:ind w:left="20"/>
              <w:spacing w:after="0" w:line="142" w:lineRule="exact"/>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tcPr>
          <w:p>
            <w:pPr>
              <w:ind w:left="260"/>
              <w:spacing w:after="0" w:line="142" w:lineRule="exact"/>
              <w:rPr>
                <w:sz w:val="20"/>
                <w:szCs w:val="20"/>
                <w:color w:val="auto"/>
              </w:rPr>
            </w:pPr>
            <w:r>
              <w:rPr>
                <w:rFonts w:ascii="Arial" w:cs="Arial" w:eastAsia="Arial" w:hAnsi="Arial"/>
                <w:sz w:val="14"/>
                <w:szCs w:val="14"/>
                <w:color w:val="auto"/>
              </w:rPr>
              <w:t>[†]</w:t>
            </w:r>
          </w:p>
        </w:tc>
        <w:tc>
          <w:tcPr>
            <w:tcW w:w="1680" w:type="dxa"/>
            <w:vAlign w:val="bottom"/>
            <w:tcBorders>
              <w:bottom w:val="single" w:sz="8" w:color="auto"/>
            </w:tcBorders>
          </w:tcPr>
          <w:p>
            <w:pPr>
              <w:ind w:left="320"/>
              <w:spacing w:after="0" w:line="142" w:lineRule="exact"/>
              <w:rPr>
                <w:sz w:val="20"/>
                <w:szCs w:val="20"/>
                <w:color w:val="auto"/>
              </w:rPr>
            </w:pPr>
            <w:r>
              <w:rPr>
                <w:rFonts w:ascii="Arial" w:cs="Arial" w:eastAsia="Arial" w:hAnsi="Arial"/>
                <w:sz w:val="14"/>
                <w:szCs w:val="14"/>
                <w:color w:val="auto"/>
              </w:rPr>
              <w:t>[†]</w:t>
            </w:r>
          </w:p>
        </w:tc>
        <w:tc>
          <w:tcPr>
            <w:tcW w:w="162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ind w:left="260"/>
              <w:spacing w:after="0" w:line="142" w:lineRule="exact"/>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tcPr>
          <w:p>
            <w:pPr>
              <w:spacing w:after="0" w:line="142" w:lineRule="exact"/>
              <w:rPr>
                <w:sz w:val="20"/>
                <w:szCs w:val="20"/>
                <w:color w:val="auto"/>
              </w:rPr>
            </w:pPr>
            <w:r>
              <w:rPr>
                <w:rFonts w:ascii="Arial" w:cs="Arial" w:eastAsia="Arial" w:hAnsi="Arial"/>
                <w:sz w:val="14"/>
                <w:szCs w:val="14"/>
                <w:color w:val="auto"/>
              </w:rPr>
              <w:t>[†]</w:t>
            </w:r>
          </w:p>
        </w:tc>
        <w:tc>
          <w:tcPr>
            <w:tcW w:w="1180" w:type="dxa"/>
            <w:vAlign w:val="bottom"/>
            <w:tcBorders>
              <w:bottom w:val="single" w:sz="8" w:color="auto"/>
            </w:tcBorders>
          </w:tcPr>
          <w:p>
            <w:pPr>
              <w:jc w:val="right"/>
              <w:ind w:right="948"/>
              <w:spacing w:after="0" w:line="142" w:lineRule="exact"/>
              <w:rPr>
                <w:sz w:val="20"/>
                <w:szCs w:val="20"/>
                <w:color w:val="auto"/>
              </w:rPr>
            </w:pPr>
            <w:r>
              <w:rPr>
                <w:rFonts w:ascii="Arial" w:cs="Arial" w:eastAsia="Arial" w:hAnsi="Arial"/>
                <w:sz w:val="14"/>
                <w:szCs w:val="14"/>
                <w:color w:val="auto"/>
                <w:w w:val="89"/>
              </w:rPr>
              <w:t>[†]</w:t>
            </w:r>
          </w:p>
        </w:tc>
      </w:tr>
      <w:tr>
        <w:trPr>
          <w:trHeight w:val="142"/>
        </w:trPr>
        <w:tc>
          <w:tcPr>
            <w:tcW w:w="920" w:type="dxa"/>
            <w:vAlign w:val="bottom"/>
            <w:tcBorders>
              <w:bottom w:val="single" w:sz="8" w:color="auto"/>
            </w:tcBorders>
          </w:tcPr>
          <w:p>
            <w:pPr>
              <w:ind w:left="20"/>
              <w:spacing w:after="0" w:line="142" w:lineRule="exact"/>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tcPr>
          <w:p>
            <w:pPr>
              <w:ind w:left="260"/>
              <w:spacing w:after="0" w:line="142" w:lineRule="exact"/>
              <w:rPr>
                <w:sz w:val="20"/>
                <w:szCs w:val="20"/>
                <w:color w:val="auto"/>
              </w:rPr>
            </w:pPr>
            <w:r>
              <w:rPr>
                <w:rFonts w:ascii="Arial" w:cs="Arial" w:eastAsia="Arial" w:hAnsi="Arial"/>
                <w:sz w:val="14"/>
                <w:szCs w:val="14"/>
                <w:color w:val="auto"/>
              </w:rPr>
              <w:t>[†]</w:t>
            </w:r>
          </w:p>
        </w:tc>
        <w:tc>
          <w:tcPr>
            <w:tcW w:w="1680" w:type="dxa"/>
            <w:vAlign w:val="bottom"/>
            <w:tcBorders>
              <w:bottom w:val="single" w:sz="8" w:color="auto"/>
            </w:tcBorders>
          </w:tcPr>
          <w:p>
            <w:pPr>
              <w:ind w:left="320"/>
              <w:spacing w:after="0" w:line="142" w:lineRule="exact"/>
              <w:rPr>
                <w:sz w:val="20"/>
                <w:szCs w:val="20"/>
                <w:color w:val="auto"/>
              </w:rPr>
            </w:pPr>
            <w:r>
              <w:rPr>
                <w:rFonts w:ascii="Arial" w:cs="Arial" w:eastAsia="Arial" w:hAnsi="Arial"/>
                <w:sz w:val="14"/>
                <w:szCs w:val="14"/>
                <w:color w:val="auto"/>
              </w:rPr>
              <w:t>[†]</w:t>
            </w:r>
          </w:p>
        </w:tc>
        <w:tc>
          <w:tcPr>
            <w:tcW w:w="162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ind w:left="260"/>
              <w:spacing w:after="0" w:line="142" w:lineRule="exact"/>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tcPr>
          <w:p>
            <w:pPr>
              <w:spacing w:after="0" w:line="142" w:lineRule="exact"/>
              <w:rPr>
                <w:sz w:val="20"/>
                <w:szCs w:val="20"/>
                <w:color w:val="auto"/>
              </w:rPr>
            </w:pPr>
            <w:r>
              <w:rPr>
                <w:rFonts w:ascii="Arial" w:cs="Arial" w:eastAsia="Arial" w:hAnsi="Arial"/>
                <w:sz w:val="14"/>
                <w:szCs w:val="14"/>
                <w:color w:val="auto"/>
              </w:rPr>
              <w:t>[†]</w:t>
            </w:r>
          </w:p>
        </w:tc>
        <w:tc>
          <w:tcPr>
            <w:tcW w:w="1180" w:type="dxa"/>
            <w:vAlign w:val="bottom"/>
            <w:tcBorders>
              <w:bottom w:val="single" w:sz="8" w:color="auto"/>
            </w:tcBorders>
          </w:tcPr>
          <w:p>
            <w:pPr>
              <w:jc w:val="right"/>
              <w:ind w:right="948"/>
              <w:spacing w:after="0" w:line="142" w:lineRule="exact"/>
              <w:rPr>
                <w:sz w:val="20"/>
                <w:szCs w:val="20"/>
                <w:color w:val="auto"/>
              </w:rPr>
            </w:pPr>
            <w:r>
              <w:rPr>
                <w:rFonts w:ascii="Arial" w:cs="Arial" w:eastAsia="Arial" w:hAnsi="Arial"/>
                <w:sz w:val="14"/>
                <w:szCs w:val="14"/>
                <w:color w:val="auto"/>
                <w:w w:val="89"/>
              </w:rPr>
              <w:t>[†]</w:t>
            </w:r>
          </w:p>
        </w:tc>
      </w:tr>
      <w:tr>
        <w:trPr>
          <w:trHeight w:val="142"/>
        </w:trPr>
        <w:tc>
          <w:tcPr>
            <w:tcW w:w="920" w:type="dxa"/>
            <w:vAlign w:val="bottom"/>
            <w:tcBorders>
              <w:bottom w:val="single" w:sz="8" w:color="auto"/>
            </w:tcBorders>
          </w:tcPr>
          <w:p>
            <w:pPr>
              <w:ind w:left="20"/>
              <w:spacing w:after="0" w:line="142" w:lineRule="exact"/>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tcPr>
          <w:p>
            <w:pPr>
              <w:ind w:left="260"/>
              <w:spacing w:after="0" w:line="142" w:lineRule="exact"/>
              <w:rPr>
                <w:sz w:val="20"/>
                <w:szCs w:val="20"/>
                <w:color w:val="auto"/>
              </w:rPr>
            </w:pPr>
            <w:r>
              <w:rPr>
                <w:rFonts w:ascii="Arial" w:cs="Arial" w:eastAsia="Arial" w:hAnsi="Arial"/>
                <w:sz w:val="14"/>
                <w:szCs w:val="14"/>
                <w:color w:val="auto"/>
              </w:rPr>
              <w:t>[†]</w:t>
            </w:r>
          </w:p>
        </w:tc>
        <w:tc>
          <w:tcPr>
            <w:tcW w:w="1680" w:type="dxa"/>
            <w:vAlign w:val="bottom"/>
            <w:tcBorders>
              <w:bottom w:val="single" w:sz="8" w:color="auto"/>
            </w:tcBorders>
          </w:tcPr>
          <w:p>
            <w:pPr>
              <w:ind w:left="320"/>
              <w:spacing w:after="0" w:line="142" w:lineRule="exact"/>
              <w:rPr>
                <w:sz w:val="20"/>
                <w:szCs w:val="20"/>
                <w:color w:val="auto"/>
              </w:rPr>
            </w:pPr>
            <w:r>
              <w:rPr>
                <w:rFonts w:ascii="Arial" w:cs="Arial" w:eastAsia="Arial" w:hAnsi="Arial"/>
                <w:sz w:val="14"/>
                <w:szCs w:val="14"/>
                <w:color w:val="auto"/>
              </w:rPr>
              <w:t>[†]</w:t>
            </w:r>
          </w:p>
        </w:tc>
        <w:tc>
          <w:tcPr>
            <w:tcW w:w="162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ind w:left="260"/>
              <w:spacing w:after="0" w:line="142" w:lineRule="exact"/>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tcPr>
          <w:p>
            <w:pPr>
              <w:spacing w:after="0" w:line="142" w:lineRule="exact"/>
              <w:rPr>
                <w:sz w:val="20"/>
                <w:szCs w:val="20"/>
                <w:color w:val="auto"/>
              </w:rPr>
            </w:pPr>
            <w:r>
              <w:rPr>
                <w:rFonts w:ascii="Arial" w:cs="Arial" w:eastAsia="Arial" w:hAnsi="Arial"/>
                <w:sz w:val="14"/>
                <w:szCs w:val="14"/>
                <w:color w:val="auto"/>
              </w:rPr>
              <w:t>[†]</w:t>
            </w:r>
          </w:p>
        </w:tc>
        <w:tc>
          <w:tcPr>
            <w:tcW w:w="1180" w:type="dxa"/>
            <w:vAlign w:val="bottom"/>
            <w:tcBorders>
              <w:bottom w:val="single" w:sz="8" w:color="auto"/>
            </w:tcBorders>
          </w:tcPr>
          <w:p>
            <w:pPr>
              <w:jc w:val="right"/>
              <w:ind w:right="948"/>
              <w:spacing w:after="0" w:line="142" w:lineRule="exact"/>
              <w:rPr>
                <w:sz w:val="20"/>
                <w:szCs w:val="20"/>
                <w:color w:val="auto"/>
              </w:rPr>
            </w:pPr>
            <w:r>
              <w:rPr>
                <w:rFonts w:ascii="Arial" w:cs="Arial" w:eastAsia="Arial" w:hAnsi="Arial"/>
                <w:sz w:val="14"/>
                <w:szCs w:val="14"/>
                <w:color w:val="auto"/>
                <w:w w:val="89"/>
              </w:rPr>
              <w:t>[†]</w:t>
            </w:r>
          </w:p>
        </w:tc>
      </w:tr>
      <w:tr>
        <w:trPr>
          <w:trHeight w:val="142"/>
        </w:trPr>
        <w:tc>
          <w:tcPr>
            <w:tcW w:w="920" w:type="dxa"/>
            <w:vAlign w:val="bottom"/>
            <w:tcBorders>
              <w:bottom w:val="single" w:sz="8" w:color="auto"/>
            </w:tcBorders>
          </w:tcPr>
          <w:p>
            <w:pPr>
              <w:ind w:left="20"/>
              <w:spacing w:after="0" w:line="142" w:lineRule="exact"/>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tcPr>
          <w:p>
            <w:pPr>
              <w:ind w:left="260"/>
              <w:spacing w:after="0" w:line="142" w:lineRule="exact"/>
              <w:rPr>
                <w:sz w:val="20"/>
                <w:szCs w:val="20"/>
                <w:color w:val="auto"/>
              </w:rPr>
            </w:pPr>
            <w:r>
              <w:rPr>
                <w:rFonts w:ascii="Arial" w:cs="Arial" w:eastAsia="Arial" w:hAnsi="Arial"/>
                <w:sz w:val="14"/>
                <w:szCs w:val="14"/>
                <w:color w:val="auto"/>
              </w:rPr>
              <w:t>[†]</w:t>
            </w:r>
          </w:p>
        </w:tc>
        <w:tc>
          <w:tcPr>
            <w:tcW w:w="1680" w:type="dxa"/>
            <w:vAlign w:val="bottom"/>
            <w:tcBorders>
              <w:bottom w:val="single" w:sz="8" w:color="auto"/>
            </w:tcBorders>
          </w:tcPr>
          <w:p>
            <w:pPr>
              <w:ind w:left="320"/>
              <w:spacing w:after="0" w:line="142" w:lineRule="exact"/>
              <w:rPr>
                <w:sz w:val="20"/>
                <w:szCs w:val="20"/>
                <w:color w:val="auto"/>
              </w:rPr>
            </w:pPr>
            <w:r>
              <w:rPr>
                <w:rFonts w:ascii="Arial" w:cs="Arial" w:eastAsia="Arial" w:hAnsi="Arial"/>
                <w:sz w:val="14"/>
                <w:szCs w:val="14"/>
                <w:color w:val="auto"/>
              </w:rPr>
              <w:t>[†]</w:t>
            </w:r>
          </w:p>
        </w:tc>
        <w:tc>
          <w:tcPr>
            <w:tcW w:w="162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ind w:left="260"/>
              <w:spacing w:after="0" w:line="142" w:lineRule="exact"/>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tcPr>
          <w:p>
            <w:pPr>
              <w:spacing w:after="0" w:line="142" w:lineRule="exact"/>
              <w:rPr>
                <w:sz w:val="20"/>
                <w:szCs w:val="20"/>
                <w:color w:val="auto"/>
              </w:rPr>
            </w:pPr>
            <w:r>
              <w:rPr>
                <w:rFonts w:ascii="Arial" w:cs="Arial" w:eastAsia="Arial" w:hAnsi="Arial"/>
                <w:sz w:val="14"/>
                <w:szCs w:val="14"/>
                <w:color w:val="auto"/>
              </w:rPr>
              <w:t>[†]</w:t>
            </w:r>
          </w:p>
        </w:tc>
        <w:tc>
          <w:tcPr>
            <w:tcW w:w="1180" w:type="dxa"/>
            <w:vAlign w:val="bottom"/>
            <w:tcBorders>
              <w:bottom w:val="single" w:sz="8" w:color="auto"/>
            </w:tcBorders>
          </w:tcPr>
          <w:p>
            <w:pPr>
              <w:jc w:val="right"/>
              <w:ind w:right="948"/>
              <w:spacing w:after="0" w:line="142" w:lineRule="exact"/>
              <w:rPr>
                <w:sz w:val="20"/>
                <w:szCs w:val="20"/>
                <w:color w:val="auto"/>
              </w:rPr>
            </w:pPr>
            <w:r>
              <w:rPr>
                <w:rFonts w:ascii="Arial" w:cs="Arial" w:eastAsia="Arial" w:hAnsi="Arial"/>
                <w:sz w:val="14"/>
                <w:szCs w:val="14"/>
                <w:color w:val="auto"/>
                <w:w w:val="89"/>
              </w:rPr>
              <w:t>[†]</w:t>
            </w:r>
          </w:p>
        </w:tc>
      </w:tr>
      <w:tr>
        <w:trPr>
          <w:trHeight w:val="142"/>
        </w:trPr>
        <w:tc>
          <w:tcPr>
            <w:tcW w:w="920" w:type="dxa"/>
            <w:vAlign w:val="bottom"/>
            <w:tcBorders>
              <w:bottom w:val="single" w:sz="8" w:color="auto"/>
            </w:tcBorders>
          </w:tcPr>
          <w:p>
            <w:pPr>
              <w:ind w:left="20"/>
              <w:spacing w:after="0" w:line="142" w:lineRule="exact"/>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tcPr>
          <w:p>
            <w:pPr>
              <w:ind w:left="260"/>
              <w:spacing w:after="0" w:line="142" w:lineRule="exact"/>
              <w:rPr>
                <w:sz w:val="20"/>
                <w:szCs w:val="20"/>
                <w:color w:val="auto"/>
              </w:rPr>
            </w:pPr>
            <w:r>
              <w:rPr>
                <w:rFonts w:ascii="Arial" w:cs="Arial" w:eastAsia="Arial" w:hAnsi="Arial"/>
                <w:sz w:val="14"/>
                <w:szCs w:val="14"/>
                <w:color w:val="auto"/>
              </w:rPr>
              <w:t>[†]</w:t>
            </w:r>
          </w:p>
        </w:tc>
        <w:tc>
          <w:tcPr>
            <w:tcW w:w="1680" w:type="dxa"/>
            <w:vAlign w:val="bottom"/>
            <w:tcBorders>
              <w:bottom w:val="single" w:sz="8" w:color="auto"/>
            </w:tcBorders>
          </w:tcPr>
          <w:p>
            <w:pPr>
              <w:ind w:left="320"/>
              <w:spacing w:after="0" w:line="142" w:lineRule="exact"/>
              <w:rPr>
                <w:sz w:val="20"/>
                <w:szCs w:val="20"/>
                <w:color w:val="auto"/>
              </w:rPr>
            </w:pPr>
            <w:r>
              <w:rPr>
                <w:rFonts w:ascii="Arial" w:cs="Arial" w:eastAsia="Arial" w:hAnsi="Arial"/>
                <w:sz w:val="14"/>
                <w:szCs w:val="14"/>
                <w:color w:val="auto"/>
              </w:rPr>
              <w:t>[†]</w:t>
            </w:r>
          </w:p>
        </w:tc>
        <w:tc>
          <w:tcPr>
            <w:tcW w:w="1620" w:type="dxa"/>
            <w:vAlign w:val="bottom"/>
            <w:tcBorders>
              <w:bottom w:val="single" w:sz="8" w:color="auto"/>
            </w:tcBorders>
          </w:tcPr>
          <w:p>
            <w:pPr>
              <w:ind w:left="1100"/>
              <w:spacing w:after="0" w:line="142" w:lineRule="exact"/>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tcPr>
          <w:p>
            <w:pPr>
              <w:ind w:left="220"/>
              <w:spacing w:after="0" w:line="142" w:lineRule="exact"/>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ind w:left="260"/>
              <w:spacing w:after="0" w:line="142" w:lineRule="exact"/>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tcPr>
          <w:p>
            <w:pPr>
              <w:spacing w:after="0" w:line="142" w:lineRule="exact"/>
              <w:rPr>
                <w:sz w:val="20"/>
                <w:szCs w:val="20"/>
                <w:color w:val="auto"/>
              </w:rPr>
            </w:pPr>
            <w:r>
              <w:rPr>
                <w:rFonts w:ascii="Arial" w:cs="Arial" w:eastAsia="Arial" w:hAnsi="Arial"/>
                <w:sz w:val="14"/>
                <w:szCs w:val="14"/>
                <w:color w:val="auto"/>
              </w:rPr>
              <w:t>[†]</w:t>
            </w:r>
          </w:p>
        </w:tc>
        <w:tc>
          <w:tcPr>
            <w:tcW w:w="1180" w:type="dxa"/>
            <w:vAlign w:val="bottom"/>
            <w:tcBorders>
              <w:bottom w:val="single" w:sz="8" w:color="auto"/>
            </w:tcBorders>
          </w:tcPr>
          <w:p>
            <w:pPr>
              <w:jc w:val="right"/>
              <w:ind w:right="948"/>
              <w:spacing w:after="0" w:line="142" w:lineRule="exact"/>
              <w:rPr>
                <w:sz w:val="20"/>
                <w:szCs w:val="20"/>
                <w:color w:val="auto"/>
              </w:rPr>
            </w:pPr>
            <w:r>
              <w:rPr>
                <w:rFonts w:ascii="Arial" w:cs="Arial" w:eastAsia="Arial" w:hAnsi="Arial"/>
                <w:sz w:val="14"/>
                <w:szCs w:val="14"/>
                <w:color w:val="auto"/>
                <w:w w:val="89"/>
              </w:rPr>
              <w:t>[†]</w:t>
            </w:r>
          </w:p>
        </w:tc>
      </w:tr>
      <w:tr>
        <w:trPr>
          <w:trHeight w:val="142"/>
        </w:trPr>
        <w:tc>
          <w:tcPr>
            <w:tcW w:w="920" w:type="dxa"/>
            <w:vAlign w:val="bottom"/>
            <w:tcBorders>
              <w:bottom w:val="single" w:sz="8" w:color="auto"/>
            </w:tcBorders>
          </w:tcPr>
          <w:p>
            <w:pPr>
              <w:ind w:left="20"/>
              <w:spacing w:after="0" w:line="142" w:lineRule="exact"/>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tcPr>
          <w:p>
            <w:pPr>
              <w:ind w:left="260"/>
              <w:spacing w:after="0" w:line="142" w:lineRule="exact"/>
              <w:rPr>
                <w:sz w:val="20"/>
                <w:szCs w:val="20"/>
                <w:color w:val="auto"/>
              </w:rPr>
            </w:pPr>
            <w:r>
              <w:rPr>
                <w:rFonts w:ascii="Arial" w:cs="Arial" w:eastAsia="Arial" w:hAnsi="Arial"/>
                <w:sz w:val="14"/>
                <w:szCs w:val="14"/>
                <w:color w:val="auto"/>
              </w:rPr>
              <w:t>[†]</w:t>
            </w:r>
          </w:p>
        </w:tc>
        <w:tc>
          <w:tcPr>
            <w:tcW w:w="1680" w:type="dxa"/>
            <w:vAlign w:val="bottom"/>
            <w:tcBorders>
              <w:bottom w:val="single" w:sz="8" w:color="auto"/>
            </w:tcBorders>
          </w:tcPr>
          <w:p>
            <w:pPr>
              <w:ind w:left="320"/>
              <w:spacing w:after="0" w:line="142" w:lineRule="exact"/>
              <w:rPr>
                <w:sz w:val="20"/>
                <w:szCs w:val="20"/>
                <w:color w:val="auto"/>
              </w:rPr>
            </w:pPr>
            <w:r>
              <w:rPr>
                <w:rFonts w:ascii="Arial" w:cs="Arial" w:eastAsia="Arial" w:hAnsi="Arial"/>
                <w:sz w:val="14"/>
                <w:szCs w:val="14"/>
                <w:color w:val="auto"/>
              </w:rPr>
              <w:t>[†]</w:t>
            </w:r>
          </w:p>
        </w:tc>
        <w:tc>
          <w:tcPr>
            <w:tcW w:w="162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ind w:left="260"/>
              <w:spacing w:after="0" w:line="142" w:lineRule="exact"/>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tcPr>
          <w:p>
            <w:pPr>
              <w:spacing w:after="0" w:line="142" w:lineRule="exact"/>
              <w:rPr>
                <w:sz w:val="20"/>
                <w:szCs w:val="20"/>
                <w:color w:val="auto"/>
              </w:rPr>
            </w:pPr>
            <w:r>
              <w:rPr>
                <w:rFonts w:ascii="Arial" w:cs="Arial" w:eastAsia="Arial" w:hAnsi="Arial"/>
                <w:sz w:val="14"/>
                <w:szCs w:val="14"/>
                <w:color w:val="auto"/>
              </w:rPr>
              <w:t>[†]</w:t>
            </w:r>
          </w:p>
        </w:tc>
        <w:tc>
          <w:tcPr>
            <w:tcW w:w="1180" w:type="dxa"/>
            <w:vAlign w:val="bottom"/>
            <w:tcBorders>
              <w:bottom w:val="single" w:sz="8" w:color="auto"/>
            </w:tcBorders>
          </w:tcPr>
          <w:p>
            <w:pPr>
              <w:jc w:val="right"/>
              <w:ind w:right="948"/>
              <w:spacing w:after="0" w:line="142" w:lineRule="exact"/>
              <w:rPr>
                <w:sz w:val="20"/>
                <w:szCs w:val="20"/>
                <w:color w:val="auto"/>
              </w:rPr>
            </w:pPr>
            <w:r>
              <w:rPr>
                <w:rFonts w:ascii="Arial" w:cs="Arial" w:eastAsia="Arial" w:hAnsi="Arial"/>
                <w:sz w:val="14"/>
                <w:szCs w:val="14"/>
                <w:color w:val="auto"/>
                <w:w w:val="89"/>
              </w:rPr>
              <w:t>[†]</w:t>
            </w:r>
          </w:p>
        </w:tc>
      </w:tr>
      <w:tr>
        <w:trPr>
          <w:trHeight w:val="142"/>
        </w:trPr>
        <w:tc>
          <w:tcPr>
            <w:tcW w:w="920" w:type="dxa"/>
            <w:vAlign w:val="bottom"/>
            <w:tcBorders>
              <w:bottom w:val="single" w:sz="8" w:color="auto"/>
            </w:tcBorders>
          </w:tcPr>
          <w:p>
            <w:pPr>
              <w:ind w:left="20"/>
              <w:spacing w:after="0" w:line="142" w:lineRule="exact"/>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tcPr>
          <w:p>
            <w:pPr>
              <w:ind w:left="260"/>
              <w:spacing w:after="0" w:line="142" w:lineRule="exact"/>
              <w:rPr>
                <w:sz w:val="20"/>
                <w:szCs w:val="20"/>
                <w:color w:val="auto"/>
              </w:rPr>
            </w:pPr>
            <w:r>
              <w:rPr>
                <w:rFonts w:ascii="Arial" w:cs="Arial" w:eastAsia="Arial" w:hAnsi="Arial"/>
                <w:sz w:val="14"/>
                <w:szCs w:val="14"/>
                <w:color w:val="auto"/>
              </w:rPr>
              <w:t>[†]</w:t>
            </w:r>
          </w:p>
        </w:tc>
        <w:tc>
          <w:tcPr>
            <w:tcW w:w="1680" w:type="dxa"/>
            <w:vAlign w:val="bottom"/>
            <w:tcBorders>
              <w:bottom w:val="single" w:sz="8" w:color="auto"/>
            </w:tcBorders>
          </w:tcPr>
          <w:p>
            <w:pPr>
              <w:ind w:left="320"/>
              <w:spacing w:after="0" w:line="142" w:lineRule="exact"/>
              <w:rPr>
                <w:sz w:val="20"/>
                <w:szCs w:val="20"/>
                <w:color w:val="auto"/>
              </w:rPr>
            </w:pPr>
            <w:r>
              <w:rPr>
                <w:rFonts w:ascii="Arial" w:cs="Arial" w:eastAsia="Arial" w:hAnsi="Arial"/>
                <w:sz w:val="14"/>
                <w:szCs w:val="14"/>
                <w:color w:val="auto"/>
              </w:rPr>
              <w:t>[†]</w:t>
            </w:r>
          </w:p>
        </w:tc>
        <w:tc>
          <w:tcPr>
            <w:tcW w:w="1620" w:type="dxa"/>
            <w:vAlign w:val="bottom"/>
            <w:tcBorders>
              <w:bottom w:val="single" w:sz="8" w:color="auto"/>
            </w:tcBorders>
          </w:tcPr>
          <w:p>
            <w:pPr>
              <w:ind w:left="1100"/>
              <w:spacing w:after="0" w:line="142" w:lineRule="exact"/>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tcPr>
          <w:p>
            <w:pPr>
              <w:ind w:left="220"/>
              <w:spacing w:after="0" w:line="142" w:lineRule="exact"/>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ind w:left="260"/>
              <w:spacing w:after="0" w:line="142" w:lineRule="exact"/>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tcPr>
          <w:p>
            <w:pPr>
              <w:spacing w:after="0" w:line="142" w:lineRule="exact"/>
              <w:rPr>
                <w:sz w:val="20"/>
                <w:szCs w:val="20"/>
                <w:color w:val="auto"/>
              </w:rPr>
            </w:pPr>
            <w:r>
              <w:rPr>
                <w:rFonts w:ascii="Arial" w:cs="Arial" w:eastAsia="Arial" w:hAnsi="Arial"/>
                <w:sz w:val="14"/>
                <w:szCs w:val="14"/>
                <w:color w:val="auto"/>
              </w:rPr>
              <w:t>[†]</w:t>
            </w:r>
          </w:p>
        </w:tc>
        <w:tc>
          <w:tcPr>
            <w:tcW w:w="1180" w:type="dxa"/>
            <w:vAlign w:val="bottom"/>
            <w:tcBorders>
              <w:bottom w:val="single" w:sz="8" w:color="auto"/>
            </w:tcBorders>
          </w:tcPr>
          <w:p>
            <w:pPr>
              <w:jc w:val="right"/>
              <w:ind w:right="948"/>
              <w:spacing w:after="0" w:line="142" w:lineRule="exact"/>
              <w:rPr>
                <w:sz w:val="20"/>
                <w:szCs w:val="20"/>
                <w:color w:val="auto"/>
              </w:rPr>
            </w:pPr>
            <w:r>
              <w:rPr>
                <w:rFonts w:ascii="Arial" w:cs="Arial" w:eastAsia="Arial" w:hAnsi="Arial"/>
                <w:sz w:val="14"/>
                <w:szCs w:val="14"/>
                <w:color w:val="auto"/>
                <w:w w:val="89"/>
              </w:rPr>
              <w:t>[†]</w:t>
            </w:r>
          </w:p>
        </w:tc>
      </w:tr>
      <w:tr>
        <w:trPr>
          <w:trHeight w:val="142"/>
        </w:trPr>
        <w:tc>
          <w:tcPr>
            <w:tcW w:w="920" w:type="dxa"/>
            <w:vAlign w:val="bottom"/>
            <w:tcBorders>
              <w:bottom w:val="single" w:sz="8" w:color="auto"/>
            </w:tcBorders>
          </w:tcPr>
          <w:p>
            <w:pPr>
              <w:ind w:left="20"/>
              <w:spacing w:after="0" w:line="142" w:lineRule="exact"/>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tcPr>
          <w:p>
            <w:pPr>
              <w:ind w:left="260"/>
              <w:spacing w:after="0" w:line="142" w:lineRule="exact"/>
              <w:rPr>
                <w:sz w:val="20"/>
                <w:szCs w:val="20"/>
                <w:color w:val="auto"/>
              </w:rPr>
            </w:pPr>
            <w:r>
              <w:rPr>
                <w:rFonts w:ascii="Arial" w:cs="Arial" w:eastAsia="Arial" w:hAnsi="Arial"/>
                <w:sz w:val="14"/>
                <w:szCs w:val="14"/>
                <w:color w:val="auto"/>
              </w:rPr>
              <w:t>[†]</w:t>
            </w:r>
          </w:p>
        </w:tc>
        <w:tc>
          <w:tcPr>
            <w:tcW w:w="1680" w:type="dxa"/>
            <w:vAlign w:val="bottom"/>
            <w:tcBorders>
              <w:bottom w:val="single" w:sz="8" w:color="auto"/>
            </w:tcBorders>
          </w:tcPr>
          <w:p>
            <w:pPr>
              <w:ind w:left="320"/>
              <w:spacing w:after="0" w:line="142" w:lineRule="exact"/>
              <w:rPr>
                <w:sz w:val="20"/>
                <w:szCs w:val="20"/>
                <w:color w:val="auto"/>
              </w:rPr>
            </w:pPr>
            <w:r>
              <w:rPr>
                <w:rFonts w:ascii="Arial" w:cs="Arial" w:eastAsia="Arial" w:hAnsi="Arial"/>
                <w:sz w:val="14"/>
                <w:szCs w:val="14"/>
                <w:color w:val="auto"/>
              </w:rPr>
              <w:t>[†]</w:t>
            </w:r>
          </w:p>
        </w:tc>
        <w:tc>
          <w:tcPr>
            <w:tcW w:w="162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ind w:left="260"/>
              <w:spacing w:after="0" w:line="142" w:lineRule="exact"/>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tcPr>
          <w:p>
            <w:pPr>
              <w:spacing w:after="0" w:line="142" w:lineRule="exact"/>
              <w:rPr>
                <w:sz w:val="20"/>
                <w:szCs w:val="20"/>
                <w:color w:val="auto"/>
              </w:rPr>
            </w:pPr>
            <w:r>
              <w:rPr>
                <w:rFonts w:ascii="Arial" w:cs="Arial" w:eastAsia="Arial" w:hAnsi="Arial"/>
                <w:sz w:val="14"/>
                <w:szCs w:val="14"/>
                <w:color w:val="auto"/>
              </w:rPr>
              <w:t>[†]</w:t>
            </w:r>
          </w:p>
        </w:tc>
        <w:tc>
          <w:tcPr>
            <w:tcW w:w="1180" w:type="dxa"/>
            <w:vAlign w:val="bottom"/>
            <w:tcBorders>
              <w:bottom w:val="single" w:sz="8" w:color="auto"/>
            </w:tcBorders>
          </w:tcPr>
          <w:p>
            <w:pPr>
              <w:jc w:val="right"/>
              <w:ind w:right="948"/>
              <w:spacing w:after="0" w:line="142" w:lineRule="exact"/>
              <w:rPr>
                <w:sz w:val="20"/>
                <w:szCs w:val="20"/>
                <w:color w:val="auto"/>
              </w:rPr>
            </w:pPr>
            <w:r>
              <w:rPr>
                <w:rFonts w:ascii="Arial" w:cs="Arial" w:eastAsia="Arial" w:hAnsi="Arial"/>
                <w:sz w:val="14"/>
                <w:szCs w:val="14"/>
                <w:color w:val="auto"/>
                <w:w w:val="89"/>
              </w:rPr>
              <w:t>[†]</w:t>
            </w:r>
          </w:p>
        </w:tc>
      </w:tr>
      <w:tr>
        <w:trPr>
          <w:trHeight w:val="155"/>
        </w:trPr>
        <w:tc>
          <w:tcPr>
            <w:tcW w:w="920" w:type="dxa"/>
            <w:vAlign w:val="bottom"/>
          </w:tcPr>
          <w:p>
            <w:pPr>
              <w:ind w:left="20"/>
              <w:spacing w:after="0" w:line="155" w:lineRule="exact"/>
              <w:rPr>
                <w:sz w:val="20"/>
                <w:szCs w:val="20"/>
                <w:color w:val="auto"/>
              </w:rPr>
            </w:pPr>
            <w:r>
              <w:rPr>
                <w:rFonts w:ascii="Arial" w:cs="Arial" w:eastAsia="Arial" w:hAnsi="Arial"/>
                <w:sz w:val="14"/>
                <w:szCs w:val="14"/>
                <w:color w:val="auto"/>
              </w:rPr>
              <w:t>[†]</w:t>
            </w:r>
          </w:p>
        </w:tc>
        <w:tc>
          <w:tcPr>
            <w:tcW w:w="1120" w:type="dxa"/>
            <w:vAlign w:val="bottom"/>
          </w:tcPr>
          <w:p>
            <w:pPr>
              <w:ind w:left="260"/>
              <w:spacing w:after="0" w:line="155" w:lineRule="exact"/>
              <w:rPr>
                <w:sz w:val="20"/>
                <w:szCs w:val="20"/>
                <w:color w:val="auto"/>
              </w:rPr>
            </w:pPr>
            <w:r>
              <w:rPr>
                <w:rFonts w:ascii="Arial" w:cs="Arial" w:eastAsia="Arial" w:hAnsi="Arial"/>
                <w:sz w:val="14"/>
                <w:szCs w:val="14"/>
                <w:color w:val="auto"/>
              </w:rPr>
              <w:t>[†]</w:t>
            </w:r>
          </w:p>
        </w:tc>
        <w:tc>
          <w:tcPr>
            <w:tcW w:w="1680" w:type="dxa"/>
            <w:vAlign w:val="bottom"/>
          </w:tcPr>
          <w:p>
            <w:pPr>
              <w:ind w:left="320"/>
              <w:spacing w:after="0" w:line="155" w:lineRule="exact"/>
              <w:rPr>
                <w:sz w:val="20"/>
                <w:szCs w:val="20"/>
                <w:color w:val="auto"/>
              </w:rPr>
            </w:pPr>
            <w:r>
              <w:rPr>
                <w:rFonts w:ascii="Arial" w:cs="Arial" w:eastAsia="Arial" w:hAnsi="Arial"/>
                <w:sz w:val="14"/>
                <w:szCs w:val="14"/>
                <w:color w:val="auto"/>
              </w:rPr>
              <w:t>[†]</w:t>
            </w:r>
          </w:p>
        </w:tc>
        <w:tc>
          <w:tcPr>
            <w:tcW w:w="16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120" w:type="dxa"/>
            <w:vAlign w:val="bottom"/>
          </w:tcPr>
          <w:p>
            <w:pPr>
              <w:ind w:left="260"/>
              <w:spacing w:after="0" w:line="155" w:lineRule="exact"/>
              <w:rPr>
                <w:sz w:val="20"/>
                <w:szCs w:val="20"/>
                <w:color w:val="auto"/>
              </w:rPr>
            </w:pPr>
            <w:r>
              <w:rPr>
                <w:rFonts w:ascii="Arial" w:cs="Arial" w:eastAsia="Arial" w:hAnsi="Arial"/>
                <w:sz w:val="14"/>
                <w:szCs w:val="14"/>
                <w:color w:val="auto"/>
              </w:rPr>
              <w:t>[†]</w:t>
            </w:r>
          </w:p>
        </w:tc>
        <w:tc>
          <w:tcPr>
            <w:tcW w:w="1060" w:type="dxa"/>
            <w:vAlign w:val="bottom"/>
          </w:tcPr>
          <w:p>
            <w:pPr>
              <w:spacing w:after="0" w:line="155" w:lineRule="exact"/>
              <w:rPr>
                <w:sz w:val="20"/>
                <w:szCs w:val="20"/>
                <w:color w:val="auto"/>
              </w:rPr>
            </w:pPr>
            <w:r>
              <w:rPr>
                <w:rFonts w:ascii="Arial" w:cs="Arial" w:eastAsia="Arial" w:hAnsi="Arial"/>
                <w:sz w:val="14"/>
                <w:szCs w:val="14"/>
                <w:color w:val="auto"/>
              </w:rPr>
              <w:t>[†]</w:t>
            </w:r>
          </w:p>
        </w:tc>
        <w:tc>
          <w:tcPr>
            <w:tcW w:w="1180" w:type="dxa"/>
            <w:vAlign w:val="bottom"/>
          </w:tcPr>
          <w:p>
            <w:pPr>
              <w:jc w:val="right"/>
              <w:ind w:right="948"/>
              <w:spacing w:after="0" w:line="155" w:lineRule="exact"/>
              <w:rPr>
                <w:sz w:val="20"/>
                <w:szCs w:val="20"/>
                <w:color w:val="auto"/>
              </w:rPr>
            </w:pPr>
            <w:r>
              <w:rPr>
                <w:rFonts w:ascii="Arial" w:cs="Arial" w:eastAsia="Arial" w:hAnsi="Arial"/>
                <w:sz w:val="14"/>
                <w:szCs w:val="14"/>
                <w:color w:val="auto"/>
                <w:w w:val="89"/>
              </w:rPr>
              <w:t>[†]</w:t>
            </w:r>
          </w:p>
        </w:tc>
      </w:tr>
    </w:tbl>
    <w:p>
      <w:pPr>
        <w:ind w:left="860"/>
        <w:spacing w:after="0"/>
        <w:rPr>
          <w:sz w:val="20"/>
          <w:szCs w:val="20"/>
          <w:color w:val="auto"/>
        </w:rPr>
      </w:pPr>
      <w:r>
        <w:rPr>
          <w:rFonts w:ascii="Arial" w:cs="Arial" w:eastAsia="Arial" w:hAnsi="Arial"/>
          <w:sz w:val="20"/>
          <w:szCs w:val="20"/>
          <w:b w:val="1"/>
          <w:bCs w:val="1"/>
          <w:color w:val="auto"/>
        </w:rPr>
        <w:t>*Current Law Firm Contact:</w:t>
      </w:r>
    </w:p>
    <w:p>
      <w:pPr>
        <w:ind w:left="1640"/>
        <w:spacing w:after="0"/>
        <w:rPr>
          <w:sz w:val="20"/>
          <w:szCs w:val="20"/>
          <w:color w:val="auto"/>
        </w:rPr>
      </w:pPr>
      <w:r>
        <w:rPr>
          <w:rFonts w:ascii="Arial" w:cs="Arial" w:eastAsia="Arial" w:hAnsi="Arial"/>
          <w:sz w:val="20"/>
          <w:szCs w:val="20"/>
          <w:b w:val="1"/>
          <w:bCs w:val="1"/>
          <w:color w:val="auto"/>
        </w:rPr>
        <w:t>John E. Thomas, Counsel</w:t>
      </w:r>
    </w:p>
    <w:p>
      <w:pPr>
        <w:ind w:left="1640"/>
        <w:spacing w:after="0"/>
        <w:rPr>
          <w:sz w:val="20"/>
          <w:szCs w:val="20"/>
          <w:color w:val="auto"/>
        </w:rPr>
      </w:pPr>
      <w:r>
        <w:rPr>
          <w:rFonts w:ascii="Arial" w:cs="Arial" w:eastAsia="Arial" w:hAnsi="Arial"/>
          <w:sz w:val="20"/>
          <w:szCs w:val="20"/>
          <w:b w:val="1"/>
          <w:bCs w:val="1"/>
          <w:color w:val="auto"/>
        </w:rPr>
        <w:t>Harter Secrest &amp; Emery</w:t>
      </w:r>
    </w:p>
    <w:p>
      <w:pPr>
        <w:ind w:left="1640"/>
        <w:spacing w:after="0"/>
        <w:rPr>
          <w:sz w:val="20"/>
          <w:szCs w:val="20"/>
          <w:color w:val="auto"/>
        </w:rPr>
      </w:pPr>
      <w:r>
        <w:rPr>
          <w:rFonts w:ascii="Arial" w:cs="Arial" w:eastAsia="Arial" w:hAnsi="Arial"/>
          <w:sz w:val="20"/>
          <w:szCs w:val="20"/>
          <w:b w:val="1"/>
          <w:bCs w:val="1"/>
          <w:color w:val="auto"/>
        </w:rPr>
        <w:t>1600 Bausch &amp; Lomb Place</w:t>
      </w:r>
    </w:p>
    <w:p>
      <w:pPr>
        <w:ind w:left="1640"/>
        <w:spacing w:after="0"/>
        <w:rPr>
          <w:sz w:val="20"/>
          <w:szCs w:val="20"/>
          <w:color w:val="auto"/>
        </w:rPr>
      </w:pPr>
      <w:r>
        <w:rPr>
          <w:rFonts w:ascii="Arial" w:cs="Arial" w:eastAsia="Arial" w:hAnsi="Arial"/>
          <w:sz w:val="20"/>
          <w:szCs w:val="20"/>
          <w:b w:val="1"/>
          <w:bCs w:val="1"/>
          <w:color w:val="auto"/>
        </w:rPr>
        <w:t>Rochester, NY 14604-2711</w:t>
      </w:r>
    </w:p>
    <w:p>
      <w:pPr>
        <w:ind w:left="1640"/>
        <w:spacing w:after="0"/>
        <w:rPr>
          <w:sz w:val="20"/>
          <w:szCs w:val="20"/>
          <w:color w:val="auto"/>
        </w:rPr>
      </w:pPr>
      <w:r>
        <w:rPr>
          <w:rFonts w:ascii="Arial" w:cs="Arial" w:eastAsia="Arial" w:hAnsi="Arial"/>
          <w:sz w:val="20"/>
          <w:szCs w:val="20"/>
          <w:b w:val="1"/>
          <w:bCs w:val="1"/>
          <w:color w:val="auto"/>
        </w:rPr>
        <w:t>Telephone: [OMITTED]</w:t>
      </w:r>
    </w:p>
    <w:p>
      <w:pPr>
        <w:ind w:left="1640"/>
        <w:spacing w:after="0"/>
        <w:rPr>
          <w:sz w:val="20"/>
          <w:szCs w:val="20"/>
          <w:color w:val="auto"/>
        </w:rPr>
      </w:pPr>
      <w:r>
        <w:rPr>
          <w:rFonts w:ascii="Arial" w:cs="Arial" w:eastAsia="Arial" w:hAnsi="Arial"/>
          <w:sz w:val="20"/>
          <w:szCs w:val="20"/>
          <w:b w:val="1"/>
          <w:bCs w:val="1"/>
          <w:color w:val="auto"/>
        </w:rPr>
        <w:t xml:space="preserve">Email: </w:t>
      </w:r>
      <w:r>
        <w:rPr>
          <w:rFonts w:ascii="Arial" w:cs="Arial" w:eastAsia="Arial" w:hAnsi="Arial"/>
          <w:sz w:val="20"/>
          <w:szCs w:val="20"/>
          <w:b w:val="1"/>
          <w:bCs w:val="1"/>
          <w:u w:val="single" w:color="auto"/>
          <w:color w:val="auto"/>
        </w:rPr>
        <w:t>[OMITTED]</w:t>
      </w:r>
    </w:p>
    <w:p>
      <w:pPr>
        <w:spacing w:after="0" w:line="200" w:lineRule="exact"/>
        <w:rPr>
          <w:sz w:val="20"/>
          <w:szCs w:val="20"/>
          <w:color w:val="auto"/>
        </w:rPr>
      </w:pPr>
    </w:p>
    <w:p>
      <w:pPr>
        <w:spacing w:after="0" w:line="389" w:lineRule="exact"/>
        <w:rPr>
          <w:sz w:val="20"/>
          <w:szCs w:val="20"/>
          <w:color w:val="auto"/>
        </w:rPr>
      </w:pPr>
    </w:p>
    <w:p>
      <w:pPr>
        <w:ind w:right="40" w:firstLine="8"/>
        <w:spacing w:after="0" w:line="253" w:lineRule="auto"/>
        <w:tabs>
          <w:tab w:leader="none" w:pos="204" w:val="left"/>
        </w:tabs>
        <w:numPr>
          <w:ilvl w:val="0"/>
          <w:numId w:val="168"/>
        </w:numPr>
        <w:rPr>
          <w:rFonts w:ascii="Arial" w:cs="Arial" w:eastAsia="Arial" w:hAnsi="Arial"/>
          <w:sz w:val="14"/>
          <w:szCs w:val="14"/>
          <w:color w:val="auto"/>
        </w:rPr>
      </w:pPr>
      <w:r>
        <w:rPr>
          <w:rFonts w:ascii="Arial" w:cs="Arial" w:eastAsia="Arial" w:hAnsi="Arial"/>
          <w:sz w:val="14"/>
          <w:szCs w:val="14"/>
          <w:color w:val="auto"/>
        </w:rPr>
        <w:t>DESIGNATES PORTIONS OF THIS DOCUMENT THAT HAVE BEEN OMITTED PURSUANT TO A REQUEST FOR CONFIDENTIAL TREATMENT FILED SEPARATELY WITH THE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40640</wp:posOffset>
            </wp:positionV>
            <wp:extent cx="7289165"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6" w:right="239" w:bottom="1440" w:gutter="0" w:footer="0" w:header="0"/>
        </w:sectPr>
      </w:pPr>
    </w:p>
    <w:bookmarkStart w:id="118" w:name="page119"/>
    <w:bookmarkEnd w:id="118"/>
    <w:p>
      <w:pPr>
        <w:spacing w:after="0"/>
        <w:rPr>
          <w:sz w:val="20"/>
          <w:szCs w:val="20"/>
          <w:color w:val="auto"/>
        </w:rPr>
      </w:pPr>
      <w:r>
        <w:rPr>
          <w:rFonts w:ascii="Arial" w:cs="Arial" w:eastAsia="Arial" w:hAnsi="Arial"/>
          <w:sz w:val="20"/>
          <w:szCs w:val="20"/>
          <w:b w:val="1"/>
          <w:bCs w:val="1"/>
          <w:color w:val="auto"/>
        </w:rPr>
        <w:t>Section 2. VRX621698 Study Reports and Raw Data</w:t>
      </w:r>
    </w:p>
    <w:p>
      <w:pPr>
        <w:spacing w:after="0" w:line="14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ELECTRONIC FILES</w:t>
      </w:r>
    </w:p>
    <w:p>
      <w:pPr>
        <w:spacing w:after="0" w:line="71" w:lineRule="exact"/>
        <w:rPr>
          <w:sz w:val="20"/>
          <w:szCs w:val="20"/>
          <w:color w:val="auto"/>
        </w:rPr>
      </w:pPr>
    </w:p>
    <w:p>
      <w:pPr>
        <w:ind w:left="2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649160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46620" cy="6491605"/>
                    </a:xfrm>
                    <a:prstGeom prst="rect">
                      <a:avLst/>
                    </a:prstGeom>
                    <a:noFill/>
                  </pic:spPr>
                </pic:pic>
              </a:graphicData>
            </a:graphic>
          </wp:anchor>
        </w:drawing>
      </w:r>
    </w:p>
    <w:p>
      <w:pPr>
        <w:spacing w:after="0" w:line="57" w:lineRule="exact"/>
        <w:rPr>
          <w:sz w:val="20"/>
          <w:szCs w:val="20"/>
          <w:color w:val="auto"/>
        </w:rPr>
      </w:pPr>
    </w:p>
    <w:p>
      <w:pPr>
        <w:ind w:left="20"/>
        <w:spacing w:after="0"/>
        <w:rPr>
          <w:sz w:val="20"/>
          <w:szCs w:val="20"/>
          <w:color w:val="auto"/>
        </w:rPr>
      </w:pPr>
      <w:r>
        <w:rPr>
          <w:rFonts w:ascii="Arial" w:cs="Arial" w:eastAsia="Arial" w:hAnsi="Arial"/>
          <w:sz w:val="18"/>
          <w:szCs w:val="18"/>
          <w:color w:val="auto"/>
        </w:rPr>
        <w:t>[†]</w:t>
      </w:r>
    </w:p>
    <w:p>
      <w:pPr>
        <w:spacing w:after="0" w:line="77" w:lineRule="exact"/>
        <w:rPr>
          <w:sz w:val="20"/>
          <w:szCs w:val="20"/>
          <w:color w:val="auto"/>
        </w:rPr>
      </w:pPr>
    </w:p>
    <w:p>
      <w:pPr>
        <w:ind w:left="20"/>
        <w:spacing w:after="0"/>
        <w:rPr>
          <w:sz w:val="20"/>
          <w:szCs w:val="20"/>
          <w:color w:val="auto"/>
        </w:rPr>
      </w:pPr>
      <w:r>
        <w:rPr>
          <w:rFonts w:ascii="Arial" w:cs="Arial" w:eastAsia="Arial" w:hAnsi="Arial"/>
          <w:sz w:val="18"/>
          <w:szCs w:val="18"/>
          <w:color w:val="auto"/>
        </w:rPr>
        <w:t>[†]</w:t>
      </w:r>
    </w:p>
    <w:p>
      <w:pPr>
        <w:spacing w:after="0" w:line="77" w:lineRule="exact"/>
        <w:rPr>
          <w:sz w:val="20"/>
          <w:szCs w:val="20"/>
          <w:color w:val="auto"/>
        </w:rPr>
      </w:pPr>
    </w:p>
    <w:p>
      <w:pPr>
        <w:ind w:left="20"/>
        <w:spacing w:after="0"/>
        <w:rPr>
          <w:sz w:val="20"/>
          <w:szCs w:val="20"/>
          <w:color w:val="auto"/>
        </w:rPr>
      </w:pPr>
      <w:r>
        <w:rPr>
          <w:rFonts w:ascii="Arial" w:cs="Arial" w:eastAsia="Arial" w:hAnsi="Arial"/>
          <w:sz w:val="18"/>
          <w:szCs w:val="18"/>
          <w:color w:val="auto"/>
        </w:rPr>
        <w:t>[†]</w:t>
      </w:r>
    </w:p>
    <w:p>
      <w:pPr>
        <w:spacing w:after="0" w:line="77" w:lineRule="exact"/>
        <w:rPr>
          <w:sz w:val="20"/>
          <w:szCs w:val="20"/>
          <w:color w:val="auto"/>
        </w:rPr>
      </w:pPr>
    </w:p>
    <w:p>
      <w:pPr>
        <w:ind w:left="20"/>
        <w:spacing w:after="0"/>
        <w:rPr>
          <w:sz w:val="20"/>
          <w:szCs w:val="20"/>
          <w:color w:val="auto"/>
        </w:rPr>
      </w:pPr>
      <w:r>
        <w:rPr>
          <w:rFonts w:ascii="Arial" w:cs="Arial" w:eastAsia="Arial" w:hAnsi="Arial"/>
          <w:sz w:val="18"/>
          <w:szCs w:val="18"/>
          <w:color w:val="auto"/>
        </w:rPr>
        <w:t>[†]</w:t>
      </w:r>
    </w:p>
    <w:p>
      <w:pPr>
        <w:spacing w:after="0" w:line="77" w:lineRule="exact"/>
        <w:rPr>
          <w:sz w:val="20"/>
          <w:szCs w:val="20"/>
          <w:color w:val="auto"/>
        </w:rPr>
      </w:pPr>
    </w:p>
    <w:p>
      <w:pPr>
        <w:ind w:left="20"/>
        <w:spacing w:after="0"/>
        <w:rPr>
          <w:sz w:val="20"/>
          <w:szCs w:val="20"/>
          <w:color w:val="auto"/>
        </w:rPr>
      </w:pPr>
      <w:r>
        <w:rPr>
          <w:rFonts w:ascii="Arial" w:cs="Arial" w:eastAsia="Arial" w:hAnsi="Arial"/>
          <w:sz w:val="18"/>
          <w:szCs w:val="18"/>
          <w:color w:val="auto"/>
        </w:rPr>
        <w:t>[†]</w:t>
      </w:r>
    </w:p>
    <w:p>
      <w:pPr>
        <w:spacing w:after="0" w:line="77" w:lineRule="exact"/>
        <w:rPr>
          <w:sz w:val="20"/>
          <w:szCs w:val="20"/>
          <w:color w:val="auto"/>
        </w:rPr>
      </w:pPr>
    </w:p>
    <w:p>
      <w:pPr>
        <w:ind w:left="20"/>
        <w:spacing w:after="0"/>
        <w:rPr>
          <w:sz w:val="20"/>
          <w:szCs w:val="20"/>
          <w:color w:val="auto"/>
        </w:rPr>
      </w:pPr>
      <w:r>
        <w:rPr>
          <w:rFonts w:ascii="Arial" w:cs="Arial" w:eastAsia="Arial" w:hAnsi="Arial"/>
          <w:sz w:val="18"/>
          <w:szCs w:val="18"/>
          <w:color w:val="auto"/>
        </w:rPr>
        <w:t>[†]</w:t>
      </w:r>
    </w:p>
    <w:p>
      <w:pPr>
        <w:spacing w:after="0" w:line="77" w:lineRule="exact"/>
        <w:rPr>
          <w:sz w:val="20"/>
          <w:szCs w:val="20"/>
          <w:color w:val="auto"/>
        </w:rPr>
      </w:pPr>
    </w:p>
    <w:p>
      <w:pPr>
        <w:ind w:left="20"/>
        <w:spacing w:after="0"/>
        <w:rPr>
          <w:sz w:val="20"/>
          <w:szCs w:val="20"/>
          <w:color w:val="auto"/>
        </w:rPr>
      </w:pPr>
      <w:r>
        <w:rPr>
          <w:rFonts w:ascii="Arial" w:cs="Arial" w:eastAsia="Arial" w:hAnsi="Arial"/>
          <w:sz w:val="18"/>
          <w:szCs w:val="18"/>
          <w:color w:val="auto"/>
        </w:rPr>
        <w:t>[†]</w:t>
      </w:r>
    </w:p>
    <w:p>
      <w:pPr>
        <w:spacing w:after="0" w:line="77" w:lineRule="exact"/>
        <w:rPr>
          <w:sz w:val="20"/>
          <w:szCs w:val="20"/>
          <w:color w:val="auto"/>
        </w:rPr>
      </w:pPr>
    </w:p>
    <w:p>
      <w:pPr>
        <w:ind w:left="20"/>
        <w:spacing w:after="0"/>
        <w:rPr>
          <w:sz w:val="20"/>
          <w:szCs w:val="20"/>
          <w:color w:val="auto"/>
        </w:rPr>
      </w:pPr>
      <w:r>
        <w:rPr>
          <w:rFonts w:ascii="Arial" w:cs="Arial" w:eastAsia="Arial" w:hAnsi="Arial"/>
          <w:sz w:val="18"/>
          <w:szCs w:val="18"/>
          <w:color w:val="auto"/>
        </w:rPr>
        <w:t>[†]</w:t>
      </w:r>
    </w:p>
    <w:p>
      <w:pPr>
        <w:spacing w:after="0" w:line="77" w:lineRule="exact"/>
        <w:rPr>
          <w:sz w:val="20"/>
          <w:szCs w:val="20"/>
          <w:color w:val="auto"/>
        </w:rPr>
      </w:pPr>
    </w:p>
    <w:p>
      <w:pPr>
        <w:ind w:left="20"/>
        <w:spacing w:after="0"/>
        <w:rPr>
          <w:sz w:val="20"/>
          <w:szCs w:val="20"/>
          <w:color w:val="auto"/>
        </w:rPr>
      </w:pPr>
      <w:r>
        <w:rPr>
          <w:rFonts w:ascii="Arial" w:cs="Arial" w:eastAsia="Arial" w:hAnsi="Arial"/>
          <w:sz w:val="18"/>
          <w:szCs w:val="18"/>
          <w:color w:val="auto"/>
        </w:rPr>
        <w:t>[†]</w:t>
      </w:r>
    </w:p>
    <w:p>
      <w:pPr>
        <w:spacing w:after="0" w:line="77" w:lineRule="exact"/>
        <w:rPr>
          <w:sz w:val="20"/>
          <w:szCs w:val="20"/>
          <w:color w:val="auto"/>
        </w:rPr>
      </w:pPr>
    </w:p>
    <w:p>
      <w:pPr>
        <w:ind w:left="20"/>
        <w:spacing w:after="0"/>
        <w:rPr>
          <w:sz w:val="20"/>
          <w:szCs w:val="20"/>
          <w:color w:val="auto"/>
        </w:rPr>
      </w:pPr>
      <w:r>
        <w:rPr>
          <w:rFonts w:ascii="Arial" w:cs="Arial" w:eastAsia="Arial" w:hAnsi="Arial"/>
          <w:sz w:val="18"/>
          <w:szCs w:val="18"/>
          <w:color w:val="auto"/>
        </w:rPr>
        <w:t>[†]</w:t>
      </w:r>
    </w:p>
    <w:p>
      <w:pPr>
        <w:spacing w:after="0" w:line="77" w:lineRule="exact"/>
        <w:rPr>
          <w:sz w:val="20"/>
          <w:szCs w:val="20"/>
          <w:color w:val="auto"/>
        </w:rPr>
      </w:pPr>
    </w:p>
    <w:p>
      <w:pPr>
        <w:ind w:left="20"/>
        <w:spacing w:after="0"/>
        <w:rPr>
          <w:sz w:val="20"/>
          <w:szCs w:val="20"/>
          <w:color w:val="auto"/>
        </w:rPr>
      </w:pPr>
      <w:r>
        <w:rPr>
          <w:rFonts w:ascii="Arial" w:cs="Arial" w:eastAsia="Arial" w:hAnsi="Arial"/>
          <w:sz w:val="18"/>
          <w:szCs w:val="18"/>
          <w:color w:val="auto"/>
        </w:rPr>
        <w:t>[†]</w:t>
      </w:r>
    </w:p>
    <w:p>
      <w:pPr>
        <w:spacing w:after="0" w:line="77" w:lineRule="exact"/>
        <w:rPr>
          <w:sz w:val="20"/>
          <w:szCs w:val="20"/>
          <w:color w:val="auto"/>
        </w:rPr>
      </w:pPr>
    </w:p>
    <w:p>
      <w:pPr>
        <w:ind w:left="20"/>
        <w:spacing w:after="0"/>
        <w:rPr>
          <w:sz w:val="20"/>
          <w:szCs w:val="20"/>
          <w:color w:val="auto"/>
        </w:rPr>
      </w:pPr>
      <w:r>
        <w:rPr>
          <w:rFonts w:ascii="Arial" w:cs="Arial" w:eastAsia="Arial" w:hAnsi="Arial"/>
          <w:sz w:val="18"/>
          <w:szCs w:val="18"/>
          <w:color w:val="auto"/>
        </w:rPr>
        <w:t>[†]</w:t>
      </w:r>
    </w:p>
    <w:p>
      <w:pPr>
        <w:spacing w:after="0" w:line="77" w:lineRule="exact"/>
        <w:rPr>
          <w:sz w:val="20"/>
          <w:szCs w:val="20"/>
          <w:color w:val="auto"/>
        </w:rPr>
      </w:pPr>
    </w:p>
    <w:p>
      <w:pPr>
        <w:ind w:left="20"/>
        <w:spacing w:after="0"/>
        <w:rPr>
          <w:sz w:val="20"/>
          <w:szCs w:val="20"/>
          <w:color w:val="auto"/>
        </w:rPr>
      </w:pPr>
      <w:r>
        <w:rPr>
          <w:rFonts w:ascii="Arial" w:cs="Arial" w:eastAsia="Arial" w:hAnsi="Arial"/>
          <w:sz w:val="18"/>
          <w:szCs w:val="18"/>
          <w:color w:val="auto"/>
        </w:rPr>
        <w:t>[†]</w:t>
      </w:r>
    </w:p>
    <w:p>
      <w:pPr>
        <w:spacing w:after="0" w:line="77" w:lineRule="exact"/>
        <w:rPr>
          <w:sz w:val="20"/>
          <w:szCs w:val="20"/>
          <w:color w:val="auto"/>
        </w:rPr>
      </w:pPr>
    </w:p>
    <w:p>
      <w:pPr>
        <w:ind w:left="20"/>
        <w:spacing w:after="0"/>
        <w:rPr>
          <w:sz w:val="20"/>
          <w:szCs w:val="20"/>
          <w:color w:val="auto"/>
        </w:rPr>
      </w:pPr>
      <w:r>
        <w:rPr>
          <w:rFonts w:ascii="Arial" w:cs="Arial" w:eastAsia="Arial" w:hAnsi="Arial"/>
          <w:sz w:val="18"/>
          <w:szCs w:val="18"/>
          <w:color w:val="auto"/>
        </w:rPr>
        <w:t>[†]</w:t>
      </w:r>
    </w:p>
    <w:p>
      <w:pPr>
        <w:spacing w:after="0" w:line="77" w:lineRule="exact"/>
        <w:rPr>
          <w:sz w:val="20"/>
          <w:szCs w:val="20"/>
          <w:color w:val="auto"/>
        </w:rPr>
      </w:pPr>
    </w:p>
    <w:p>
      <w:pPr>
        <w:ind w:left="20"/>
        <w:spacing w:after="0"/>
        <w:rPr>
          <w:sz w:val="20"/>
          <w:szCs w:val="20"/>
          <w:color w:val="auto"/>
        </w:rPr>
      </w:pPr>
      <w:r>
        <w:rPr>
          <w:rFonts w:ascii="Arial" w:cs="Arial" w:eastAsia="Arial" w:hAnsi="Arial"/>
          <w:sz w:val="18"/>
          <w:szCs w:val="18"/>
          <w:color w:val="auto"/>
        </w:rPr>
        <w:t>[†]</w:t>
      </w:r>
    </w:p>
    <w:p>
      <w:pPr>
        <w:spacing w:after="0" w:line="77" w:lineRule="exact"/>
        <w:rPr>
          <w:sz w:val="20"/>
          <w:szCs w:val="20"/>
          <w:color w:val="auto"/>
        </w:rPr>
      </w:pPr>
    </w:p>
    <w:p>
      <w:pPr>
        <w:ind w:left="20"/>
        <w:spacing w:after="0"/>
        <w:rPr>
          <w:sz w:val="20"/>
          <w:szCs w:val="20"/>
          <w:color w:val="auto"/>
        </w:rPr>
      </w:pPr>
      <w:r>
        <w:rPr>
          <w:rFonts w:ascii="Arial" w:cs="Arial" w:eastAsia="Arial" w:hAnsi="Arial"/>
          <w:sz w:val="18"/>
          <w:szCs w:val="18"/>
          <w:color w:val="auto"/>
        </w:rPr>
        <w:t>[†]</w:t>
      </w:r>
    </w:p>
    <w:p>
      <w:pPr>
        <w:spacing w:after="0" w:line="77" w:lineRule="exact"/>
        <w:rPr>
          <w:sz w:val="20"/>
          <w:szCs w:val="20"/>
          <w:color w:val="auto"/>
        </w:rPr>
      </w:pPr>
    </w:p>
    <w:p>
      <w:pPr>
        <w:ind w:left="20"/>
        <w:spacing w:after="0"/>
        <w:rPr>
          <w:sz w:val="20"/>
          <w:szCs w:val="20"/>
          <w:color w:val="auto"/>
        </w:rPr>
      </w:pPr>
      <w:r>
        <w:rPr>
          <w:rFonts w:ascii="Arial" w:cs="Arial" w:eastAsia="Arial" w:hAnsi="Arial"/>
          <w:sz w:val="18"/>
          <w:szCs w:val="18"/>
          <w:color w:val="auto"/>
        </w:rPr>
        <w:t>[†]</w:t>
      </w:r>
    </w:p>
    <w:p>
      <w:pPr>
        <w:spacing w:after="0" w:line="77" w:lineRule="exact"/>
        <w:rPr>
          <w:sz w:val="20"/>
          <w:szCs w:val="20"/>
          <w:color w:val="auto"/>
        </w:rPr>
      </w:pPr>
    </w:p>
    <w:p>
      <w:pPr>
        <w:ind w:left="20"/>
        <w:spacing w:after="0"/>
        <w:rPr>
          <w:sz w:val="20"/>
          <w:szCs w:val="20"/>
          <w:color w:val="auto"/>
        </w:rPr>
      </w:pPr>
      <w:r>
        <w:rPr>
          <w:rFonts w:ascii="Arial" w:cs="Arial" w:eastAsia="Arial" w:hAnsi="Arial"/>
          <w:sz w:val="18"/>
          <w:szCs w:val="18"/>
          <w:color w:val="auto"/>
        </w:rPr>
        <w:t>[†]</w:t>
      </w:r>
    </w:p>
    <w:p>
      <w:pPr>
        <w:spacing w:after="0" w:line="77" w:lineRule="exact"/>
        <w:rPr>
          <w:sz w:val="20"/>
          <w:szCs w:val="20"/>
          <w:color w:val="auto"/>
        </w:rPr>
      </w:pPr>
    </w:p>
    <w:p>
      <w:pPr>
        <w:ind w:left="20"/>
        <w:spacing w:after="0"/>
        <w:rPr>
          <w:sz w:val="20"/>
          <w:szCs w:val="20"/>
          <w:color w:val="auto"/>
        </w:rPr>
      </w:pPr>
      <w:r>
        <w:rPr>
          <w:rFonts w:ascii="Arial" w:cs="Arial" w:eastAsia="Arial" w:hAnsi="Arial"/>
          <w:sz w:val="18"/>
          <w:szCs w:val="18"/>
          <w:color w:val="auto"/>
        </w:rPr>
        <w:t>[†]</w:t>
      </w:r>
    </w:p>
    <w:p>
      <w:pPr>
        <w:spacing w:after="0" w:line="77" w:lineRule="exact"/>
        <w:rPr>
          <w:sz w:val="20"/>
          <w:szCs w:val="20"/>
          <w:color w:val="auto"/>
        </w:rPr>
      </w:pPr>
    </w:p>
    <w:p>
      <w:pPr>
        <w:ind w:left="20"/>
        <w:spacing w:after="0"/>
        <w:rPr>
          <w:sz w:val="20"/>
          <w:szCs w:val="20"/>
          <w:color w:val="auto"/>
        </w:rPr>
      </w:pPr>
      <w:r>
        <w:rPr>
          <w:rFonts w:ascii="Arial" w:cs="Arial" w:eastAsia="Arial" w:hAnsi="Arial"/>
          <w:sz w:val="18"/>
          <w:szCs w:val="18"/>
          <w:color w:val="auto"/>
        </w:rPr>
        <w:t>[†]</w:t>
      </w:r>
    </w:p>
    <w:p>
      <w:pPr>
        <w:spacing w:after="0" w:line="77" w:lineRule="exact"/>
        <w:rPr>
          <w:sz w:val="20"/>
          <w:szCs w:val="20"/>
          <w:color w:val="auto"/>
        </w:rPr>
      </w:pPr>
    </w:p>
    <w:p>
      <w:pPr>
        <w:ind w:left="20"/>
        <w:spacing w:after="0"/>
        <w:rPr>
          <w:sz w:val="20"/>
          <w:szCs w:val="20"/>
          <w:color w:val="auto"/>
        </w:rPr>
      </w:pPr>
      <w:r>
        <w:rPr>
          <w:rFonts w:ascii="Arial" w:cs="Arial" w:eastAsia="Arial" w:hAnsi="Arial"/>
          <w:sz w:val="18"/>
          <w:szCs w:val="18"/>
          <w:color w:val="auto"/>
        </w:rPr>
        <w:t>[†]</w:t>
      </w:r>
    </w:p>
    <w:p>
      <w:pPr>
        <w:spacing w:after="0" w:line="77" w:lineRule="exact"/>
        <w:rPr>
          <w:sz w:val="20"/>
          <w:szCs w:val="20"/>
          <w:color w:val="auto"/>
        </w:rPr>
      </w:pPr>
    </w:p>
    <w:p>
      <w:pPr>
        <w:ind w:left="20"/>
        <w:spacing w:after="0"/>
        <w:rPr>
          <w:sz w:val="20"/>
          <w:szCs w:val="20"/>
          <w:color w:val="auto"/>
        </w:rPr>
      </w:pPr>
      <w:r>
        <w:rPr>
          <w:rFonts w:ascii="Arial" w:cs="Arial" w:eastAsia="Arial" w:hAnsi="Arial"/>
          <w:sz w:val="18"/>
          <w:szCs w:val="18"/>
          <w:color w:val="auto"/>
        </w:rPr>
        <w:t>[†]</w:t>
      </w:r>
    </w:p>
    <w:p>
      <w:pPr>
        <w:spacing w:after="0" w:line="77" w:lineRule="exact"/>
        <w:rPr>
          <w:sz w:val="20"/>
          <w:szCs w:val="20"/>
          <w:color w:val="auto"/>
        </w:rPr>
      </w:pPr>
    </w:p>
    <w:p>
      <w:pPr>
        <w:ind w:left="20"/>
        <w:spacing w:after="0"/>
        <w:rPr>
          <w:sz w:val="20"/>
          <w:szCs w:val="20"/>
          <w:color w:val="auto"/>
        </w:rPr>
      </w:pPr>
      <w:r>
        <w:rPr>
          <w:rFonts w:ascii="Arial" w:cs="Arial" w:eastAsia="Arial" w:hAnsi="Arial"/>
          <w:sz w:val="18"/>
          <w:szCs w:val="18"/>
          <w:color w:val="auto"/>
        </w:rPr>
        <w:t>[†]</w:t>
      </w:r>
    </w:p>
    <w:p>
      <w:pPr>
        <w:spacing w:after="0" w:line="77" w:lineRule="exact"/>
        <w:rPr>
          <w:sz w:val="20"/>
          <w:szCs w:val="20"/>
          <w:color w:val="auto"/>
        </w:rPr>
      </w:pPr>
    </w:p>
    <w:p>
      <w:pPr>
        <w:ind w:left="20"/>
        <w:spacing w:after="0"/>
        <w:rPr>
          <w:sz w:val="20"/>
          <w:szCs w:val="20"/>
          <w:color w:val="auto"/>
        </w:rPr>
      </w:pPr>
      <w:r>
        <w:rPr>
          <w:rFonts w:ascii="Arial" w:cs="Arial" w:eastAsia="Arial" w:hAnsi="Arial"/>
          <w:sz w:val="18"/>
          <w:szCs w:val="18"/>
          <w:color w:val="auto"/>
        </w:rPr>
        <w:t>[†]</w:t>
      </w:r>
    </w:p>
    <w:p>
      <w:pPr>
        <w:spacing w:after="0" w:line="77" w:lineRule="exact"/>
        <w:rPr>
          <w:sz w:val="20"/>
          <w:szCs w:val="20"/>
          <w:color w:val="auto"/>
        </w:rPr>
      </w:pPr>
    </w:p>
    <w:p>
      <w:pPr>
        <w:ind w:left="20"/>
        <w:spacing w:after="0"/>
        <w:rPr>
          <w:sz w:val="20"/>
          <w:szCs w:val="20"/>
          <w:color w:val="auto"/>
        </w:rPr>
      </w:pPr>
      <w:r>
        <w:rPr>
          <w:rFonts w:ascii="Arial" w:cs="Arial" w:eastAsia="Arial" w:hAnsi="Arial"/>
          <w:sz w:val="18"/>
          <w:szCs w:val="18"/>
          <w:color w:val="auto"/>
        </w:rPr>
        <w:t>[†]</w:t>
      </w:r>
    </w:p>
    <w:p>
      <w:pPr>
        <w:spacing w:after="0" w:line="77" w:lineRule="exact"/>
        <w:rPr>
          <w:sz w:val="20"/>
          <w:szCs w:val="20"/>
          <w:color w:val="auto"/>
        </w:rPr>
      </w:pPr>
    </w:p>
    <w:p>
      <w:pPr>
        <w:ind w:left="20"/>
        <w:spacing w:after="0"/>
        <w:rPr>
          <w:sz w:val="20"/>
          <w:szCs w:val="20"/>
          <w:color w:val="auto"/>
        </w:rPr>
      </w:pPr>
      <w:r>
        <w:rPr>
          <w:rFonts w:ascii="Arial" w:cs="Arial" w:eastAsia="Arial" w:hAnsi="Arial"/>
          <w:sz w:val="18"/>
          <w:szCs w:val="18"/>
          <w:color w:val="auto"/>
        </w:rPr>
        <w:t>[†]</w:t>
      </w:r>
    </w:p>
    <w:p>
      <w:pPr>
        <w:spacing w:after="0" w:line="77" w:lineRule="exact"/>
        <w:rPr>
          <w:sz w:val="20"/>
          <w:szCs w:val="20"/>
          <w:color w:val="auto"/>
        </w:rPr>
      </w:pPr>
    </w:p>
    <w:p>
      <w:pPr>
        <w:ind w:left="20"/>
        <w:spacing w:after="0"/>
        <w:rPr>
          <w:sz w:val="20"/>
          <w:szCs w:val="20"/>
          <w:color w:val="auto"/>
        </w:rPr>
      </w:pPr>
      <w:r>
        <w:rPr>
          <w:rFonts w:ascii="Arial" w:cs="Arial" w:eastAsia="Arial" w:hAnsi="Arial"/>
          <w:sz w:val="18"/>
          <w:szCs w:val="18"/>
          <w:color w:val="auto"/>
        </w:rPr>
        <w:t>[†]</w:t>
      </w:r>
    </w:p>
    <w:p>
      <w:pPr>
        <w:spacing w:after="0" w:line="77" w:lineRule="exact"/>
        <w:rPr>
          <w:sz w:val="20"/>
          <w:szCs w:val="20"/>
          <w:color w:val="auto"/>
        </w:rPr>
      </w:pPr>
    </w:p>
    <w:p>
      <w:pPr>
        <w:ind w:left="20"/>
        <w:spacing w:after="0"/>
        <w:rPr>
          <w:sz w:val="20"/>
          <w:szCs w:val="20"/>
          <w:color w:val="auto"/>
        </w:rPr>
      </w:pPr>
      <w:r>
        <w:rPr>
          <w:rFonts w:ascii="Arial" w:cs="Arial" w:eastAsia="Arial" w:hAnsi="Arial"/>
          <w:sz w:val="18"/>
          <w:szCs w:val="18"/>
          <w:color w:val="auto"/>
        </w:rPr>
        <w:t>[†]</w:t>
      </w:r>
    </w:p>
    <w:p>
      <w:pPr>
        <w:spacing w:after="0" w:line="77" w:lineRule="exact"/>
        <w:rPr>
          <w:sz w:val="20"/>
          <w:szCs w:val="20"/>
          <w:color w:val="auto"/>
        </w:rPr>
      </w:pPr>
    </w:p>
    <w:p>
      <w:pPr>
        <w:ind w:left="20"/>
        <w:spacing w:after="0"/>
        <w:rPr>
          <w:sz w:val="20"/>
          <w:szCs w:val="20"/>
          <w:color w:val="auto"/>
        </w:rPr>
      </w:pPr>
      <w:r>
        <w:rPr>
          <w:rFonts w:ascii="Arial" w:cs="Arial" w:eastAsia="Arial" w:hAnsi="Arial"/>
          <w:sz w:val="18"/>
          <w:szCs w:val="18"/>
          <w:color w:val="auto"/>
        </w:rPr>
        <w:t>[†]</w:t>
      </w:r>
    </w:p>
    <w:p>
      <w:pPr>
        <w:spacing w:after="0" w:line="77" w:lineRule="exact"/>
        <w:rPr>
          <w:sz w:val="20"/>
          <w:szCs w:val="20"/>
          <w:color w:val="auto"/>
        </w:rPr>
      </w:pPr>
    </w:p>
    <w:p>
      <w:pPr>
        <w:ind w:left="20"/>
        <w:spacing w:after="0"/>
        <w:rPr>
          <w:sz w:val="20"/>
          <w:szCs w:val="20"/>
          <w:color w:val="auto"/>
        </w:rPr>
      </w:pPr>
      <w:r>
        <w:rPr>
          <w:rFonts w:ascii="Arial" w:cs="Arial" w:eastAsia="Arial" w:hAnsi="Arial"/>
          <w:sz w:val="18"/>
          <w:szCs w:val="18"/>
          <w:color w:val="auto"/>
        </w:rPr>
        <w:t>[†]</w:t>
      </w:r>
    </w:p>
    <w:p>
      <w:pPr>
        <w:spacing w:after="0" w:line="77" w:lineRule="exact"/>
        <w:rPr>
          <w:sz w:val="20"/>
          <w:szCs w:val="20"/>
          <w:color w:val="auto"/>
        </w:rPr>
      </w:pPr>
    </w:p>
    <w:p>
      <w:pPr>
        <w:ind w:left="20"/>
        <w:spacing w:after="0"/>
        <w:rPr>
          <w:sz w:val="20"/>
          <w:szCs w:val="20"/>
          <w:color w:val="auto"/>
        </w:rPr>
      </w:pPr>
      <w:r>
        <w:rPr>
          <w:rFonts w:ascii="Arial" w:cs="Arial" w:eastAsia="Arial" w:hAnsi="Arial"/>
          <w:sz w:val="18"/>
          <w:szCs w:val="18"/>
          <w:color w:val="auto"/>
        </w:rPr>
        <w:t>[†]</w:t>
      </w:r>
    </w:p>
    <w:p>
      <w:pPr>
        <w:spacing w:after="0" w:line="77" w:lineRule="exact"/>
        <w:rPr>
          <w:sz w:val="20"/>
          <w:szCs w:val="20"/>
          <w:color w:val="auto"/>
        </w:rPr>
      </w:pPr>
    </w:p>
    <w:p>
      <w:pPr>
        <w:ind w:left="20"/>
        <w:spacing w:after="0"/>
        <w:rPr>
          <w:sz w:val="20"/>
          <w:szCs w:val="20"/>
          <w:color w:val="auto"/>
        </w:rPr>
      </w:pPr>
      <w:r>
        <w:rPr>
          <w:rFonts w:ascii="Arial" w:cs="Arial" w:eastAsia="Arial" w:hAnsi="Arial"/>
          <w:sz w:val="18"/>
          <w:szCs w:val="18"/>
          <w:color w:val="auto"/>
        </w:rPr>
        <w:t>[†]</w:t>
      </w:r>
    </w:p>
    <w:p>
      <w:pPr>
        <w:spacing w:after="0" w:line="77" w:lineRule="exact"/>
        <w:rPr>
          <w:sz w:val="20"/>
          <w:szCs w:val="20"/>
          <w:color w:val="auto"/>
        </w:rPr>
      </w:pPr>
    </w:p>
    <w:p>
      <w:pPr>
        <w:ind w:left="20"/>
        <w:spacing w:after="0"/>
        <w:rPr>
          <w:sz w:val="20"/>
          <w:szCs w:val="20"/>
          <w:color w:val="auto"/>
        </w:rPr>
      </w:pPr>
      <w:r>
        <w:rPr>
          <w:rFonts w:ascii="Arial" w:cs="Arial" w:eastAsia="Arial" w:hAnsi="Arial"/>
          <w:sz w:val="18"/>
          <w:szCs w:val="18"/>
          <w:color w:val="auto"/>
        </w:rPr>
        <w:t>[†]</w:t>
      </w:r>
    </w:p>
    <w:p>
      <w:pPr>
        <w:spacing w:after="0" w:line="77" w:lineRule="exact"/>
        <w:rPr>
          <w:sz w:val="20"/>
          <w:szCs w:val="20"/>
          <w:color w:val="auto"/>
        </w:rPr>
      </w:pPr>
    </w:p>
    <w:p>
      <w:pPr>
        <w:ind w:left="20"/>
        <w:spacing w:after="0"/>
        <w:rPr>
          <w:sz w:val="20"/>
          <w:szCs w:val="20"/>
          <w:color w:val="auto"/>
        </w:rPr>
      </w:pPr>
      <w:r>
        <w:rPr>
          <w:rFonts w:ascii="Arial" w:cs="Arial" w:eastAsia="Arial" w:hAnsi="Arial"/>
          <w:sz w:val="18"/>
          <w:szCs w:val="18"/>
          <w:color w:val="auto"/>
        </w:rPr>
        <w:t>[†]</w:t>
      </w:r>
    </w:p>
    <w:p>
      <w:pPr>
        <w:spacing w:after="0" w:line="77" w:lineRule="exact"/>
        <w:rPr>
          <w:sz w:val="20"/>
          <w:szCs w:val="20"/>
          <w:color w:val="auto"/>
        </w:rPr>
      </w:pPr>
    </w:p>
    <w:p>
      <w:pPr>
        <w:ind w:left="20"/>
        <w:spacing w:after="0"/>
        <w:rPr>
          <w:sz w:val="20"/>
          <w:szCs w:val="20"/>
          <w:color w:val="auto"/>
        </w:rPr>
      </w:pPr>
      <w:r>
        <w:rPr>
          <w:rFonts w:ascii="Arial" w:cs="Arial" w:eastAsia="Arial" w:hAnsi="Arial"/>
          <w:sz w:val="18"/>
          <w:szCs w:val="18"/>
          <w:color w:val="auto"/>
        </w:rPr>
        <w:t>[†]</w:t>
      </w:r>
    </w:p>
    <w:p>
      <w:pPr>
        <w:spacing w:after="0" w:line="288" w:lineRule="exact"/>
        <w:rPr>
          <w:sz w:val="20"/>
          <w:szCs w:val="20"/>
          <w:color w:val="auto"/>
        </w:rPr>
      </w:pPr>
    </w:p>
    <w:p>
      <w:pPr>
        <w:ind w:firstLine="8"/>
        <w:spacing w:after="0" w:line="253" w:lineRule="auto"/>
        <w:tabs>
          <w:tab w:leader="none" w:pos="204" w:val="left"/>
        </w:tabs>
        <w:numPr>
          <w:ilvl w:val="0"/>
          <w:numId w:val="169"/>
        </w:numPr>
        <w:rPr>
          <w:rFonts w:ascii="Arial" w:cs="Arial" w:eastAsia="Arial" w:hAnsi="Arial"/>
          <w:sz w:val="14"/>
          <w:szCs w:val="14"/>
          <w:color w:val="auto"/>
        </w:rPr>
      </w:pPr>
      <w:r>
        <w:rPr>
          <w:rFonts w:ascii="Arial" w:cs="Arial" w:eastAsia="Arial" w:hAnsi="Arial"/>
          <w:sz w:val="14"/>
          <w:szCs w:val="14"/>
          <w:color w:val="auto"/>
        </w:rPr>
        <w:t>DESIGNATES PORTIONS OF THIS DOCUMENT THAT HAVE BEEN OMITTED PURSUANT TO A REQUEST FOR CONFIDENTIAL TREATMENT FILED SEPARATELY WITH THE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40640</wp:posOffset>
            </wp:positionV>
            <wp:extent cx="7289165"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346" w:right="279" w:bottom="1440" w:gutter="0" w:footer="0" w:header="0"/>
        </w:sectPr>
      </w:pPr>
    </w:p>
    <w:bookmarkStart w:id="119" w:name="page120"/>
    <w:bookmarkEnd w:id="119"/>
    <w:p>
      <w:pPr>
        <w:ind w:left="12"/>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-130175</wp:posOffset>
            </wp:positionV>
            <wp:extent cx="7246620" cy="685228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46620" cy="6852285"/>
                    </a:xfrm>
                    <a:prstGeom prst="rect">
                      <a:avLst/>
                    </a:prstGeom>
                    <a:noFill/>
                  </pic:spPr>
                </pic:pic>
              </a:graphicData>
            </a:graphic>
          </wp:anchor>
        </w:drawing>
      </w:r>
    </w:p>
    <w:p>
      <w:pPr>
        <w:spacing w:after="0" w:line="57" w:lineRule="exact"/>
        <w:rPr>
          <w:sz w:val="20"/>
          <w:szCs w:val="20"/>
          <w:color w:val="auto"/>
        </w:rPr>
      </w:pPr>
    </w:p>
    <w:p>
      <w:pPr>
        <w:ind w:left="12"/>
        <w:spacing w:after="0"/>
        <w:rPr>
          <w:sz w:val="20"/>
          <w:szCs w:val="20"/>
          <w:color w:val="auto"/>
        </w:rPr>
      </w:pPr>
      <w:r>
        <w:rPr>
          <w:rFonts w:ascii="Arial" w:cs="Arial" w:eastAsia="Arial" w:hAnsi="Arial"/>
          <w:sz w:val="18"/>
          <w:szCs w:val="18"/>
          <w:color w:val="auto"/>
        </w:rPr>
        <w:t>[†]</w:t>
      </w:r>
    </w:p>
    <w:p>
      <w:pPr>
        <w:spacing w:after="0" w:line="77" w:lineRule="exact"/>
        <w:rPr>
          <w:sz w:val="20"/>
          <w:szCs w:val="20"/>
          <w:color w:val="auto"/>
        </w:rPr>
      </w:pPr>
    </w:p>
    <w:p>
      <w:pPr>
        <w:ind w:left="12"/>
        <w:spacing w:after="0"/>
        <w:rPr>
          <w:sz w:val="20"/>
          <w:szCs w:val="20"/>
          <w:color w:val="auto"/>
        </w:rPr>
      </w:pPr>
      <w:r>
        <w:rPr>
          <w:rFonts w:ascii="Arial" w:cs="Arial" w:eastAsia="Arial" w:hAnsi="Arial"/>
          <w:sz w:val="18"/>
          <w:szCs w:val="18"/>
          <w:color w:val="auto"/>
        </w:rPr>
        <w:t>[†]</w:t>
      </w:r>
    </w:p>
    <w:p>
      <w:pPr>
        <w:spacing w:after="0" w:line="77" w:lineRule="exact"/>
        <w:rPr>
          <w:sz w:val="20"/>
          <w:szCs w:val="20"/>
          <w:color w:val="auto"/>
        </w:rPr>
      </w:pPr>
    </w:p>
    <w:p>
      <w:pPr>
        <w:ind w:left="12"/>
        <w:spacing w:after="0"/>
        <w:rPr>
          <w:sz w:val="20"/>
          <w:szCs w:val="20"/>
          <w:color w:val="auto"/>
        </w:rPr>
      </w:pPr>
      <w:r>
        <w:rPr>
          <w:rFonts w:ascii="Arial" w:cs="Arial" w:eastAsia="Arial" w:hAnsi="Arial"/>
          <w:sz w:val="18"/>
          <w:szCs w:val="18"/>
          <w:color w:val="auto"/>
        </w:rPr>
        <w:t>[†]</w:t>
      </w:r>
    </w:p>
    <w:p>
      <w:pPr>
        <w:spacing w:after="0" w:line="77" w:lineRule="exact"/>
        <w:rPr>
          <w:sz w:val="20"/>
          <w:szCs w:val="20"/>
          <w:color w:val="auto"/>
        </w:rPr>
      </w:pPr>
    </w:p>
    <w:p>
      <w:pPr>
        <w:ind w:left="12"/>
        <w:spacing w:after="0"/>
        <w:rPr>
          <w:sz w:val="20"/>
          <w:szCs w:val="20"/>
          <w:color w:val="auto"/>
        </w:rPr>
      </w:pPr>
      <w:r>
        <w:rPr>
          <w:rFonts w:ascii="Arial" w:cs="Arial" w:eastAsia="Arial" w:hAnsi="Arial"/>
          <w:sz w:val="18"/>
          <w:szCs w:val="18"/>
          <w:color w:val="auto"/>
        </w:rPr>
        <w:t>[†]</w:t>
      </w:r>
    </w:p>
    <w:p>
      <w:pPr>
        <w:spacing w:after="0" w:line="77" w:lineRule="exact"/>
        <w:rPr>
          <w:sz w:val="20"/>
          <w:szCs w:val="20"/>
          <w:color w:val="auto"/>
        </w:rPr>
      </w:pPr>
    </w:p>
    <w:p>
      <w:pPr>
        <w:ind w:left="12"/>
        <w:spacing w:after="0"/>
        <w:rPr>
          <w:sz w:val="20"/>
          <w:szCs w:val="20"/>
          <w:color w:val="auto"/>
        </w:rPr>
      </w:pPr>
      <w:r>
        <w:rPr>
          <w:rFonts w:ascii="Arial" w:cs="Arial" w:eastAsia="Arial" w:hAnsi="Arial"/>
          <w:sz w:val="18"/>
          <w:szCs w:val="18"/>
          <w:color w:val="auto"/>
        </w:rPr>
        <w:t>[†]</w:t>
      </w:r>
    </w:p>
    <w:p>
      <w:pPr>
        <w:spacing w:after="0" w:line="77" w:lineRule="exact"/>
        <w:rPr>
          <w:sz w:val="20"/>
          <w:szCs w:val="20"/>
          <w:color w:val="auto"/>
        </w:rPr>
      </w:pPr>
    </w:p>
    <w:p>
      <w:pPr>
        <w:ind w:left="12"/>
        <w:spacing w:after="0"/>
        <w:rPr>
          <w:sz w:val="20"/>
          <w:szCs w:val="20"/>
          <w:color w:val="auto"/>
        </w:rPr>
      </w:pPr>
      <w:r>
        <w:rPr>
          <w:rFonts w:ascii="Arial" w:cs="Arial" w:eastAsia="Arial" w:hAnsi="Arial"/>
          <w:sz w:val="18"/>
          <w:szCs w:val="18"/>
          <w:color w:val="auto"/>
        </w:rPr>
        <w:t>[†]</w:t>
      </w:r>
    </w:p>
    <w:p>
      <w:pPr>
        <w:spacing w:after="0" w:line="77" w:lineRule="exact"/>
        <w:rPr>
          <w:sz w:val="20"/>
          <w:szCs w:val="20"/>
          <w:color w:val="auto"/>
        </w:rPr>
      </w:pPr>
    </w:p>
    <w:p>
      <w:pPr>
        <w:ind w:left="12"/>
        <w:spacing w:after="0"/>
        <w:rPr>
          <w:sz w:val="20"/>
          <w:szCs w:val="20"/>
          <w:color w:val="auto"/>
        </w:rPr>
      </w:pPr>
      <w:r>
        <w:rPr>
          <w:rFonts w:ascii="Arial" w:cs="Arial" w:eastAsia="Arial" w:hAnsi="Arial"/>
          <w:sz w:val="18"/>
          <w:szCs w:val="18"/>
          <w:color w:val="auto"/>
        </w:rPr>
        <w:t>[†]</w:t>
      </w:r>
    </w:p>
    <w:p>
      <w:pPr>
        <w:spacing w:after="0" w:line="77" w:lineRule="exact"/>
        <w:rPr>
          <w:sz w:val="20"/>
          <w:szCs w:val="20"/>
          <w:color w:val="auto"/>
        </w:rPr>
      </w:pPr>
    </w:p>
    <w:p>
      <w:pPr>
        <w:ind w:left="12"/>
        <w:spacing w:after="0"/>
        <w:rPr>
          <w:sz w:val="20"/>
          <w:szCs w:val="20"/>
          <w:color w:val="auto"/>
        </w:rPr>
      </w:pPr>
      <w:r>
        <w:rPr>
          <w:rFonts w:ascii="Arial" w:cs="Arial" w:eastAsia="Arial" w:hAnsi="Arial"/>
          <w:sz w:val="18"/>
          <w:szCs w:val="18"/>
          <w:color w:val="auto"/>
        </w:rPr>
        <w:t>[†]</w:t>
      </w:r>
    </w:p>
    <w:p>
      <w:pPr>
        <w:spacing w:after="0" w:line="77" w:lineRule="exact"/>
        <w:rPr>
          <w:sz w:val="20"/>
          <w:szCs w:val="20"/>
          <w:color w:val="auto"/>
        </w:rPr>
      </w:pPr>
    </w:p>
    <w:p>
      <w:pPr>
        <w:ind w:left="12"/>
        <w:spacing w:after="0"/>
        <w:rPr>
          <w:sz w:val="20"/>
          <w:szCs w:val="20"/>
          <w:color w:val="auto"/>
        </w:rPr>
      </w:pPr>
      <w:r>
        <w:rPr>
          <w:rFonts w:ascii="Arial" w:cs="Arial" w:eastAsia="Arial" w:hAnsi="Arial"/>
          <w:sz w:val="18"/>
          <w:szCs w:val="18"/>
          <w:color w:val="auto"/>
        </w:rPr>
        <w:t>[†]</w:t>
      </w:r>
    </w:p>
    <w:p>
      <w:pPr>
        <w:spacing w:after="0" w:line="77" w:lineRule="exact"/>
        <w:rPr>
          <w:sz w:val="20"/>
          <w:szCs w:val="20"/>
          <w:color w:val="auto"/>
        </w:rPr>
      </w:pPr>
    </w:p>
    <w:p>
      <w:pPr>
        <w:ind w:left="12"/>
        <w:spacing w:after="0"/>
        <w:rPr>
          <w:sz w:val="20"/>
          <w:szCs w:val="20"/>
          <w:color w:val="auto"/>
        </w:rPr>
      </w:pPr>
      <w:r>
        <w:rPr>
          <w:rFonts w:ascii="Arial" w:cs="Arial" w:eastAsia="Arial" w:hAnsi="Arial"/>
          <w:sz w:val="18"/>
          <w:szCs w:val="18"/>
          <w:color w:val="auto"/>
        </w:rPr>
        <w:t>[†]</w:t>
      </w:r>
    </w:p>
    <w:p>
      <w:pPr>
        <w:spacing w:after="0" w:line="77" w:lineRule="exact"/>
        <w:rPr>
          <w:sz w:val="20"/>
          <w:szCs w:val="20"/>
          <w:color w:val="auto"/>
        </w:rPr>
      </w:pPr>
    </w:p>
    <w:p>
      <w:pPr>
        <w:ind w:left="12"/>
        <w:spacing w:after="0"/>
        <w:rPr>
          <w:sz w:val="20"/>
          <w:szCs w:val="20"/>
          <w:color w:val="auto"/>
        </w:rPr>
      </w:pPr>
      <w:r>
        <w:rPr>
          <w:rFonts w:ascii="Arial" w:cs="Arial" w:eastAsia="Arial" w:hAnsi="Arial"/>
          <w:sz w:val="18"/>
          <w:szCs w:val="18"/>
          <w:color w:val="auto"/>
        </w:rPr>
        <w:t>[†]</w:t>
      </w:r>
    </w:p>
    <w:p>
      <w:pPr>
        <w:spacing w:after="0" w:line="77" w:lineRule="exact"/>
        <w:rPr>
          <w:sz w:val="20"/>
          <w:szCs w:val="20"/>
          <w:color w:val="auto"/>
        </w:rPr>
      </w:pPr>
    </w:p>
    <w:p>
      <w:pPr>
        <w:ind w:left="12"/>
        <w:spacing w:after="0"/>
        <w:rPr>
          <w:sz w:val="20"/>
          <w:szCs w:val="20"/>
          <w:color w:val="auto"/>
        </w:rPr>
      </w:pPr>
      <w:r>
        <w:rPr>
          <w:rFonts w:ascii="Arial" w:cs="Arial" w:eastAsia="Arial" w:hAnsi="Arial"/>
          <w:sz w:val="18"/>
          <w:szCs w:val="18"/>
          <w:color w:val="auto"/>
        </w:rPr>
        <w:t>[†]</w:t>
      </w:r>
    </w:p>
    <w:p>
      <w:pPr>
        <w:spacing w:after="0" w:line="77" w:lineRule="exact"/>
        <w:rPr>
          <w:sz w:val="20"/>
          <w:szCs w:val="20"/>
          <w:color w:val="auto"/>
        </w:rPr>
      </w:pPr>
    </w:p>
    <w:p>
      <w:pPr>
        <w:ind w:left="12"/>
        <w:spacing w:after="0"/>
        <w:rPr>
          <w:sz w:val="20"/>
          <w:szCs w:val="20"/>
          <w:color w:val="auto"/>
        </w:rPr>
      </w:pPr>
      <w:r>
        <w:rPr>
          <w:rFonts w:ascii="Arial" w:cs="Arial" w:eastAsia="Arial" w:hAnsi="Arial"/>
          <w:sz w:val="18"/>
          <w:szCs w:val="18"/>
          <w:color w:val="auto"/>
        </w:rPr>
        <w:t>[†]</w:t>
      </w:r>
    </w:p>
    <w:p>
      <w:pPr>
        <w:spacing w:after="0" w:line="77" w:lineRule="exact"/>
        <w:rPr>
          <w:sz w:val="20"/>
          <w:szCs w:val="20"/>
          <w:color w:val="auto"/>
        </w:rPr>
      </w:pPr>
    </w:p>
    <w:p>
      <w:pPr>
        <w:ind w:left="12"/>
        <w:spacing w:after="0"/>
        <w:rPr>
          <w:sz w:val="20"/>
          <w:szCs w:val="20"/>
          <w:color w:val="auto"/>
        </w:rPr>
      </w:pPr>
      <w:r>
        <w:rPr>
          <w:rFonts w:ascii="Arial" w:cs="Arial" w:eastAsia="Arial" w:hAnsi="Arial"/>
          <w:sz w:val="18"/>
          <w:szCs w:val="18"/>
          <w:color w:val="auto"/>
        </w:rPr>
        <w:t>[†]</w:t>
      </w:r>
    </w:p>
    <w:p>
      <w:pPr>
        <w:spacing w:after="0" w:line="77" w:lineRule="exact"/>
        <w:rPr>
          <w:sz w:val="20"/>
          <w:szCs w:val="20"/>
          <w:color w:val="auto"/>
        </w:rPr>
      </w:pPr>
    </w:p>
    <w:p>
      <w:pPr>
        <w:ind w:left="12"/>
        <w:spacing w:after="0"/>
        <w:rPr>
          <w:sz w:val="20"/>
          <w:szCs w:val="20"/>
          <w:color w:val="auto"/>
        </w:rPr>
      </w:pPr>
      <w:r>
        <w:rPr>
          <w:rFonts w:ascii="Arial" w:cs="Arial" w:eastAsia="Arial" w:hAnsi="Arial"/>
          <w:sz w:val="18"/>
          <w:szCs w:val="18"/>
          <w:color w:val="auto"/>
        </w:rPr>
        <w:t>[†]</w:t>
      </w:r>
    </w:p>
    <w:p>
      <w:pPr>
        <w:spacing w:after="0" w:line="77" w:lineRule="exact"/>
        <w:rPr>
          <w:sz w:val="20"/>
          <w:szCs w:val="20"/>
          <w:color w:val="auto"/>
        </w:rPr>
      </w:pPr>
    </w:p>
    <w:p>
      <w:pPr>
        <w:ind w:left="12"/>
        <w:spacing w:after="0"/>
        <w:rPr>
          <w:sz w:val="20"/>
          <w:szCs w:val="20"/>
          <w:color w:val="auto"/>
        </w:rPr>
      </w:pPr>
      <w:r>
        <w:rPr>
          <w:rFonts w:ascii="Arial" w:cs="Arial" w:eastAsia="Arial" w:hAnsi="Arial"/>
          <w:sz w:val="18"/>
          <w:szCs w:val="18"/>
          <w:color w:val="auto"/>
        </w:rPr>
        <w:t>[†]</w:t>
      </w:r>
    </w:p>
    <w:p>
      <w:pPr>
        <w:spacing w:after="0" w:line="77" w:lineRule="exact"/>
        <w:rPr>
          <w:sz w:val="20"/>
          <w:szCs w:val="20"/>
          <w:color w:val="auto"/>
        </w:rPr>
      </w:pPr>
    </w:p>
    <w:p>
      <w:pPr>
        <w:ind w:left="12"/>
        <w:spacing w:after="0"/>
        <w:rPr>
          <w:sz w:val="20"/>
          <w:szCs w:val="20"/>
          <w:color w:val="auto"/>
        </w:rPr>
      </w:pPr>
      <w:r>
        <w:rPr>
          <w:rFonts w:ascii="Arial" w:cs="Arial" w:eastAsia="Arial" w:hAnsi="Arial"/>
          <w:sz w:val="18"/>
          <w:szCs w:val="18"/>
          <w:color w:val="auto"/>
        </w:rPr>
        <w:t>[†]</w:t>
      </w:r>
    </w:p>
    <w:p>
      <w:pPr>
        <w:spacing w:after="0" w:line="77" w:lineRule="exact"/>
        <w:rPr>
          <w:sz w:val="20"/>
          <w:szCs w:val="20"/>
          <w:color w:val="auto"/>
        </w:rPr>
      </w:pPr>
    </w:p>
    <w:p>
      <w:pPr>
        <w:ind w:left="12"/>
        <w:spacing w:after="0"/>
        <w:rPr>
          <w:sz w:val="20"/>
          <w:szCs w:val="20"/>
          <w:color w:val="auto"/>
        </w:rPr>
      </w:pPr>
      <w:r>
        <w:rPr>
          <w:rFonts w:ascii="Arial" w:cs="Arial" w:eastAsia="Arial" w:hAnsi="Arial"/>
          <w:sz w:val="18"/>
          <w:szCs w:val="18"/>
          <w:color w:val="auto"/>
        </w:rPr>
        <w:t>[†]</w:t>
      </w:r>
    </w:p>
    <w:p>
      <w:pPr>
        <w:spacing w:after="0" w:line="77" w:lineRule="exact"/>
        <w:rPr>
          <w:sz w:val="20"/>
          <w:szCs w:val="20"/>
          <w:color w:val="auto"/>
        </w:rPr>
      </w:pPr>
    </w:p>
    <w:p>
      <w:pPr>
        <w:ind w:left="12"/>
        <w:spacing w:after="0"/>
        <w:rPr>
          <w:sz w:val="20"/>
          <w:szCs w:val="20"/>
          <w:color w:val="auto"/>
        </w:rPr>
      </w:pPr>
      <w:r>
        <w:rPr>
          <w:rFonts w:ascii="Arial" w:cs="Arial" w:eastAsia="Arial" w:hAnsi="Arial"/>
          <w:sz w:val="18"/>
          <w:szCs w:val="18"/>
          <w:color w:val="auto"/>
        </w:rPr>
        <w:t>[†]</w:t>
      </w:r>
    </w:p>
    <w:p>
      <w:pPr>
        <w:spacing w:after="0" w:line="77" w:lineRule="exact"/>
        <w:rPr>
          <w:sz w:val="20"/>
          <w:szCs w:val="20"/>
          <w:color w:val="auto"/>
        </w:rPr>
      </w:pPr>
    </w:p>
    <w:p>
      <w:pPr>
        <w:ind w:left="12"/>
        <w:spacing w:after="0"/>
        <w:rPr>
          <w:sz w:val="20"/>
          <w:szCs w:val="20"/>
          <w:color w:val="auto"/>
        </w:rPr>
      </w:pPr>
      <w:r>
        <w:rPr>
          <w:rFonts w:ascii="Arial" w:cs="Arial" w:eastAsia="Arial" w:hAnsi="Arial"/>
          <w:sz w:val="18"/>
          <w:szCs w:val="18"/>
          <w:color w:val="auto"/>
        </w:rPr>
        <w:t>[†]</w:t>
      </w:r>
    </w:p>
    <w:p>
      <w:pPr>
        <w:spacing w:after="0" w:line="77" w:lineRule="exact"/>
        <w:rPr>
          <w:sz w:val="20"/>
          <w:szCs w:val="20"/>
          <w:color w:val="auto"/>
        </w:rPr>
      </w:pPr>
    </w:p>
    <w:p>
      <w:pPr>
        <w:ind w:left="12"/>
        <w:spacing w:after="0"/>
        <w:rPr>
          <w:sz w:val="20"/>
          <w:szCs w:val="20"/>
          <w:color w:val="auto"/>
        </w:rPr>
      </w:pPr>
      <w:r>
        <w:rPr>
          <w:rFonts w:ascii="Arial" w:cs="Arial" w:eastAsia="Arial" w:hAnsi="Arial"/>
          <w:sz w:val="18"/>
          <w:szCs w:val="18"/>
          <w:color w:val="auto"/>
        </w:rPr>
        <w:t>[†]</w:t>
      </w:r>
    </w:p>
    <w:p>
      <w:pPr>
        <w:spacing w:after="0" w:line="77" w:lineRule="exact"/>
        <w:rPr>
          <w:sz w:val="20"/>
          <w:szCs w:val="20"/>
          <w:color w:val="auto"/>
        </w:rPr>
      </w:pPr>
    </w:p>
    <w:p>
      <w:pPr>
        <w:ind w:left="12"/>
        <w:spacing w:after="0"/>
        <w:rPr>
          <w:sz w:val="20"/>
          <w:szCs w:val="20"/>
          <w:color w:val="auto"/>
        </w:rPr>
      </w:pPr>
      <w:r>
        <w:rPr>
          <w:rFonts w:ascii="Arial" w:cs="Arial" w:eastAsia="Arial" w:hAnsi="Arial"/>
          <w:sz w:val="18"/>
          <w:szCs w:val="18"/>
          <w:color w:val="auto"/>
        </w:rPr>
        <w:t>[†]</w:t>
      </w:r>
    </w:p>
    <w:p>
      <w:pPr>
        <w:spacing w:after="0" w:line="77" w:lineRule="exact"/>
        <w:rPr>
          <w:sz w:val="20"/>
          <w:szCs w:val="20"/>
          <w:color w:val="auto"/>
        </w:rPr>
      </w:pPr>
    </w:p>
    <w:p>
      <w:pPr>
        <w:ind w:left="12"/>
        <w:spacing w:after="0"/>
        <w:rPr>
          <w:sz w:val="20"/>
          <w:szCs w:val="20"/>
          <w:color w:val="auto"/>
        </w:rPr>
      </w:pPr>
      <w:r>
        <w:rPr>
          <w:rFonts w:ascii="Arial" w:cs="Arial" w:eastAsia="Arial" w:hAnsi="Arial"/>
          <w:sz w:val="18"/>
          <w:szCs w:val="18"/>
          <w:color w:val="auto"/>
        </w:rPr>
        <w:t>[†]</w:t>
      </w:r>
    </w:p>
    <w:p>
      <w:pPr>
        <w:spacing w:after="0" w:line="77" w:lineRule="exact"/>
        <w:rPr>
          <w:sz w:val="20"/>
          <w:szCs w:val="20"/>
          <w:color w:val="auto"/>
        </w:rPr>
      </w:pPr>
    </w:p>
    <w:p>
      <w:pPr>
        <w:ind w:left="12"/>
        <w:spacing w:after="0"/>
        <w:rPr>
          <w:sz w:val="20"/>
          <w:szCs w:val="20"/>
          <w:color w:val="auto"/>
        </w:rPr>
      </w:pPr>
      <w:r>
        <w:rPr>
          <w:rFonts w:ascii="Arial" w:cs="Arial" w:eastAsia="Arial" w:hAnsi="Arial"/>
          <w:sz w:val="18"/>
          <w:szCs w:val="18"/>
          <w:color w:val="auto"/>
        </w:rPr>
        <w:t>[†]</w:t>
      </w:r>
    </w:p>
    <w:p>
      <w:pPr>
        <w:spacing w:after="0" w:line="77" w:lineRule="exact"/>
        <w:rPr>
          <w:sz w:val="20"/>
          <w:szCs w:val="20"/>
          <w:color w:val="auto"/>
        </w:rPr>
      </w:pPr>
    </w:p>
    <w:p>
      <w:pPr>
        <w:ind w:left="12"/>
        <w:spacing w:after="0"/>
        <w:rPr>
          <w:sz w:val="20"/>
          <w:szCs w:val="20"/>
          <w:color w:val="auto"/>
        </w:rPr>
      </w:pPr>
      <w:r>
        <w:rPr>
          <w:rFonts w:ascii="Arial" w:cs="Arial" w:eastAsia="Arial" w:hAnsi="Arial"/>
          <w:sz w:val="18"/>
          <w:szCs w:val="18"/>
          <w:color w:val="auto"/>
        </w:rPr>
        <w:t>[†]</w:t>
      </w:r>
    </w:p>
    <w:p>
      <w:pPr>
        <w:spacing w:after="0" w:line="77" w:lineRule="exact"/>
        <w:rPr>
          <w:sz w:val="20"/>
          <w:szCs w:val="20"/>
          <w:color w:val="auto"/>
        </w:rPr>
      </w:pPr>
    </w:p>
    <w:p>
      <w:pPr>
        <w:ind w:left="12"/>
        <w:spacing w:after="0"/>
        <w:rPr>
          <w:sz w:val="20"/>
          <w:szCs w:val="20"/>
          <w:color w:val="auto"/>
        </w:rPr>
      </w:pPr>
      <w:r>
        <w:rPr>
          <w:rFonts w:ascii="Arial" w:cs="Arial" w:eastAsia="Arial" w:hAnsi="Arial"/>
          <w:sz w:val="18"/>
          <w:szCs w:val="18"/>
          <w:color w:val="auto"/>
        </w:rPr>
        <w:t>[†]</w:t>
      </w:r>
    </w:p>
    <w:p>
      <w:pPr>
        <w:spacing w:after="0" w:line="77" w:lineRule="exact"/>
        <w:rPr>
          <w:sz w:val="20"/>
          <w:szCs w:val="20"/>
          <w:color w:val="auto"/>
        </w:rPr>
      </w:pPr>
    </w:p>
    <w:p>
      <w:pPr>
        <w:ind w:left="12"/>
        <w:spacing w:after="0"/>
        <w:rPr>
          <w:sz w:val="20"/>
          <w:szCs w:val="20"/>
          <w:color w:val="auto"/>
        </w:rPr>
      </w:pPr>
      <w:r>
        <w:rPr>
          <w:rFonts w:ascii="Arial" w:cs="Arial" w:eastAsia="Arial" w:hAnsi="Arial"/>
          <w:sz w:val="18"/>
          <w:szCs w:val="18"/>
          <w:color w:val="auto"/>
        </w:rPr>
        <w:t>[†]</w:t>
      </w:r>
    </w:p>
    <w:p>
      <w:pPr>
        <w:spacing w:after="0" w:line="77" w:lineRule="exact"/>
        <w:rPr>
          <w:sz w:val="20"/>
          <w:szCs w:val="20"/>
          <w:color w:val="auto"/>
        </w:rPr>
      </w:pPr>
    </w:p>
    <w:p>
      <w:pPr>
        <w:ind w:left="12"/>
        <w:spacing w:after="0"/>
        <w:rPr>
          <w:sz w:val="20"/>
          <w:szCs w:val="20"/>
          <w:color w:val="auto"/>
        </w:rPr>
      </w:pPr>
      <w:r>
        <w:rPr>
          <w:rFonts w:ascii="Arial" w:cs="Arial" w:eastAsia="Arial" w:hAnsi="Arial"/>
          <w:sz w:val="18"/>
          <w:szCs w:val="18"/>
          <w:color w:val="auto"/>
        </w:rPr>
        <w:t>[†]</w:t>
      </w:r>
    </w:p>
    <w:p>
      <w:pPr>
        <w:spacing w:after="0" w:line="77" w:lineRule="exact"/>
        <w:rPr>
          <w:sz w:val="20"/>
          <w:szCs w:val="20"/>
          <w:color w:val="auto"/>
        </w:rPr>
      </w:pPr>
    </w:p>
    <w:p>
      <w:pPr>
        <w:ind w:left="12"/>
        <w:spacing w:after="0"/>
        <w:rPr>
          <w:sz w:val="20"/>
          <w:szCs w:val="20"/>
          <w:color w:val="auto"/>
        </w:rPr>
      </w:pPr>
      <w:r>
        <w:rPr>
          <w:rFonts w:ascii="Arial" w:cs="Arial" w:eastAsia="Arial" w:hAnsi="Arial"/>
          <w:sz w:val="18"/>
          <w:szCs w:val="18"/>
          <w:color w:val="auto"/>
        </w:rPr>
        <w:t>[†]</w:t>
      </w:r>
    </w:p>
    <w:p>
      <w:pPr>
        <w:spacing w:after="0" w:line="77" w:lineRule="exact"/>
        <w:rPr>
          <w:sz w:val="20"/>
          <w:szCs w:val="20"/>
          <w:color w:val="auto"/>
        </w:rPr>
      </w:pPr>
    </w:p>
    <w:p>
      <w:pPr>
        <w:ind w:left="12"/>
        <w:spacing w:after="0"/>
        <w:rPr>
          <w:sz w:val="20"/>
          <w:szCs w:val="20"/>
          <w:color w:val="auto"/>
        </w:rPr>
      </w:pPr>
      <w:r>
        <w:rPr>
          <w:rFonts w:ascii="Arial" w:cs="Arial" w:eastAsia="Arial" w:hAnsi="Arial"/>
          <w:sz w:val="18"/>
          <w:szCs w:val="18"/>
          <w:color w:val="auto"/>
        </w:rPr>
        <w:t>[†]</w:t>
      </w:r>
    </w:p>
    <w:p>
      <w:pPr>
        <w:spacing w:after="0" w:line="77" w:lineRule="exact"/>
        <w:rPr>
          <w:sz w:val="20"/>
          <w:szCs w:val="20"/>
          <w:color w:val="auto"/>
        </w:rPr>
      </w:pPr>
    </w:p>
    <w:p>
      <w:pPr>
        <w:ind w:left="12"/>
        <w:spacing w:after="0"/>
        <w:rPr>
          <w:sz w:val="20"/>
          <w:szCs w:val="20"/>
          <w:color w:val="auto"/>
        </w:rPr>
      </w:pPr>
      <w:r>
        <w:rPr>
          <w:rFonts w:ascii="Arial" w:cs="Arial" w:eastAsia="Arial" w:hAnsi="Arial"/>
          <w:sz w:val="18"/>
          <w:szCs w:val="18"/>
          <w:color w:val="auto"/>
        </w:rPr>
        <w:t>[†]</w:t>
      </w:r>
    </w:p>
    <w:p>
      <w:pPr>
        <w:spacing w:after="0" w:line="77" w:lineRule="exact"/>
        <w:rPr>
          <w:sz w:val="20"/>
          <w:szCs w:val="20"/>
          <w:color w:val="auto"/>
        </w:rPr>
      </w:pPr>
    </w:p>
    <w:p>
      <w:pPr>
        <w:ind w:left="12"/>
        <w:spacing w:after="0"/>
        <w:rPr>
          <w:sz w:val="20"/>
          <w:szCs w:val="20"/>
          <w:color w:val="auto"/>
        </w:rPr>
      </w:pPr>
      <w:r>
        <w:rPr>
          <w:rFonts w:ascii="Arial" w:cs="Arial" w:eastAsia="Arial" w:hAnsi="Arial"/>
          <w:sz w:val="18"/>
          <w:szCs w:val="18"/>
          <w:color w:val="auto"/>
        </w:rPr>
        <w:t>[†]</w:t>
      </w:r>
    </w:p>
    <w:p>
      <w:pPr>
        <w:spacing w:after="0" w:line="77" w:lineRule="exact"/>
        <w:rPr>
          <w:sz w:val="20"/>
          <w:szCs w:val="20"/>
          <w:color w:val="auto"/>
        </w:rPr>
      </w:pPr>
    </w:p>
    <w:p>
      <w:pPr>
        <w:ind w:left="12"/>
        <w:spacing w:after="0"/>
        <w:rPr>
          <w:sz w:val="20"/>
          <w:szCs w:val="20"/>
          <w:color w:val="auto"/>
        </w:rPr>
      </w:pPr>
      <w:r>
        <w:rPr>
          <w:rFonts w:ascii="Arial" w:cs="Arial" w:eastAsia="Arial" w:hAnsi="Arial"/>
          <w:sz w:val="18"/>
          <w:szCs w:val="18"/>
          <w:color w:val="auto"/>
        </w:rPr>
        <w:t>[†]</w:t>
      </w:r>
    </w:p>
    <w:p>
      <w:pPr>
        <w:spacing w:after="0" w:line="77" w:lineRule="exact"/>
        <w:rPr>
          <w:sz w:val="20"/>
          <w:szCs w:val="20"/>
          <w:color w:val="auto"/>
        </w:rPr>
      </w:pPr>
    </w:p>
    <w:p>
      <w:pPr>
        <w:ind w:left="12"/>
        <w:spacing w:after="0"/>
        <w:rPr>
          <w:sz w:val="20"/>
          <w:szCs w:val="20"/>
          <w:color w:val="auto"/>
        </w:rPr>
      </w:pPr>
      <w:r>
        <w:rPr>
          <w:rFonts w:ascii="Arial" w:cs="Arial" w:eastAsia="Arial" w:hAnsi="Arial"/>
          <w:sz w:val="18"/>
          <w:szCs w:val="18"/>
          <w:color w:val="auto"/>
        </w:rPr>
        <w:t>[†]</w:t>
      </w:r>
    </w:p>
    <w:p>
      <w:pPr>
        <w:spacing w:after="0" w:line="77" w:lineRule="exact"/>
        <w:rPr>
          <w:sz w:val="20"/>
          <w:szCs w:val="20"/>
          <w:color w:val="auto"/>
        </w:rPr>
      </w:pPr>
    </w:p>
    <w:p>
      <w:pPr>
        <w:ind w:left="12"/>
        <w:spacing w:after="0"/>
        <w:rPr>
          <w:sz w:val="20"/>
          <w:szCs w:val="20"/>
          <w:color w:val="auto"/>
        </w:rPr>
      </w:pPr>
      <w:r>
        <w:rPr>
          <w:rFonts w:ascii="Arial" w:cs="Arial" w:eastAsia="Arial" w:hAnsi="Arial"/>
          <w:sz w:val="18"/>
          <w:szCs w:val="18"/>
          <w:color w:val="auto"/>
        </w:rPr>
        <w:t>[†]</w:t>
      </w:r>
    </w:p>
    <w:p>
      <w:pPr>
        <w:spacing w:after="0" w:line="77" w:lineRule="exact"/>
        <w:rPr>
          <w:sz w:val="20"/>
          <w:szCs w:val="20"/>
          <w:color w:val="auto"/>
        </w:rPr>
      </w:pPr>
    </w:p>
    <w:p>
      <w:pPr>
        <w:ind w:left="12"/>
        <w:spacing w:after="0"/>
        <w:rPr>
          <w:sz w:val="20"/>
          <w:szCs w:val="20"/>
          <w:color w:val="auto"/>
        </w:rPr>
      </w:pPr>
      <w:r>
        <w:rPr>
          <w:rFonts w:ascii="Arial" w:cs="Arial" w:eastAsia="Arial" w:hAnsi="Arial"/>
          <w:sz w:val="18"/>
          <w:szCs w:val="18"/>
          <w:color w:val="auto"/>
        </w:rPr>
        <w:t>[†]</w:t>
      </w:r>
    </w:p>
    <w:p>
      <w:pPr>
        <w:spacing w:after="0" w:line="77" w:lineRule="exact"/>
        <w:rPr>
          <w:sz w:val="20"/>
          <w:szCs w:val="20"/>
          <w:color w:val="auto"/>
        </w:rPr>
      </w:pPr>
    </w:p>
    <w:p>
      <w:pPr>
        <w:ind w:left="12"/>
        <w:spacing w:after="0"/>
        <w:rPr>
          <w:sz w:val="20"/>
          <w:szCs w:val="20"/>
          <w:color w:val="auto"/>
        </w:rPr>
      </w:pPr>
      <w:r>
        <w:rPr>
          <w:rFonts w:ascii="Arial" w:cs="Arial" w:eastAsia="Arial" w:hAnsi="Arial"/>
          <w:sz w:val="18"/>
          <w:szCs w:val="18"/>
          <w:color w:val="auto"/>
        </w:rPr>
        <w:t>[†]</w:t>
      </w:r>
    </w:p>
    <w:p>
      <w:pPr>
        <w:spacing w:after="0" w:line="288" w:lineRule="exact"/>
        <w:rPr>
          <w:sz w:val="20"/>
          <w:szCs w:val="20"/>
          <w:color w:val="auto"/>
        </w:rPr>
      </w:pPr>
    </w:p>
    <w:p>
      <w:pPr>
        <w:ind w:left="-8" w:firstLine="8"/>
        <w:spacing w:after="0" w:line="253" w:lineRule="auto"/>
        <w:tabs>
          <w:tab w:leader="none" w:pos="196" w:val="left"/>
        </w:tabs>
        <w:numPr>
          <w:ilvl w:val="0"/>
          <w:numId w:val="170"/>
        </w:numPr>
        <w:rPr>
          <w:rFonts w:ascii="Arial" w:cs="Arial" w:eastAsia="Arial" w:hAnsi="Arial"/>
          <w:sz w:val="14"/>
          <w:szCs w:val="14"/>
          <w:color w:val="auto"/>
        </w:rPr>
      </w:pPr>
      <w:r>
        <w:rPr>
          <w:rFonts w:ascii="Arial" w:cs="Arial" w:eastAsia="Arial" w:hAnsi="Arial"/>
          <w:sz w:val="14"/>
          <w:szCs w:val="14"/>
          <w:color w:val="auto"/>
        </w:rPr>
        <w:t>DESIGNATES PORTIONS OF THIS DOCUMENT THAT HAVE BEEN OMITTED PURSUANT TO A REQUEST FOR CONFIDENTIAL TREATMENT FILED SEPARATELY WITH THE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40640</wp:posOffset>
            </wp:positionV>
            <wp:extent cx="7289165"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72"/>
          </w:cols>
          <w:pgMar w:left="248" w:top="139" w:right="279" w:bottom="1440" w:gutter="0" w:footer="0" w:header="0"/>
        </w:sectPr>
      </w:pPr>
    </w:p>
    <w:bookmarkStart w:id="120" w:name="page121"/>
    <w:bookmarkEnd w:id="120"/>
    <w:p>
      <w:pPr>
        <w:ind w:left="12"/>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-130175</wp:posOffset>
            </wp:positionV>
            <wp:extent cx="7246620" cy="685228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46620" cy="6852285"/>
                    </a:xfrm>
                    <a:prstGeom prst="rect">
                      <a:avLst/>
                    </a:prstGeom>
                    <a:noFill/>
                  </pic:spPr>
                </pic:pic>
              </a:graphicData>
            </a:graphic>
          </wp:anchor>
        </w:drawing>
      </w:r>
    </w:p>
    <w:p>
      <w:pPr>
        <w:spacing w:after="0" w:line="57" w:lineRule="exact"/>
        <w:rPr>
          <w:sz w:val="20"/>
          <w:szCs w:val="20"/>
          <w:color w:val="auto"/>
        </w:rPr>
      </w:pPr>
    </w:p>
    <w:p>
      <w:pPr>
        <w:ind w:left="12"/>
        <w:spacing w:after="0"/>
        <w:rPr>
          <w:sz w:val="20"/>
          <w:szCs w:val="20"/>
          <w:color w:val="auto"/>
        </w:rPr>
      </w:pPr>
      <w:r>
        <w:rPr>
          <w:rFonts w:ascii="Arial" w:cs="Arial" w:eastAsia="Arial" w:hAnsi="Arial"/>
          <w:sz w:val="18"/>
          <w:szCs w:val="18"/>
          <w:color w:val="auto"/>
        </w:rPr>
        <w:t>[†]</w:t>
      </w:r>
    </w:p>
    <w:p>
      <w:pPr>
        <w:spacing w:after="0" w:line="77" w:lineRule="exact"/>
        <w:rPr>
          <w:sz w:val="20"/>
          <w:szCs w:val="20"/>
          <w:color w:val="auto"/>
        </w:rPr>
      </w:pPr>
    </w:p>
    <w:p>
      <w:pPr>
        <w:ind w:left="12"/>
        <w:spacing w:after="0"/>
        <w:rPr>
          <w:sz w:val="20"/>
          <w:szCs w:val="20"/>
          <w:color w:val="auto"/>
        </w:rPr>
      </w:pPr>
      <w:r>
        <w:rPr>
          <w:rFonts w:ascii="Arial" w:cs="Arial" w:eastAsia="Arial" w:hAnsi="Arial"/>
          <w:sz w:val="18"/>
          <w:szCs w:val="18"/>
          <w:color w:val="auto"/>
        </w:rPr>
        <w:t>[†]</w:t>
      </w:r>
    </w:p>
    <w:p>
      <w:pPr>
        <w:spacing w:after="0" w:line="77" w:lineRule="exact"/>
        <w:rPr>
          <w:sz w:val="20"/>
          <w:szCs w:val="20"/>
          <w:color w:val="auto"/>
        </w:rPr>
      </w:pPr>
    </w:p>
    <w:p>
      <w:pPr>
        <w:ind w:left="12"/>
        <w:spacing w:after="0"/>
        <w:rPr>
          <w:sz w:val="20"/>
          <w:szCs w:val="20"/>
          <w:color w:val="auto"/>
        </w:rPr>
      </w:pPr>
      <w:r>
        <w:rPr>
          <w:rFonts w:ascii="Arial" w:cs="Arial" w:eastAsia="Arial" w:hAnsi="Arial"/>
          <w:sz w:val="18"/>
          <w:szCs w:val="18"/>
          <w:color w:val="auto"/>
        </w:rPr>
        <w:t>[†]</w:t>
      </w:r>
    </w:p>
    <w:p>
      <w:pPr>
        <w:spacing w:after="0" w:line="77" w:lineRule="exact"/>
        <w:rPr>
          <w:sz w:val="20"/>
          <w:szCs w:val="20"/>
          <w:color w:val="auto"/>
        </w:rPr>
      </w:pPr>
    </w:p>
    <w:p>
      <w:pPr>
        <w:ind w:left="12"/>
        <w:spacing w:after="0"/>
        <w:rPr>
          <w:sz w:val="20"/>
          <w:szCs w:val="20"/>
          <w:color w:val="auto"/>
        </w:rPr>
      </w:pPr>
      <w:r>
        <w:rPr>
          <w:rFonts w:ascii="Arial" w:cs="Arial" w:eastAsia="Arial" w:hAnsi="Arial"/>
          <w:sz w:val="18"/>
          <w:szCs w:val="18"/>
          <w:color w:val="auto"/>
        </w:rPr>
        <w:t>[†]</w:t>
      </w:r>
    </w:p>
    <w:p>
      <w:pPr>
        <w:spacing w:after="0" w:line="77" w:lineRule="exact"/>
        <w:rPr>
          <w:sz w:val="20"/>
          <w:szCs w:val="20"/>
          <w:color w:val="auto"/>
        </w:rPr>
      </w:pPr>
    </w:p>
    <w:p>
      <w:pPr>
        <w:ind w:left="12"/>
        <w:spacing w:after="0"/>
        <w:rPr>
          <w:sz w:val="20"/>
          <w:szCs w:val="20"/>
          <w:color w:val="auto"/>
        </w:rPr>
      </w:pPr>
      <w:r>
        <w:rPr>
          <w:rFonts w:ascii="Arial" w:cs="Arial" w:eastAsia="Arial" w:hAnsi="Arial"/>
          <w:sz w:val="18"/>
          <w:szCs w:val="18"/>
          <w:color w:val="auto"/>
        </w:rPr>
        <w:t>[†]</w:t>
      </w:r>
    </w:p>
    <w:p>
      <w:pPr>
        <w:spacing w:after="0" w:line="77" w:lineRule="exact"/>
        <w:rPr>
          <w:sz w:val="20"/>
          <w:szCs w:val="20"/>
          <w:color w:val="auto"/>
        </w:rPr>
      </w:pPr>
    </w:p>
    <w:p>
      <w:pPr>
        <w:ind w:left="12"/>
        <w:spacing w:after="0"/>
        <w:rPr>
          <w:sz w:val="20"/>
          <w:szCs w:val="20"/>
          <w:color w:val="auto"/>
        </w:rPr>
      </w:pPr>
      <w:r>
        <w:rPr>
          <w:rFonts w:ascii="Arial" w:cs="Arial" w:eastAsia="Arial" w:hAnsi="Arial"/>
          <w:sz w:val="18"/>
          <w:szCs w:val="18"/>
          <w:color w:val="auto"/>
        </w:rPr>
        <w:t>[†]</w:t>
      </w:r>
    </w:p>
    <w:p>
      <w:pPr>
        <w:spacing w:after="0" w:line="77" w:lineRule="exact"/>
        <w:rPr>
          <w:sz w:val="20"/>
          <w:szCs w:val="20"/>
          <w:color w:val="auto"/>
        </w:rPr>
      </w:pPr>
    </w:p>
    <w:p>
      <w:pPr>
        <w:ind w:left="12"/>
        <w:spacing w:after="0"/>
        <w:rPr>
          <w:sz w:val="20"/>
          <w:szCs w:val="20"/>
          <w:color w:val="auto"/>
        </w:rPr>
      </w:pPr>
      <w:r>
        <w:rPr>
          <w:rFonts w:ascii="Arial" w:cs="Arial" w:eastAsia="Arial" w:hAnsi="Arial"/>
          <w:sz w:val="18"/>
          <w:szCs w:val="18"/>
          <w:color w:val="auto"/>
        </w:rPr>
        <w:t>[†]</w:t>
      </w:r>
    </w:p>
    <w:p>
      <w:pPr>
        <w:spacing w:after="0" w:line="77" w:lineRule="exact"/>
        <w:rPr>
          <w:sz w:val="20"/>
          <w:szCs w:val="20"/>
          <w:color w:val="auto"/>
        </w:rPr>
      </w:pPr>
    </w:p>
    <w:p>
      <w:pPr>
        <w:ind w:left="12"/>
        <w:spacing w:after="0"/>
        <w:rPr>
          <w:sz w:val="20"/>
          <w:szCs w:val="20"/>
          <w:color w:val="auto"/>
        </w:rPr>
      </w:pPr>
      <w:r>
        <w:rPr>
          <w:rFonts w:ascii="Arial" w:cs="Arial" w:eastAsia="Arial" w:hAnsi="Arial"/>
          <w:sz w:val="18"/>
          <w:szCs w:val="18"/>
          <w:color w:val="auto"/>
        </w:rPr>
        <w:t>[†]</w:t>
      </w:r>
    </w:p>
    <w:p>
      <w:pPr>
        <w:spacing w:after="0" w:line="77" w:lineRule="exact"/>
        <w:rPr>
          <w:sz w:val="20"/>
          <w:szCs w:val="20"/>
          <w:color w:val="auto"/>
        </w:rPr>
      </w:pPr>
    </w:p>
    <w:p>
      <w:pPr>
        <w:ind w:left="12"/>
        <w:spacing w:after="0"/>
        <w:rPr>
          <w:sz w:val="20"/>
          <w:szCs w:val="20"/>
          <w:color w:val="auto"/>
        </w:rPr>
      </w:pPr>
      <w:r>
        <w:rPr>
          <w:rFonts w:ascii="Arial" w:cs="Arial" w:eastAsia="Arial" w:hAnsi="Arial"/>
          <w:sz w:val="18"/>
          <w:szCs w:val="18"/>
          <w:color w:val="auto"/>
        </w:rPr>
        <w:t>[†]</w:t>
      </w:r>
    </w:p>
    <w:p>
      <w:pPr>
        <w:spacing w:after="0" w:line="77" w:lineRule="exact"/>
        <w:rPr>
          <w:sz w:val="20"/>
          <w:szCs w:val="20"/>
          <w:color w:val="auto"/>
        </w:rPr>
      </w:pPr>
    </w:p>
    <w:p>
      <w:pPr>
        <w:ind w:left="12"/>
        <w:spacing w:after="0"/>
        <w:rPr>
          <w:sz w:val="20"/>
          <w:szCs w:val="20"/>
          <w:color w:val="auto"/>
        </w:rPr>
      </w:pPr>
      <w:r>
        <w:rPr>
          <w:rFonts w:ascii="Arial" w:cs="Arial" w:eastAsia="Arial" w:hAnsi="Arial"/>
          <w:sz w:val="18"/>
          <w:szCs w:val="18"/>
          <w:color w:val="auto"/>
        </w:rPr>
        <w:t>[†]</w:t>
      </w:r>
    </w:p>
    <w:p>
      <w:pPr>
        <w:spacing w:after="0" w:line="77" w:lineRule="exact"/>
        <w:rPr>
          <w:sz w:val="20"/>
          <w:szCs w:val="20"/>
          <w:color w:val="auto"/>
        </w:rPr>
      </w:pPr>
    </w:p>
    <w:p>
      <w:pPr>
        <w:ind w:left="12"/>
        <w:spacing w:after="0"/>
        <w:rPr>
          <w:sz w:val="20"/>
          <w:szCs w:val="20"/>
          <w:color w:val="auto"/>
        </w:rPr>
      </w:pPr>
      <w:r>
        <w:rPr>
          <w:rFonts w:ascii="Arial" w:cs="Arial" w:eastAsia="Arial" w:hAnsi="Arial"/>
          <w:sz w:val="18"/>
          <w:szCs w:val="18"/>
          <w:color w:val="auto"/>
        </w:rPr>
        <w:t>[†]</w:t>
      </w:r>
    </w:p>
    <w:p>
      <w:pPr>
        <w:spacing w:after="0" w:line="77" w:lineRule="exact"/>
        <w:rPr>
          <w:sz w:val="20"/>
          <w:szCs w:val="20"/>
          <w:color w:val="auto"/>
        </w:rPr>
      </w:pPr>
    </w:p>
    <w:p>
      <w:pPr>
        <w:ind w:left="12"/>
        <w:spacing w:after="0"/>
        <w:rPr>
          <w:sz w:val="20"/>
          <w:szCs w:val="20"/>
          <w:color w:val="auto"/>
        </w:rPr>
      </w:pPr>
      <w:r>
        <w:rPr>
          <w:rFonts w:ascii="Arial" w:cs="Arial" w:eastAsia="Arial" w:hAnsi="Arial"/>
          <w:sz w:val="18"/>
          <w:szCs w:val="18"/>
          <w:color w:val="auto"/>
        </w:rPr>
        <w:t>[†]</w:t>
      </w:r>
    </w:p>
    <w:p>
      <w:pPr>
        <w:spacing w:after="0" w:line="77" w:lineRule="exact"/>
        <w:rPr>
          <w:sz w:val="20"/>
          <w:szCs w:val="20"/>
          <w:color w:val="auto"/>
        </w:rPr>
      </w:pPr>
    </w:p>
    <w:p>
      <w:pPr>
        <w:ind w:left="12"/>
        <w:spacing w:after="0"/>
        <w:rPr>
          <w:sz w:val="20"/>
          <w:szCs w:val="20"/>
          <w:color w:val="auto"/>
        </w:rPr>
      </w:pPr>
      <w:r>
        <w:rPr>
          <w:rFonts w:ascii="Arial" w:cs="Arial" w:eastAsia="Arial" w:hAnsi="Arial"/>
          <w:sz w:val="18"/>
          <w:szCs w:val="18"/>
          <w:color w:val="auto"/>
        </w:rPr>
        <w:t>[†]</w:t>
      </w:r>
    </w:p>
    <w:p>
      <w:pPr>
        <w:spacing w:after="0" w:line="77" w:lineRule="exact"/>
        <w:rPr>
          <w:sz w:val="20"/>
          <w:szCs w:val="20"/>
          <w:color w:val="auto"/>
        </w:rPr>
      </w:pPr>
    </w:p>
    <w:p>
      <w:pPr>
        <w:ind w:left="12"/>
        <w:spacing w:after="0"/>
        <w:rPr>
          <w:sz w:val="20"/>
          <w:szCs w:val="20"/>
          <w:color w:val="auto"/>
        </w:rPr>
      </w:pPr>
      <w:r>
        <w:rPr>
          <w:rFonts w:ascii="Arial" w:cs="Arial" w:eastAsia="Arial" w:hAnsi="Arial"/>
          <w:sz w:val="18"/>
          <w:szCs w:val="18"/>
          <w:color w:val="auto"/>
        </w:rPr>
        <w:t>[†]</w:t>
      </w:r>
    </w:p>
    <w:p>
      <w:pPr>
        <w:spacing w:after="0" w:line="77" w:lineRule="exact"/>
        <w:rPr>
          <w:sz w:val="20"/>
          <w:szCs w:val="20"/>
          <w:color w:val="auto"/>
        </w:rPr>
      </w:pPr>
    </w:p>
    <w:p>
      <w:pPr>
        <w:ind w:left="12"/>
        <w:spacing w:after="0"/>
        <w:rPr>
          <w:sz w:val="20"/>
          <w:szCs w:val="20"/>
          <w:color w:val="auto"/>
        </w:rPr>
      </w:pPr>
      <w:r>
        <w:rPr>
          <w:rFonts w:ascii="Arial" w:cs="Arial" w:eastAsia="Arial" w:hAnsi="Arial"/>
          <w:sz w:val="18"/>
          <w:szCs w:val="18"/>
          <w:color w:val="auto"/>
        </w:rPr>
        <w:t>[†]</w:t>
      </w:r>
    </w:p>
    <w:p>
      <w:pPr>
        <w:spacing w:after="0" w:line="77" w:lineRule="exact"/>
        <w:rPr>
          <w:sz w:val="20"/>
          <w:szCs w:val="20"/>
          <w:color w:val="auto"/>
        </w:rPr>
      </w:pPr>
    </w:p>
    <w:p>
      <w:pPr>
        <w:ind w:left="12"/>
        <w:spacing w:after="0"/>
        <w:rPr>
          <w:sz w:val="20"/>
          <w:szCs w:val="20"/>
          <w:color w:val="auto"/>
        </w:rPr>
      </w:pPr>
      <w:r>
        <w:rPr>
          <w:rFonts w:ascii="Arial" w:cs="Arial" w:eastAsia="Arial" w:hAnsi="Arial"/>
          <w:sz w:val="18"/>
          <w:szCs w:val="18"/>
          <w:color w:val="auto"/>
        </w:rPr>
        <w:t>[†]</w:t>
      </w:r>
    </w:p>
    <w:p>
      <w:pPr>
        <w:spacing w:after="0" w:line="77" w:lineRule="exact"/>
        <w:rPr>
          <w:sz w:val="20"/>
          <w:szCs w:val="20"/>
          <w:color w:val="auto"/>
        </w:rPr>
      </w:pPr>
    </w:p>
    <w:p>
      <w:pPr>
        <w:ind w:left="12"/>
        <w:spacing w:after="0"/>
        <w:rPr>
          <w:sz w:val="20"/>
          <w:szCs w:val="20"/>
          <w:color w:val="auto"/>
        </w:rPr>
      </w:pPr>
      <w:r>
        <w:rPr>
          <w:rFonts w:ascii="Arial" w:cs="Arial" w:eastAsia="Arial" w:hAnsi="Arial"/>
          <w:sz w:val="18"/>
          <w:szCs w:val="18"/>
          <w:color w:val="auto"/>
        </w:rPr>
        <w:t>[†]</w:t>
      </w:r>
    </w:p>
    <w:p>
      <w:pPr>
        <w:spacing w:after="0" w:line="77" w:lineRule="exact"/>
        <w:rPr>
          <w:sz w:val="20"/>
          <w:szCs w:val="20"/>
          <w:color w:val="auto"/>
        </w:rPr>
      </w:pPr>
    </w:p>
    <w:p>
      <w:pPr>
        <w:ind w:left="12"/>
        <w:spacing w:after="0"/>
        <w:rPr>
          <w:sz w:val="20"/>
          <w:szCs w:val="20"/>
          <w:color w:val="auto"/>
        </w:rPr>
      </w:pPr>
      <w:r>
        <w:rPr>
          <w:rFonts w:ascii="Arial" w:cs="Arial" w:eastAsia="Arial" w:hAnsi="Arial"/>
          <w:sz w:val="18"/>
          <w:szCs w:val="18"/>
          <w:color w:val="auto"/>
        </w:rPr>
        <w:t>[†]</w:t>
      </w:r>
    </w:p>
    <w:p>
      <w:pPr>
        <w:spacing w:after="0" w:line="77" w:lineRule="exact"/>
        <w:rPr>
          <w:sz w:val="20"/>
          <w:szCs w:val="20"/>
          <w:color w:val="auto"/>
        </w:rPr>
      </w:pPr>
    </w:p>
    <w:p>
      <w:pPr>
        <w:ind w:left="12"/>
        <w:spacing w:after="0"/>
        <w:rPr>
          <w:sz w:val="20"/>
          <w:szCs w:val="20"/>
          <w:color w:val="auto"/>
        </w:rPr>
      </w:pPr>
      <w:r>
        <w:rPr>
          <w:rFonts w:ascii="Arial" w:cs="Arial" w:eastAsia="Arial" w:hAnsi="Arial"/>
          <w:sz w:val="18"/>
          <w:szCs w:val="18"/>
          <w:color w:val="auto"/>
        </w:rPr>
        <w:t>[†]</w:t>
      </w:r>
    </w:p>
    <w:p>
      <w:pPr>
        <w:spacing w:after="0" w:line="77" w:lineRule="exact"/>
        <w:rPr>
          <w:sz w:val="20"/>
          <w:szCs w:val="20"/>
          <w:color w:val="auto"/>
        </w:rPr>
      </w:pPr>
    </w:p>
    <w:p>
      <w:pPr>
        <w:ind w:left="12"/>
        <w:spacing w:after="0"/>
        <w:rPr>
          <w:sz w:val="20"/>
          <w:szCs w:val="20"/>
          <w:color w:val="auto"/>
        </w:rPr>
      </w:pPr>
      <w:r>
        <w:rPr>
          <w:rFonts w:ascii="Arial" w:cs="Arial" w:eastAsia="Arial" w:hAnsi="Arial"/>
          <w:sz w:val="18"/>
          <w:szCs w:val="18"/>
          <w:color w:val="auto"/>
        </w:rPr>
        <w:t>[†]</w:t>
      </w:r>
    </w:p>
    <w:p>
      <w:pPr>
        <w:spacing w:after="0" w:line="77" w:lineRule="exact"/>
        <w:rPr>
          <w:sz w:val="20"/>
          <w:szCs w:val="20"/>
          <w:color w:val="auto"/>
        </w:rPr>
      </w:pPr>
    </w:p>
    <w:p>
      <w:pPr>
        <w:ind w:left="12"/>
        <w:spacing w:after="0"/>
        <w:rPr>
          <w:sz w:val="20"/>
          <w:szCs w:val="20"/>
          <w:color w:val="auto"/>
        </w:rPr>
      </w:pPr>
      <w:r>
        <w:rPr>
          <w:rFonts w:ascii="Arial" w:cs="Arial" w:eastAsia="Arial" w:hAnsi="Arial"/>
          <w:sz w:val="18"/>
          <w:szCs w:val="18"/>
          <w:color w:val="auto"/>
        </w:rPr>
        <w:t>[†]</w:t>
      </w:r>
    </w:p>
    <w:p>
      <w:pPr>
        <w:spacing w:after="0" w:line="77" w:lineRule="exact"/>
        <w:rPr>
          <w:sz w:val="20"/>
          <w:szCs w:val="20"/>
          <w:color w:val="auto"/>
        </w:rPr>
      </w:pPr>
    </w:p>
    <w:p>
      <w:pPr>
        <w:ind w:left="12"/>
        <w:spacing w:after="0"/>
        <w:rPr>
          <w:sz w:val="20"/>
          <w:szCs w:val="20"/>
          <w:color w:val="auto"/>
        </w:rPr>
      </w:pPr>
      <w:r>
        <w:rPr>
          <w:rFonts w:ascii="Arial" w:cs="Arial" w:eastAsia="Arial" w:hAnsi="Arial"/>
          <w:sz w:val="18"/>
          <w:szCs w:val="18"/>
          <w:color w:val="auto"/>
        </w:rPr>
        <w:t>[†]</w:t>
      </w:r>
    </w:p>
    <w:p>
      <w:pPr>
        <w:spacing w:after="0" w:line="77" w:lineRule="exact"/>
        <w:rPr>
          <w:sz w:val="20"/>
          <w:szCs w:val="20"/>
          <w:color w:val="auto"/>
        </w:rPr>
      </w:pPr>
    </w:p>
    <w:p>
      <w:pPr>
        <w:ind w:left="12"/>
        <w:spacing w:after="0"/>
        <w:rPr>
          <w:sz w:val="20"/>
          <w:szCs w:val="20"/>
          <w:color w:val="auto"/>
        </w:rPr>
      </w:pPr>
      <w:r>
        <w:rPr>
          <w:rFonts w:ascii="Arial" w:cs="Arial" w:eastAsia="Arial" w:hAnsi="Arial"/>
          <w:sz w:val="18"/>
          <w:szCs w:val="18"/>
          <w:color w:val="auto"/>
        </w:rPr>
        <w:t>[†]</w:t>
      </w:r>
    </w:p>
    <w:p>
      <w:pPr>
        <w:spacing w:after="0" w:line="77" w:lineRule="exact"/>
        <w:rPr>
          <w:sz w:val="20"/>
          <w:szCs w:val="20"/>
          <w:color w:val="auto"/>
        </w:rPr>
      </w:pPr>
    </w:p>
    <w:p>
      <w:pPr>
        <w:ind w:left="12"/>
        <w:spacing w:after="0"/>
        <w:rPr>
          <w:sz w:val="20"/>
          <w:szCs w:val="20"/>
          <w:color w:val="auto"/>
        </w:rPr>
      </w:pPr>
      <w:r>
        <w:rPr>
          <w:rFonts w:ascii="Arial" w:cs="Arial" w:eastAsia="Arial" w:hAnsi="Arial"/>
          <w:sz w:val="18"/>
          <w:szCs w:val="18"/>
          <w:color w:val="auto"/>
        </w:rPr>
        <w:t>[†]</w:t>
      </w:r>
    </w:p>
    <w:p>
      <w:pPr>
        <w:spacing w:after="0" w:line="77" w:lineRule="exact"/>
        <w:rPr>
          <w:sz w:val="20"/>
          <w:szCs w:val="20"/>
          <w:color w:val="auto"/>
        </w:rPr>
      </w:pPr>
    </w:p>
    <w:p>
      <w:pPr>
        <w:ind w:left="12"/>
        <w:spacing w:after="0"/>
        <w:rPr>
          <w:sz w:val="20"/>
          <w:szCs w:val="20"/>
          <w:color w:val="auto"/>
        </w:rPr>
      </w:pPr>
      <w:r>
        <w:rPr>
          <w:rFonts w:ascii="Arial" w:cs="Arial" w:eastAsia="Arial" w:hAnsi="Arial"/>
          <w:sz w:val="18"/>
          <w:szCs w:val="18"/>
          <w:color w:val="auto"/>
        </w:rPr>
        <w:t>[†]</w:t>
      </w:r>
    </w:p>
    <w:p>
      <w:pPr>
        <w:spacing w:after="0" w:line="77" w:lineRule="exact"/>
        <w:rPr>
          <w:sz w:val="20"/>
          <w:szCs w:val="20"/>
          <w:color w:val="auto"/>
        </w:rPr>
      </w:pPr>
    </w:p>
    <w:p>
      <w:pPr>
        <w:ind w:left="12"/>
        <w:spacing w:after="0"/>
        <w:rPr>
          <w:sz w:val="20"/>
          <w:szCs w:val="20"/>
          <w:color w:val="auto"/>
        </w:rPr>
      </w:pPr>
      <w:r>
        <w:rPr>
          <w:rFonts w:ascii="Arial" w:cs="Arial" w:eastAsia="Arial" w:hAnsi="Arial"/>
          <w:sz w:val="18"/>
          <w:szCs w:val="18"/>
          <w:color w:val="auto"/>
        </w:rPr>
        <w:t>[†]</w:t>
      </w:r>
    </w:p>
    <w:p>
      <w:pPr>
        <w:spacing w:after="0" w:line="77" w:lineRule="exact"/>
        <w:rPr>
          <w:sz w:val="20"/>
          <w:szCs w:val="20"/>
          <w:color w:val="auto"/>
        </w:rPr>
      </w:pPr>
    </w:p>
    <w:p>
      <w:pPr>
        <w:ind w:left="12"/>
        <w:spacing w:after="0"/>
        <w:rPr>
          <w:sz w:val="20"/>
          <w:szCs w:val="20"/>
          <w:color w:val="auto"/>
        </w:rPr>
      </w:pPr>
      <w:r>
        <w:rPr>
          <w:rFonts w:ascii="Arial" w:cs="Arial" w:eastAsia="Arial" w:hAnsi="Arial"/>
          <w:sz w:val="18"/>
          <w:szCs w:val="18"/>
          <w:color w:val="auto"/>
        </w:rPr>
        <w:t>[†]</w:t>
      </w:r>
    </w:p>
    <w:p>
      <w:pPr>
        <w:spacing w:after="0" w:line="77" w:lineRule="exact"/>
        <w:rPr>
          <w:sz w:val="20"/>
          <w:szCs w:val="20"/>
          <w:color w:val="auto"/>
        </w:rPr>
      </w:pPr>
    </w:p>
    <w:p>
      <w:pPr>
        <w:ind w:left="12"/>
        <w:spacing w:after="0"/>
        <w:rPr>
          <w:sz w:val="20"/>
          <w:szCs w:val="20"/>
          <w:color w:val="auto"/>
        </w:rPr>
      </w:pPr>
      <w:r>
        <w:rPr>
          <w:rFonts w:ascii="Arial" w:cs="Arial" w:eastAsia="Arial" w:hAnsi="Arial"/>
          <w:sz w:val="18"/>
          <w:szCs w:val="18"/>
          <w:color w:val="auto"/>
        </w:rPr>
        <w:t>[†]</w:t>
      </w:r>
    </w:p>
    <w:p>
      <w:pPr>
        <w:spacing w:after="0" w:line="77" w:lineRule="exact"/>
        <w:rPr>
          <w:sz w:val="20"/>
          <w:szCs w:val="20"/>
          <w:color w:val="auto"/>
        </w:rPr>
      </w:pPr>
    </w:p>
    <w:p>
      <w:pPr>
        <w:ind w:left="12"/>
        <w:spacing w:after="0"/>
        <w:rPr>
          <w:sz w:val="20"/>
          <w:szCs w:val="20"/>
          <w:color w:val="auto"/>
        </w:rPr>
      </w:pPr>
      <w:r>
        <w:rPr>
          <w:rFonts w:ascii="Arial" w:cs="Arial" w:eastAsia="Arial" w:hAnsi="Arial"/>
          <w:sz w:val="18"/>
          <w:szCs w:val="18"/>
          <w:color w:val="auto"/>
        </w:rPr>
        <w:t>[†]</w:t>
      </w:r>
    </w:p>
    <w:p>
      <w:pPr>
        <w:spacing w:after="0" w:line="77" w:lineRule="exact"/>
        <w:rPr>
          <w:sz w:val="20"/>
          <w:szCs w:val="20"/>
          <w:color w:val="auto"/>
        </w:rPr>
      </w:pPr>
    </w:p>
    <w:p>
      <w:pPr>
        <w:ind w:left="12"/>
        <w:spacing w:after="0"/>
        <w:rPr>
          <w:sz w:val="20"/>
          <w:szCs w:val="20"/>
          <w:color w:val="auto"/>
        </w:rPr>
      </w:pPr>
      <w:r>
        <w:rPr>
          <w:rFonts w:ascii="Arial" w:cs="Arial" w:eastAsia="Arial" w:hAnsi="Arial"/>
          <w:sz w:val="18"/>
          <w:szCs w:val="18"/>
          <w:color w:val="auto"/>
        </w:rPr>
        <w:t>[†]</w:t>
      </w:r>
    </w:p>
    <w:p>
      <w:pPr>
        <w:spacing w:after="0" w:line="77" w:lineRule="exact"/>
        <w:rPr>
          <w:sz w:val="20"/>
          <w:szCs w:val="20"/>
          <w:color w:val="auto"/>
        </w:rPr>
      </w:pPr>
    </w:p>
    <w:p>
      <w:pPr>
        <w:ind w:left="12"/>
        <w:spacing w:after="0"/>
        <w:rPr>
          <w:sz w:val="20"/>
          <w:szCs w:val="20"/>
          <w:color w:val="auto"/>
        </w:rPr>
      </w:pPr>
      <w:r>
        <w:rPr>
          <w:rFonts w:ascii="Arial" w:cs="Arial" w:eastAsia="Arial" w:hAnsi="Arial"/>
          <w:sz w:val="18"/>
          <w:szCs w:val="18"/>
          <w:color w:val="auto"/>
        </w:rPr>
        <w:t>[†]</w:t>
      </w:r>
    </w:p>
    <w:p>
      <w:pPr>
        <w:spacing w:after="0" w:line="77" w:lineRule="exact"/>
        <w:rPr>
          <w:sz w:val="20"/>
          <w:szCs w:val="20"/>
          <w:color w:val="auto"/>
        </w:rPr>
      </w:pPr>
    </w:p>
    <w:p>
      <w:pPr>
        <w:ind w:left="12"/>
        <w:spacing w:after="0"/>
        <w:rPr>
          <w:sz w:val="20"/>
          <w:szCs w:val="20"/>
          <w:color w:val="auto"/>
        </w:rPr>
      </w:pPr>
      <w:r>
        <w:rPr>
          <w:rFonts w:ascii="Arial" w:cs="Arial" w:eastAsia="Arial" w:hAnsi="Arial"/>
          <w:sz w:val="18"/>
          <w:szCs w:val="18"/>
          <w:color w:val="auto"/>
        </w:rPr>
        <w:t>[†]</w:t>
      </w:r>
    </w:p>
    <w:p>
      <w:pPr>
        <w:spacing w:after="0" w:line="77" w:lineRule="exact"/>
        <w:rPr>
          <w:sz w:val="20"/>
          <w:szCs w:val="20"/>
          <w:color w:val="auto"/>
        </w:rPr>
      </w:pPr>
    </w:p>
    <w:p>
      <w:pPr>
        <w:ind w:left="12"/>
        <w:spacing w:after="0"/>
        <w:rPr>
          <w:sz w:val="20"/>
          <w:szCs w:val="20"/>
          <w:color w:val="auto"/>
        </w:rPr>
      </w:pPr>
      <w:r>
        <w:rPr>
          <w:rFonts w:ascii="Arial" w:cs="Arial" w:eastAsia="Arial" w:hAnsi="Arial"/>
          <w:sz w:val="18"/>
          <w:szCs w:val="18"/>
          <w:color w:val="auto"/>
        </w:rPr>
        <w:t>[†]</w:t>
      </w:r>
    </w:p>
    <w:p>
      <w:pPr>
        <w:spacing w:after="0" w:line="77" w:lineRule="exact"/>
        <w:rPr>
          <w:sz w:val="20"/>
          <w:szCs w:val="20"/>
          <w:color w:val="auto"/>
        </w:rPr>
      </w:pPr>
    </w:p>
    <w:p>
      <w:pPr>
        <w:ind w:left="12"/>
        <w:spacing w:after="0"/>
        <w:rPr>
          <w:sz w:val="20"/>
          <w:szCs w:val="20"/>
          <w:color w:val="auto"/>
        </w:rPr>
      </w:pPr>
      <w:r>
        <w:rPr>
          <w:rFonts w:ascii="Arial" w:cs="Arial" w:eastAsia="Arial" w:hAnsi="Arial"/>
          <w:sz w:val="18"/>
          <w:szCs w:val="18"/>
          <w:color w:val="auto"/>
        </w:rPr>
        <w:t>[†]</w:t>
      </w:r>
    </w:p>
    <w:p>
      <w:pPr>
        <w:spacing w:after="0" w:line="77" w:lineRule="exact"/>
        <w:rPr>
          <w:sz w:val="20"/>
          <w:szCs w:val="20"/>
          <w:color w:val="auto"/>
        </w:rPr>
      </w:pPr>
    </w:p>
    <w:p>
      <w:pPr>
        <w:ind w:left="12"/>
        <w:spacing w:after="0"/>
        <w:rPr>
          <w:sz w:val="20"/>
          <w:szCs w:val="20"/>
          <w:color w:val="auto"/>
        </w:rPr>
      </w:pPr>
      <w:r>
        <w:rPr>
          <w:rFonts w:ascii="Arial" w:cs="Arial" w:eastAsia="Arial" w:hAnsi="Arial"/>
          <w:sz w:val="18"/>
          <w:szCs w:val="18"/>
          <w:color w:val="auto"/>
        </w:rPr>
        <w:t>[†]</w:t>
      </w:r>
    </w:p>
    <w:p>
      <w:pPr>
        <w:spacing w:after="0" w:line="77" w:lineRule="exact"/>
        <w:rPr>
          <w:sz w:val="20"/>
          <w:szCs w:val="20"/>
          <w:color w:val="auto"/>
        </w:rPr>
      </w:pPr>
    </w:p>
    <w:p>
      <w:pPr>
        <w:ind w:left="12"/>
        <w:spacing w:after="0"/>
        <w:rPr>
          <w:sz w:val="20"/>
          <w:szCs w:val="20"/>
          <w:color w:val="auto"/>
        </w:rPr>
      </w:pPr>
      <w:r>
        <w:rPr>
          <w:rFonts w:ascii="Arial" w:cs="Arial" w:eastAsia="Arial" w:hAnsi="Arial"/>
          <w:sz w:val="18"/>
          <w:szCs w:val="18"/>
          <w:color w:val="auto"/>
        </w:rPr>
        <w:t>[†]</w:t>
      </w:r>
    </w:p>
    <w:p>
      <w:pPr>
        <w:spacing w:after="0" w:line="77" w:lineRule="exact"/>
        <w:rPr>
          <w:sz w:val="20"/>
          <w:szCs w:val="20"/>
          <w:color w:val="auto"/>
        </w:rPr>
      </w:pPr>
    </w:p>
    <w:p>
      <w:pPr>
        <w:ind w:left="12"/>
        <w:spacing w:after="0"/>
        <w:rPr>
          <w:sz w:val="20"/>
          <w:szCs w:val="20"/>
          <w:color w:val="auto"/>
        </w:rPr>
      </w:pPr>
      <w:r>
        <w:rPr>
          <w:rFonts w:ascii="Arial" w:cs="Arial" w:eastAsia="Arial" w:hAnsi="Arial"/>
          <w:sz w:val="18"/>
          <w:szCs w:val="18"/>
          <w:color w:val="auto"/>
        </w:rPr>
        <w:t>[†]</w:t>
      </w:r>
    </w:p>
    <w:p>
      <w:pPr>
        <w:spacing w:after="0" w:line="288" w:lineRule="exact"/>
        <w:rPr>
          <w:sz w:val="20"/>
          <w:szCs w:val="20"/>
          <w:color w:val="auto"/>
        </w:rPr>
      </w:pPr>
    </w:p>
    <w:p>
      <w:pPr>
        <w:ind w:left="-8" w:firstLine="8"/>
        <w:spacing w:after="0" w:line="253" w:lineRule="auto"/>
        <w:tabs>
          <w:tab w:leader="none" w:pos="196" w:val="left"/>
        </w:tabs>
        <w:numPr>
          <w:ilvl w:val="0"/>
          <w:numId w:val="171"/>
        </w:numPr>
        <w:rPr>
          <w:rFonts w:ascii="Arial" w:cs="Arial" w:eastAsia="Arial" w:hAnsi="Arial"/>
          <w:sz w:val="14"/>
          <w:szCs w:val="14"/>
          <w:color w:val="auto"/>
        </w:rPr>
      </w:pPr>
      <w:r>
        <w:rPr>
          <w:rFonts w:ascii="Arial" w:cs="Arial" w:eastAsia="Arial" w:hAnsi="Arial"/>
          <w:sz w:val="14"/>
          <w:szCs w:val="14"/>
          <w:color w:val="auto"/>
        </w:rPr>
        <w:t>DESIGNATES PORTIONS OF THIS DOCUMENT THAT HAVE BEEN OMITTED PURSUANT TO A REQUEST FOR CONFIDENTIAL TREATMENT FILED SEPARATELY WITH THE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40640</wp:posOffset>
            </wp:positionV>
            <wp:extent cx="7289165"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72"/>
          </w:cols>
          <w:pgMar w:left="248" w:top="139" w:right="279" w:bottom="1440" w:gutter="0" w:footer="0" w:header="0"/>
        </w:sectPr>
      </w:pPr>
    </w:p>
    <w:bookmarkStart w:id="121" w:name="page122"/>
    <w:bookmarkEnd w:id="121"/>
    <w:p>
      <w:pPr>
        <w:ind w:left="2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324993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46620" cy="3249930"/>
                    </a:xfrm>
                    <a:prstGeom prst="rect">
                      <a:avLst/>
                    </a:prstGeom>
                    <a:noFill/>
                  </pic:spPr>
                </pic:pic>
              </a:graphicData>
            </a:graphic>
          </wp:anchor>
        </w:drawing>
      </w:r>
    </w:p>
    <w:p>
      <w:pPr>
        <w:spacing w:after="0" w:line="57" w:lineRule="exact"/>
        <w:rPr>
          <w:sz w:val="20"/>
          <w:szCs w:val="20"/>
          <w:color w:val="auto"/>
        </w:rPr>
      </w:pPr>
    </w:p>
    <w:p>
      <w:pPr>
        <w:ind w:left="20"/>
        <w:spacing w:after="0"/>
        <w:rPr>
          <w:sz w:val="20"/>
          <w:szCs w:val="20"/>
          <w:color w:val="auto"/>
        </w:rPr>
      </w:pPr>
      <w:r>
        <w:rPr>
          <w:rFonts w:ascii="Arial" w:cs="Arial" w:eastAsia="Arial" w:hAnsi="Arial"/>
          <w:sz w:val="18"/>
          <w:szCs w:val="18"/>
          <w:color w:val="auto"/>
        </w:rPr>
        <w:t>[†]</w:t>
      </w:r>
    </w:p>
    <w:p>
      <w:pPr>
        <w:spacing w:after="0" w:line="77" w:lineRule="exact"/>
        <w:rPr>
          <w:sz w:val="20"/>
          <w:szCs w:val="20"/>
          <w:color w:val="auto"/>
        </w:rPr>
      </w:pPr>
    </w:p>
    <w:p>
      <w:pPr>
        <w:ind w:left="20"/>
        <w:spacing w:after="0"/>
        <w:rPr>
          <w:sz w:val="20"/>
          <w:szCs w:val="20"/>
          <w:color w:val="auto"/>
        </w:rPr>
      </w:pPr>
      <w:r>
        <w:rPr>
          <w:rFonts w:ascii="Arial" w:cs="Arial" w:eastAsia="Arial" w:hAnsi="Arial"/>
          <w:sz w:val="18"/>
          <w:szCs w:val="18"/>
          <w:color w:val="auto"/>
        </w:rPr>
        <w:t>[†]</w:t>
      </w:r>
    </w:p>
    <w:p>
      <w:pPr>
        <w:spacing w:after="0" w:line="77" w:lineRule="exact"/>
        <w:rPr>
          <w:sz w:val="20"/>
          <w:szCs w:val="20"/>
          <w:color w:val="auto"/>
        </w:rPr>
      </w:pPr>
    </w:p>
    <w:p>
      <w:pPr>
        <w:ind w:left="20"/>
        <w:spacing w:after="0"/>
        <w:rPr>
          <w:sz w:val="20"/>
          <w:szCs w:val="20"/>
          <w:color w:val="auto"/>
        </w:rPr>
      </w:pPr>
      <w:r>
        <w:rPr>
          <w:rFonts w:ascii="Arial" w:cs="Arial" w:eastAsia="Arial" w:hAnsi="Arial"/>
          <w:sz w:val="18"/>
          <w:szCs w:val="18"/>
          <w:color w:val="auto"/>
        </w:rPr>
        <w:t>[†]</w:t>
      </w:r>
    </w:p>
    <w:p>
      <w:pPr>
        <w:spacing w:after="0" w:line="77" w:lineRule="exact"/>
        <w:rPr>
          <w:sz w:val="20"/>
          <w:szCs w:val="20"/>
          <w:color w:val="auto"/>
        </w:rPr>
      </w:pPr>
    </w:p>
    <w:p>
      <w:pPr>
        <w:ind w:left="20"/>
        <w:spacing w:after="0"/>
        <w:rPr>
          <w:sz w:val="20"/>
          <w:szCs w:val="20"/>
          <w:color w:val="auto"/>
        </w:rPr>
      </w:pPr>
      <w:r>
        <w:rPr>
          <w:rFonts w:ascii="Arial" w:cs="Arial" w:eastAsia="Arial" w:hAnsi="Arial"/>
          <w:sz w:val="18"/>
          <w:szCs w:val="18"/>
          <w:color w:val="auto"/>
        </w:rPr>
        <w:t>[†]</w:t>
      </w:r>
    </w:p>
    <w:p>
      <w:pPr>
        <w:spacing w:after="0" w:line="77" w:lineRule="exact"/>
        <w:rPr>
          <w:sz w:val="20"/>
          <w:szCs w:val="20"/>
          <w:color w:val="auto"/>
        </w:rPr>
      </w:pPr>
    </w:p>
    <w:p>
      <w:pPr>
        <w:ind w:left="20"/>
        <w:spacing w:after="0"/>
        <w:rPr>
          <w:sz w:val="20"/>
          <w:szCs w:val="20"/>
          <w:color w:val="auto"/>
        </w:rPr>
      </w:pPr>
      <w:r>
        <w:rPr>
          <w:rFonts w:ascii="Arial" w:cs="Arial" w:eastAsia="Arial" w:hAnsi="Arial"/>
          <w:sz w:val="18"/>
          <w:szCs w:val="18"/>
          <w:color w:val="auto"/>
        </w:rPr>
        <w:t>[†]</w:t>
      </w:r>
    </w:p>
    <w:p>
      <w:pPr>
        <w:spacing w:after="0" w:line="77" w:lineRule="exact"/>
        <w:rPr>
          <w:sz w:val="20"/>
          <w:szCs w:val="20"/>
          <w:color w:val="auto"/>
        </w:rPr>
      </w:pPr>
    </w:p>
    <w:p>
      <w:pPr>
        <w:ind w:left="20"/>
        <w:spacing w:after="0"/>
        <w:rPr>
          <w:sz w:val="20"/>
          <w:szCs w:val="20"/>
          <w:color w:val="auto"/>
        </w:rPr>
      </w:pPr>
      <w:r>
        <w:rPr>
          <w:rFonts w:ascii="Arial" w:cs="Arial" w:eastAsia="Arial" w:hAnsi="Arial"/>
          <w:sz w:val="18"/>
          <w:szCs w:val="18"/>
          <w:color w:val="auto"/>
        </w:rPr>
        <w:t>[†]</w:t>
      </w:r>
    </w:p>
    <w:p>
      <w:pPr>
        <w:spacing w:after="0" w:line="77" w:lineRule="exact"/>
        <w:rPr>
          <w:sz w:val="20"/>
          <w:szCs w:val="20"/>
          <w:color w:val="auto"/>
        </w:rPr>
      </w:pPr>
    </w:p>
    <w:p>
      <w:pPr>
        <w:ind w:left="20"/>
        <w:spacing w:after="0"/>
        <w:rPr>
          <w:sz w:val="20"/>
          <w:szCs w:val="20"/>
          <w:color w:val="auto"/>
        </w:rPr>
      </w:pPr>
      <w:r>
        <w:rPr>
          <w:rFonts w:ascii="Arial" w:cs="Arial" w:eastAsia="Arial" w:hAnsi="Arial"/>
          <w:sz w:val="18"/>
          <w:szCs w:val="18"/>
          <w:color w:val="auto"/>
        </w:rPr>
        <w:t>[†]</w:t>
      </w:r>
    </w:p>
    <w:p>
      <w:pPr>
        <w:spacing w:after="0" w:line="77" w:lineRule="exact"/>
        <w:rPr>
          <w:sz w:val="20"/>
          <w:szCs w:val="20"/>
          <w:color w:val="auto"/>
        </w:rPr>
      </w:pPr>
    </w:p>
    <w:p>
      <w:pPr>
        <w:ind w:left="20"/>
        <w:spacing w:after="0"/>
        <w:rPr>
          <w:sz w:val="20"/>
          <w:szCs w:val="20"/>
          <w:color w:val="auto"/>
        </w:rPr>
      </w:pPr>
      <w:r>
        <w:rPr>
          <w:rFonts w:ascii="Arial" w:cs="Arial" w:eastAsia="Arial" w:hAnsi="Arial"/>
          <w:sz w:val="18"/>
          <w:szCs w:val="18"/>
          <w:color w:val="auto"/>
        </w:rPr>
        <w:t>[†]</w:t>
      </w:r>
    </w:p>
    <w:p>
      <w:pPr>
        <w:spacing w:after="0" w:line="77" w:lineRule="exact"/>
        <w:rPr>
          <w:sz w:val="20"/>
          <w:szCs w:val="20"/>
          <w:color w:val="auto"/>
        </w:rPr>
      </w:pPr>
    </w:p>
    <w:p>
      <w:pPr>
        <w:ind w:left="20"/>
        <w:spacing w:after="0"/>
        <w:rPr>
          <w:sz w:val="20"/>
          <w:szCs w:val="20"/>
          <w:color w:val="auto"/>
        </w:rPr>
      </w:pPr>
      <w:r>
        <w:rPr>
          <w:rFonts w:ascii="Arial" w:cs="Arial" w:eastAsia="Arial" w:hAnsi="Arial"/>
          <w:sz w:val="18"/>
          <w:szCs w:val="18"/>
          <w:color w:val="auto"/>
        </w:rPr>
        <w:t>[†]</w:t>
      </w:r>
    </w:p>
    <w:p>
      <w:pPr>
        <w:spacing w:after="0" w:line="77" w:lineRule="exact"/>
        <w:rPr>
          <w:sz w:val="20"/>
          <w:szCs w:val="20"/>
          <w:color w:val="auto"/>
        </w:rPr>
      </w:pPr>
    </w:p>
    <w:p>
      <w:pPr>
        <w:ind w:left="20"/>
        <w:spacing w:after="0"/>
        <w:rPr>
          <w:sz w:val="20"/>
          <w:szCs w:val="20"/>
          <w:color w:val="auto"/>
        </w:rPr>
      </w:pPr>
      <w:r>
        <w:rPr>
          <w:rFonts w:ascii="Arial" w:cs="Arial" w:eastAsia="Arial" w:hAnsi="Arial"/>
          <w:sz w:val="18"/>
          <w:szCs w:val="18"/>
          <w:color w:val="auto"/>
        </w:rPr>
        <w:t>[†]</w:t>
      </w:r>
    </w:p>
    <w:p>
      <w:pPr>
        <w:spacing w:after="0" w:line="77" w:lineRule="exact"/>
        <w:rPr>
          <w:sz w:val="20"/>
          <w:szCs w:val="20"/>
          <w:color w:val="auto"/>
        </w:rPr>
      </w:pPr>
    </w:p>
    <w:p>
      <w:pPr>
        <w:ind w:left="20"/>
        <w:spacing w:after="0"/>
        <w:rPr>
          <w:sz w:val="20"/>
          <w:szCs w:val="20"/>
          <w:color w:val="auto"/>
        </w:rPr>
      </w:pPr>
      <w:r>
        <w:rPr>
          <w:rFonts w:ascii="Arial" w:cs="Arial" w:eastAsia="Arial" w:hAnsi="Arial"/>
          <w:sz w:val="18"/>
          <w:szCs w:val="18"/>
          <w:color w:val="auto"/>
        </w:rPr>
        <w:t>[†]</w:t>
      </w:r>
    </w:p>
    <w:p>
      <w:pPr>
        <w:spacing w:after="0" w:line="77" w:lineRule="exact"/>
        <w:rPr>
          <w:sz w:val="20"/>
          <w:szCs w:val="20"/>
          <w:color w:val="auto"/>
        </w:rPr>
      </w:pPr>
    </w:p>
    <w:p>
      <w:pPr>
        <w:ind w:left="20"/>
        <w:spacing w:after="0"/>
        <w:rPr>
          <w:sz w:val="20"/>
          <w:szCs w:val="20"/>
          <w:color w:val="auto"/>
        </w:rPr>
      </w:pPr>
      <w:r>
        <w:rPr>
          <w:rFonts w:ascii="Arial" w:cs="Arial" w:eastAsia="Arial" w:hAnsi="Arial"/>
          <w:sz w:val="18"/>
          <w:szCs w:val="18"/>
          <w:color w:val="auto"/>
        </w:rPr>
        <w:t>[†]</w:t>
      </w:r>
    </w:p>
    <w:p>
      <w:pPr>
        <w:spacing w:after="0" w:line="77" w:lineRule="exact"/>
        <w:rPr>
          <w:sz w:val="20"/>
          <w:szCs w:val="20"/>
          <w:color w:val="auto"/>
        </w:rPr>
      </w:pPr>
    </w:p>
    <w:p>
      <w:pPr>
        <w:ind w:left="20"/>
        <w:spacing w:after="0"/>
        <w:rPr>
          <w:sz w:val="20"/>
          <w:szCs w:val="20"/>
          <w:color w:val="auto"/>
        </w:rPr>
      </w:pPr>
      <w:r>
        <w:rPr>
          <w:rFonts w:ascii="Arial" w:cs="Arial" w:eastAsia="Arial" w:hAnsi="Arial"/>
          <w:sz w:val="18"/>
          <w:szCs w:val="18"/>
          <w:color w:val="auto"/>
        </w:rPr>
        <w:t>[†]</w:t>
      </w:r>
    </w:p>
    <w:p>
      <w:pPr>
        <w:spacing w:after="0" w:line="77" w:lineRule="exact"/>
        <w:rPr>
          <w:sz w:val="20"/>
          <w:szCs w:val="20"/>
          <w:color w:val="auto"/>
        </w:rPr>
      </w:pPr>
    </w:p>
    <w:p>
      <w:pPr>
        <w:ind w:left="20"/>
        <w:spacing w:after="0"/>
        <w:rPr>
          <w:sz w:val="20"/>
          <w:szCs w:val="20"/>
          <w:color w:val="auto"/>
        </w:rPr>
      </w:pPr>
      <w:r>
        <w:rPr>
          <w:rFonts w:ascii="Arial" w:cs="Arial" w:eastAsia="Arial" w:hAnsi="Arial"/>
          <w:sz w:val="18"/>
          <w:szCs w:val="18"/>
          <w:color w:val="auto"/>
        </w:rPr>
        <w:t>[†]</w:t>
      </w:r>
    </w:p>
    <w:p>
      <w:pPr>
        <w:spacing w:after="0" w:line="77" w:lineRule="exact"/>
        <w:rPr>
          <w:sz w:val="20"/>
          <w:szCs w:val="20"/>
          <w:color w:val="auto"/>
        </w:rPr>
      </w:pPr>
    </w:p>
    <w:p>
      <w:pPr>
        <w:ind w:left="20"/>
        <w:spacing w:after="0"/>
        <w:rPr>
          <w:sz w:val="20"/>
          <w:szCs w:val="20"/>
          <w:color w:val="auto"/>
        </w:rPr>
      </w:pPr>
      <w:r>
        <w:rPr>
          <w:rFonts w:ascii="Arial" w:cs="Arial" w:eastAsia="Arial" w:hAnsi="Arial"/>
          <w:sz w:val="18"/>
          <w:szCs w:val="18"/>
          <w:color w:val="auto"/>
        </w:rPr>
        <w:t>[†]</w:t>
      </w:r>
    </w:p>
    <w:p>
      <w:pPr>
        <w:spacing w:after="0" w:line="77" w:lineRule="exact"/>
        <w:rPr>
          <w:sz w:val="20"/>
          <w:szCs w:val="20"/>
          <w:color w:val="auto"/>
        </w:rPr>
      </w:pPr>
    </w:p>
    <w:p>
      <w:pPr>
        <w:ind w:left="20"/>
        <w:spacing w:after="0"/>
        <w:rPr>
          <w:sz w:val="20"/>
          <w:szCs w:val="20"/>
          <w:color w:val="auto"/>
        </w:rPr>
      </w:pPr>
      <w:r>
        <w:rPr>
          <w:rFonts w:ascii="Arial" w:cs="Arial" w:eastAsia="Arial" w:hAnsi="Arial"/>
          <w:sz w:val="18"/>
          <w:szCs w:val="18"/>
          <w:color w:val="auto"/>
        </w:rPr>
        <w:t>[†]</w:t>
      </w:r>
    </w:p>
    <w:p>
      <w:pPr>
        <w:spacing w:after="0" w:line="77" w:lineRule="exact"/>
        <w:rPr>
          <w:sz w:val="20"/>
          <w:szCs w:val="20"/>
          <w:color w:val="auto"/>
        </w:rPr>
      </w:pPr>
    </w:p>
    <w:p>
      <w:pPr>
        <w:ind w:left="20"/>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ARCHIVED RAW DATA FILES</w:t>
      </w:r>
    </w:p>
    <w:p>
      <w:pPr>
        <w:spacing w:after="0" w:line="322" w:lineRule="exact"/>
        <w:rPr>
          <w:sz w:val="20"/>
          <w:szCs w:val="20"/>
          <w:color w:val="auto"/>
        </w:rPr>
      </w:pPr>
    </w:p>
    <w:tbl>
      <w:tblPr>
        <w:tblLayout w:type="fixed"/>
        <w:tblInd w:w="10" w:type="dxa"/>
        <w:tblCellMar>
          <w:top w:w="0" w:type="dxa"/>
          <w:left w:w="0" w:type="dxa"/>
          <w:bottom w:w="0" w:type="dxa"/>
          <w:right w:w="0" w:type="dxa"/>
        </w:tblCellMar>
      </w:tblPr>
      <w:tr>
        <w:trPr>
          <w:trHeight w:val="252"/>
        </w:trPr>
        <w:tc>
          <w:tcPr>
            <w:tcW w:w="1540" w:type="dxa"/>
            <w:vAlign w:val="bottom"/>
            <w:tcBorders>
              <w:top w:val="single" w:sz="8" w:color="auto"/>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b w:val="1"/>
                <w:bCs w:val="1"/>
                <w:color w:val="auto"/>
              </w:rPr>
              <w:t>ASI Barcode</w:t>
            </w:r>
          </w:p>
        </w:tc>
        <w:tc>
          <w:tcPr>
            <w:tcW w:w="1780" w:type="dxa"/>
            <w:vAlign w:val="bottom"/>
            <w:tcBorders>
              <w:top w:val="single" w:sz="8" w:color="auto"/>
              <w:bottom w:val="single" w:sz="8" w:color="auto"/>
              <w:right w:val="single" w:sz="8" w:color="auto"/>
            </w:tcBorders>
          </w:tcPr>
          <w:p>
            <w:pPr>
              <w:spacing w:after="0"/>
              <w:rPr>
                <w:sz w:val="20"/>
                <w:szCs w:val="20"/>
                <w:color w:val="auto"/>
              </w:rPr>
            </w:pPr>
            <w:r>
              <w:rPr>
                <w:rFonts w:ascii="Arial" w:cs="Arial" w:eastAsia="Arial" w:hAnsi="Arial"/>
                <w:sz w:val="18"/>
                <w:szCs w:val="18"/>
                <w:b w:val="1"/>
                <w:bCs w:val="1"/>
                <w:color w:val="auto"/>
              </w:rPr>
              <w:t>Study Number</w:t>
            </w:r>
          </w:p>
        </w:tc>
        <w:tc>
          <w:tcPr>
            <w:tcW w:w="6460" w:type="dxa"/>
            <w:vAlign w:val="bottom"/>
            <w:tcBorders>
              <w:top w:val="single" w:sz="8" w:color="auto"/>
              <w:bottom w:val="single" w:sz="8" w:color="auto"/>
              <w:right w:val="single" w:sz="8" w:color="auto"/>
            </w:tcBorders>
          </w:tcPr>
          <w:p>
            <w:pPr>
              <w:spacing w:after="0"/>
              <w:rPr>
                <w:sz w:val="20"/>
                <w:szCs w:val="20"/>
                <w:color w:val="auto"/>
              </w:rPr>
            </w:pPr>
            <w:r>
              <w:rPr>
                <w:rFonts w:ascii="Arial" w:cs="Arial" w:eastAsia="Arial" w:hAnsi="Arial"/>
                <w:sz w:val="18"/>
                <w:szCs w:val="18"/>
                <w:b w:val="1"/>
                <w:bCs w:val="1"/>
                <w:color w:val="auto"/>
              </w:rPr>
              <w:t>Report Title</w:t>
            </w:r>
          </w:p>
        </w:tc>
        <w:tc>
          <w:tcPr>
            <w:tcW w:w="1640" w:type="dxa"/>
            <w:vAlign w:val="bottom"/>
            <w:tcBorders>
              <w:top w:val="single" w:sz="8" w:color="auto"/>
              <w:bottom w:val="single" w:sz="8" w:color="auto"/>
              <w:right w:val="single" w:sz="8" w:color="auto"/>
            </w:tcBorders>
          </w:tcPr>
          <w:p>
            <w:pPr>
              <w:spacing w:after="0"/>
              <w:rPr>
                <w:sz w:val="20"/>
                <w:szCs w:val="20"/>
                <w:color w:val="auto"/>
              </w:rPr>
            </w:pPr>
            <w:r>
              <w:rPr>
                <w:rFonts w:ascii="Arial" w:cs="Arial" w:eastAsia="Arial" w:hAnsi="Arial"/>
                <w:sz w:val="18"/>
                <w:szCs w:val="18"/>
                <w:b w:val="1"/>
                <w:bCs w:val="1"/>
                <w:color w:val="auto"/>
              </w:rPr>
              <w:t>Format</w:t>
            </w:r>
          </w:p>
        </w:tc>
      </w:tr>
      <w:tr>
        <w:trPr>
          <w:trHeight w:val="235"/>
        </w:trPr>
        <w:tc>
          <w:tcPr>
            <w:tcW w:w="15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7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w:t>
            </w:r>
          </w:p>
        </w:tc>
        <w:tc>
          <w:tcPr>
            <w:tcW w:w="64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w:t>
            </w:r>
          </w:p>
        </w:tc>
        <w:tc>
          <w:tcPr>
            <w:tcW w:w="16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w:t>
            </w:r>
          </w:p>
        </w:tc>
      </w:tr>
      <w:tr>
        <w:trPr>
          <w:trHeight w:val="237"/>
        </w:trPr>
        <w:tc>
          <w:tcPr>
            <w:tcW w:w="15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7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w:t>
            </w:r>
          </w:p>
        </w:tc>
        <w:tc>
          <w:tcPr>
            <w:tcW w:w="64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w:t>
            </w:r>
          </w:p>
        </w:tc>
        <w:tc>
          <w:tcPr>
            <w:tcW w:w="16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w:t>
            </w:r>
          </w:p>
        </w:tc>
      </w:tr>
      <w:tr>
        <w:trPr>
          <w:trHeight w:val="237"/>
        </w:trPr>
        <w:tc>
          <w:tcPr>
            <w:tcW w:w="15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7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w:t>
            </w:r>
          </w:p>
        </w:tc>
        <w:tc>
          <w:tcPr>
            <w:tcW w:w="64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w:t>
            </w:r>
          </w:p>
        </w:tc>
        <w:tc>
          <w:tcPr>
            <w:tcW w:w="16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w:t>
            </w:r>
          </w:p>
        </w:tc>
      </w:tr>
      <w:tr>
        <w:trPr>
          <w:trHeight w:val="237"/>
        </w:trPr>
        <w:tc>
          <w:tcPr>
            <w:tcW w:w="15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7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w:t>
            </w:r>
          </w:p>
        </w:tc>
        <w:tc>
          <w:tcPr>
            <w:tcW w:w="64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w:t>
            </w:r>
          </w:p>
        </w:tc>
        <w:tc>
          <w:tcPr>
            <w:tcW w:w="16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w:t>
            </w:r>
          </w:p>
        </w:tc>
      </w:tr>
      <w:tr>
        <w:trPr>
          <w:trHeight w:val="230"/>
        </w:trPr>
        <w:tc>
          <w:tcPr>
            <w:tcW w:w="15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7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w:t>
            </w:r>
          </w:p>
        </w:tc>
        <w:tc>
          <w:tcPr>
            <w:tcW w:w="646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w:t>
            </w:r>
          </w:p>
        </w:tc>
        <w:tc>
          <w:tcPr>
            <w:tcW w:w="164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w:t>
            </w:r>
          </w:p>
        </w:tc>
      </w:tr>
      <w:tr>
        <w:trPr>
          <w:trHeight w:val="40"/>
        </w:trPr>
        <w:tc>
          <w:tcPr>
            <w:tcW w:w="1540" w:type="dxa"/>
            <w:vAlign w:val="bottom"/>
            <w:tcBorders>
              <w:left w:val="single" w:sz="8" w:color="auto"/>
              <w:bottom w:val="single" w:sz="8" w:color="auto"/>
              <w:right w:val="single" w:sz="8" w:color="auto"/>
            </w:tcBorders>
          </w:tcPr>
          <w:p>
            <w:pPr>
              <w:spacing w:after="0"/>
              <w:rPr>
                <w:sz w:val="3"/>
                <w:szCs w:val="3"/>
                <w:color w:val="auto"/>
              </w:rPr>
            </w:pPr>
          </w:p>
        </w:tc>
        <w:tc>
          <w:tcPr>
            <w:tcW w:w="1780" w:type="dxa"/>
            <w:vAlign w:val="bottom"/>
            <w:tcBorders>
              <w:bottom w:val="single" w:sz="8" w:color="auto"/>
              <w:right w:val="single" w:sz="8" w:color="auto"/>
            </w:tcBorders>
          </w:tcPr>
          <w:p>
            <w:pPr>
              <w:spacing w:after="0"/>
              <w:rPr>
                <w:sz w:val="3"/>
                <w:szCs w:val="3"/>
                <w:color w:val="auto"/>
              </w:rPr>
            </w:pPr>
          </w:p>
        </w:tc>
        <w:tc>
          <w:tcPr>
            <w:tcW w:w="6460" w:type="dxa"/>
            <w:vAlign w:val="bottom"/>
            <w:tcBorders>
              <w:bottom w:val="single" w:sz="8" w:color="auto"/>
              <w:right w:val="single" w:sz="8" w:color="auto"/>
            </w:tcBorders>
          </w:tcPr>
          <w:p>
            <w:pPr>
              <w:spacing w:after="0"/>
              <w:rPr>
                <w:sz w:val="3"/>
                <w:szCs w:val="3"/>
                <w:color w:val="auto"/>
              </w:rPr>
            </w:pPr>
          </w:p>
        </w:tc>
        <w:tc>
          <w:tcPr>
            <w:tcW w:w="1640" w:type="dxa"/>
            <w:vAlign w:val="bottom"/>
            <w:tcBorders>
              <w:bottom w:val="single" w:sz="8" w:color="auto"/>
              <w:right w:val="single" w:sz="8" w:color="auto"/>
            </w:tcBorders>
          </w:tcPr>
          <w:p>
            <w:pPr>
              <w:spacing w:after="0"/>
              <w:rPr>
                <w:sz w:val="3"/>
                <w:szCs w:val="3"/>
                <w:color w:val="auto"/>
              </w:rPr>
            </w:pPr>
          </w:p>
        </w:tc>
      </w:tr>
      <w:tr>
        <w:trPr>
          <w:trHeight w:val="230"/>
        </w:trPr>
        <w:tc>
          <w:tcPr>
            <w:tcW w:w="15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7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w:t>
            </w:r>
          </w:p>
        </w:tc>
        <w:tc>
          <w:tcPr>
            <w:tcW w:w="64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w:t>
            </w:r>
          </w:p>
        </w:tc>
        <w:tc>
          <w:tcPr>
            <w:tcW w:w="16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w:t>
            </w:r>
          </w:p>
        </w:tc>
      </w:tr>
      <w:tr>
        <w:trPr>
          <w:trHeight w:val="237"/>
        </w:trPr>
        <w:tc>
          <w:tcPr>
            <w:tcW w:w="15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7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w:t>
            </w:r>
          </w:p>
        </w:tc>
        <w:tc>
          <w:tcPr>
            <w:tcW w:w="64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w:t>
            </w:r>
          </w:p>
        </w:tc>
        <w:tc>
          <w:tcPr>
            <w:tcW w:w="16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w:t>
            </w:r>
          </w:p>
        </w:tc>
      </w:tr>
      <w:tr>
        <w:trPr>
          <w:trHeight w:val="230"/>
        </w:trPr>
        <w:tc>
          <w:tcPr>
            <w:tcW w:w="15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7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w:t>
            </w:r>
          </w:p>
        </w:tc>
        <w:tc>
          <w:tcPr>
            <w:tcW w:w="646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w:t>
            </w:r>
          </w:p>
        </w:tc>
        <w:tc>
          <w:tcPr>
            <w:tcW w:w="164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w:t>
            </w:r>
          </w:p>
        </w:tc>
      </w:tr>
      <w:tr>
        <w:trPr>
          <w:trHeight w:val="26"/>
        </w:trPr>
        <w:tc>
          <w:tcPr>
            <w:tcW w:w="1540" w:type="dxa"/>
            <w:vAlign w:val="bottom"/>
            <w:tcBorders>
              <w:left w:val="single" w:sz="8" w:color="auto"/>
              <w:bottom w:val="single" w:sz="8" w:color="auto"/>
              <w:right w:val="single" w:sz="8" w:color="auto"/>
            </w:tcBorders>
          </w:tcPr>
          <w:p>
            <w:pPr>
              <w:spacing w:after="0"/>
              <w:rPr>
                <w:sz w:val="2"/>
                <w:szCs w:val="2"/>
                <w:color w:val="auto"/>
              </w:rPr>
            </w:pPr>
          </w:p>
        </w:tc>
        <w:tc>
          <w:tcPr>
            <w:tcW w:w="1780" w:type="dxa"/>
            <w:vAlign w:val="bottom"/>
            <w:tcBorders>
              <w:bottom w:val="single" w:sz="8" w:color="auto"/>
              <w:right w:val="single" w:sz="8" w:color="auto"/>
            </w:tcBorders>
          </w:tcPr>
          <w:p>
            <w:pPr>
              <w:spacing w:after="0"/>
              <w:rPr>
                <w:sz w:val="2"/>
                <w:szCs w:val="2"/>
                <w:color w:val="auto"/>
              </w:rPr>
            </w:pPr>
          </w:p>
        </w:tc>
        <w:tc>
          <w:tcPr>
            <w:tcW w:w="6460" w:type="dxa"/>
            <w:vAlign w:val="bottom"/>
            <w:tcBorders>
              <w:bottom w:val="single" w:sz="8" w:color="auto"/>
              <w:right w:val="single" w:sz="8" w:color="auto"/>
            </w:tcBorders>
          </w:tcPr>
          <w:p>
            <w:pPr>
              <w:spacing w:after="0"/>
              <w:rPr>
                <w:sz w:val="2"/>
                <w:szCs w:val="2"/>
                <w:color w:val="auto"/>
              </w:rPr>
            </w:pPr>
          </w:p>
        </w:tc>
        <w:tc>
          <w:tcPr>
            <w:tcW w:w="1640" w:type="dxa"/>
            <w:vAlign w:val="bottom"/>
            <w:tcBorders>
              <w:bottom w:val="single" w:sz="8" w:color="auto"/>
              <w:right w:val="single" w:sz="8" w:color="auto"/>
            </w:tcBorders>
          </w:tcPr>
          <w:p>
            <w:pPr>
              <w:spacing w:after="0"/>
              <w:rPr>
                <w:sz w:val="2"/>
                <w:szCs w:val="2"/>
                <w:color w:val="auto"/>
              </w:rPr>
            </w:pPr>
          </w:p>
        </w:tc>
      </w:tr>
      <w:tr>
        <w:trPr>
          <w:trHeight w:val="230"/>
        </w:trPr>
        <w:tc>
          <w:tcPr>
            <w:tcW w:w="15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7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w:t>
            </w:r>
          </w:p>
        </w:tc>
        <w:tc>
          <w:tcPr>
            <w:tcW w:w="64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w:t>
            </w:r>
          </w:p>
        </w:tc>
        <w:tc>
          <w:tcPr>
            <w:tcW w:w="16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w:t>
            </w:r>
          </w:p>
        </w:tc>
      </w:tr>
      <w:tr>
        <w:trPr>
          <w:trHeight w:val="237"/>
        </w:trPr>
        <w:tc>
          <w:tcPr>
            <w:tcW w:w="15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7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w:t>
            </w:r>
          </w:p>
        </w:tc>
        <w:tc>
          <w:tcPr>
            <w:tcW w:w="64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w:t>
            </w:r>
          </w:p>
        </w:tc>
        <w:tc>
          <w:tcPr>
            <w:tcW w:w="16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w:t>
            </w:r>
          </w:p>
        </w:tc>
      </w:tr>
      <w:tr>
        <w:trPr>
          <w:trHeight w:val="237"/>
        </w:trPr>
        <w:tc>
          <w:tcPr>
            <w:tcW w:w="15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7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w:t>
            </w:r>
          </w:p>
        </w:tc>
        <w:tc>
          <w:tcPr>
            <w:tcW w:w="64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w:t>
            </w:r>
          </w:p>
        </w:tc>
        <w:tc>
          <w:tcPr>
            <w:tcW w:w="16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w:t>
            </w:r>
          </w:p>
        </w:tc>
      </w:tr>
      <w:tr>
        <w:trPr>
          <w:trHeight w:val="230"/>
        </w:trPr>
        <w:tc>
          <w:tcPr>
            <w:tcW w:w="15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7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w:t>
            </w:r>
          </w:p>
        </w:tc>
        <w:tc>
          <w:tcPr>
            <w:tcW w:w="646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w:t>
            </w:r>
          </w:p>
        </w:tc>
        <w:tc>
          <w:tcPr>
            <w:tcW w:w="164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w:t>
            </w:r>
          </w:p>
        </w:tc>
      </w:tr>
      <w:tr>
        <w:trPr>
          <w:trHeight w:val="67"/>
        </w:trPr>
        <w:tc>
          <w:tcPr>
            <w:tcW w:w="1540" w:type="dxa"/>
            <w:vAlign w:val="bottom"/>
            <w:tcBorders>
              <w:left w:val="single" w:sz="8" w:color="auto"/>
              <w:bottom w:val="single" w:sz="8" w:color="auto"/>
              <w:right w:val="single" w:sz="8" w:color="auto"/>
            </w:tcBorders>
          </w:tcPr>
          <w:p>
            <w:pPr>
              <w:spacing w:after="0"/>
              <w:rPr>
                <w:sz w:val="5"/>
                <w:szCs w:val="5"/>
                <w:color w:val="auto"/>
              </w:rPr>
            </w:pPr>
          </w:p>
        </w:tc>
        <w:tc>
          <w:tcPr>
            <w:tcW w:w="1780" w:type="dxa"/>
            <w:vAlign w:val="bottom"/>
            <w:tcBorders>
              <w:bottom w:val="single" w:sz="8" w:color="auto"/>
              <w:right w:val="single" w:sz="8" w:color="auto"/>
            </w:tcBorders>
          </w:tcPr>
          <w:p>
            <w:pPr>
              <w:spacing w:after="0"/>
              <w:rPr>
                <w:sz w:val="5"/>
                <w:szCs w:val="5"/>
                <w:color w:val="auto"/>
              </w:rPr>
            </w:pPr>
          </w:p>
        </w:tc>
        <w:tc>
          <w:tcPr>
            <w:tcW w:w="6460" w:type="dxa"/>
            <w:vAlign w:val="bottom"/>
            <w:tcBorders>
              <w:bottom w:val="single" w:sz="8" w:color="auto"/>
              <w:right w:val="single" w:sz="8" w:color="auto"/>
            </w:tcBorders>
          </w:tcPr>
          <w:p>
            <w:pPr>
              <w:spacing w:after="0"/>
              <w:rPr>
                <w:sz w:val="5"/>
                <w:szCs w:val="5"/>
                <w:color w:val="auto"/>
              </w:rPr>
            </w:pPr>
          </w:p>
        </w:tc>
        <w:tc>
          <w:tcPr>
            <w:tcW w:w="1640" w:type="dxa"/>
            <w:vAlign w:val="bottom"/>
            <w:tcBorders>
              <w:bottom w:val="single" w:sz="8" w:color="auto"/>
              <w:right w:val="single" w:sz="8" w:color="auto"/>
            </w:tcBorders>
          </w:tcPr>
          <w:p>
            <w:pPr>
              <w:spacing w:after="0"/>
              <w:rPr>
                <w:sz w:val="5"/>
                <w:szCs w:val="5"/>
                <w:color w:val="auto"/>
              </w:rPr>
            </w:pPr>
          </w:p>
        </w:tc>
      </w:tr>
      <w:tr>
        <w:trPr>
          <w:trHeight w:val="223"/>
        </w:trPr>
        <w:tc>
          <w:tcPr>
            <w:tcW w:w="15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7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w:t>
            </w:r>
          </w:p>
        </w:tc>
        <w:tc>
          <w:tcPr>
            <w:tcW w:w="64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w:t>
            </w:r>
          </w:p>
        </w:tc>
        <w:tc>
          <w:tcPr>
            <w:tcW w:w="16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w:t>
            </w:r>
          </w:p>
        </w:tc>
      </w:tr>
      <w:tr>
        <w:trPr>
          <w:trHeight w:val="230"/>
        </w:trPr>
        <w:tc>
          <w:tcPr>
            <w:tcW w:w="15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7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w:t>
            </w:r>
          </w:p>
        </w:tc>
        <w:tc>
          <w:tcPr>
            <w:tcW w:w="64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w:t>
            </w:r>
          </w:p>
        </w:tc>
        <w:tc>
          <w:tcPr>
            <w:tcW w:w="16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w:t>
            </w:r>
          </w:p>
        </w:tc>
      </w:tr>
      <w:tr>
        <w:trPr>
          <w:trHeight w:val="230"/>
        </w:trPr>
        <w:tc>
          <w:tcPr>
            <w:tcW w:w="15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7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w:t>
            </w:r>
          </w:p>
        </w:tc>
        <w:tc>
          <w:tcPr>
            <w:tcW w:w="646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w:t>
            </w:r>
          </w:p>
        </w:tc>
        <w:tc>
          <w:tcPr>
            <w:tcW w:w="164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w:t>
            </w:r>
          </w:p>
        </w:tc>
      </w:tr>
      <w:tr>
        <w:trPr>
          <w:trHeight w:val="40"/>
        </w:trPr>
        <w:tc>
          <w:tcPr>
            <w:tcW w:w="1540" w:type="dxa"/>
            <w:vAlign w:val="bottom"/>
            <w:tcBorders>
              <w:left w:val="single" w:sz="8" w:color="auto"/>
              <w:bottom w:val="single" w:sz="8" w:color="auto"/>
              <w:right w:val="single" w:sz="8" w:color="auto"/>
            </w:tcBorders>
          </w:tcPr>
          <w:p>
            <w:pPr>
              <w:spacing w:after="0"/>
              <w:rPr>
                <w:sz w:val="3"/>
                <w:szCs w:val="3"/>
                <w:color w:val="auto"/>
              </w:rPr>
            </w:pPr>
          </w:p>
        </w:tc>
        <w:tc>
          <w:tcPr>
            <w:tcW w:w="1780" w:type="dxa"/>
            <w:vAlign w:val="bottom"/>
            <w:tcBorders>
              <w:bottom w:val="single" w:sz="8" w:color="auto"/>
              <w:right w:val="single" w:sz="8" w:color="auto"/>
            </w:tcBorders>
          </w:tcPr>
          <w:p>
            <w:pPr>
              <w:spacing w:after="0"/>
              <w:rPr>
                <w:sz w:val="3"/>
                <w:szCs w:val="3"/>
                <w:color w:val="auto"/>
              </w:rPr>
            </w:pPr>
          </w:p>
        </w:tc>
        <w:tc>
          <w:tcPr>
            <w:tcW w:w="6460" w:type="dxa"/>
            <w:vAlign w:val="bottom"/>
            <w:tcBorders>
              <w:bottom w:val="single" w:sz="8" w:color="auto"/>
              <w:right w:val="single" w:sz="8" w:color="auto"/>
            </w:tcBorders>
          </w:tcPr>
          <w:p>
            <w:pPr>
              <w:spacing w:after="0"/>
              <w:rPr>
                <w:sz w:val="3"/>
                <w:szCs w:val="3"/>
                <w:color w:val="auto"/>
              </w:rPr>
            </w:pPr>
          </w:p>
        </w:tc>
        <w:tc>
          <w:tcPr>
            <w:tcW w:w="1640" w:type="dxa"/>
            <w:vAlign w:val="bottom"/>
            <w:tcBorders>
              <w:bottom w:val="single" w:sz="8" w:color="auto"/>
              <w:right w:val="single" w:sz="8" w:color="auto"/>
            </w:tcBorders>
          </w:tcPr>
          <w:p>
            <w:pPr>
              <w:spacing w:after="0"/>
              <w:rPr>
                <w:sz w:val="3"/>
                <w:szCs w:val="3"/>
                <w:color w:val="auto"/>
              </w:rPr>
            </w:pPr>
          </w:p>
        </w:tc>
      </w:tr>
    </w:tbl>
    <w:p>
      <w:pPr>
        <w:spacing w:after="0" w:line="197" w:lineRule="exact"/>
        <w:rPr>
          <w:sz w:val="20"/>
          <w:szCs w:val="20"/>
          <w:color w:val="auto"/>
        </w:rPr>
      </w:pPr>
    </w:p>
    <w:p>
      <w:pPr>
        <w:ind w:right="40" w:firstLine="8"/>
        <w:spacing w:after="0" w:line="253" w:lineRule="auto"/>
        <w:tabs>
          <w:tab w:leader="none" w:pos="204" w:val="left"/>
        </w:tabs>
        <w:numPr>
          <w:ilvl w:val="0"/>
          <w:numId w:val="172"/>
        </w:numPr>
        <w:rPr>
          <w:rFonts w:ascii="Arial" w:cs="Arial" w:eastAsia="Arial" w:hAnsi="Arial"/>
          <w:sz w:val="14"/>
          <w:szCs w:val="14"/>
          <w:color w:val="auto"/>
        </w:rPr>
      </w:pPr>
      <w:r>
        <w:rPr>
          <w:rFonts w:ascii="Arial" w:cs="Arial" w:eastAsia="Arial" w:hAnsi="Arial"/>
          <w:sz w:val="14"/>
          <w:szCs w:val="14"/>
          <w:color w:val="auto"/>
        </w:rPr>
        <w:t>DESIGNATES PORTIONS OF THIS DOCUMENT THAT HAVE BEEN OMITTED PURSUANT TO A REQUEST FOR CONFIDENTIAL TREATMENT FILED SEPARATELY WITH THE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40640</wp:posOffset>
            </wp:positionV>
            <wp:extent cx="7289165"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39" w:right="239" w:bottom="1440" w:gutter="0" w:footer="0" w:header="0"/>
        </w:sectPr>
      </w:pPr>
    </w:p>
    <w:bookmarkStart w:id="122" w:name="page123"/>
    <w:bookmarkEnd w:id="122"/>
    <w:tbl>
      <w:tblPr>
        <w:tblLayout w:type="fixed"/>
        <w:tblInd w:w="10" w:type="dxa"/>
        <w:tblCellMar>
          <w:top w:w="0" w:type="dxa"/>
          <w:left w:w="0" w:type="dxa"/>
          <w:bottom w:w="0" w:type="dxa"/>
          <w:right w:w="0" w:type="dxa"/>
        </w:tblCellMar>
      </w:tblPr>
      <w:tr>
        <w:trPr>
          <w:trHeight w:val="244"/>
        </w:trPr>
        <w:tc>
          <w:tcPr>
            <w:tcW w:w="1540" w:type="dxa"/>
            <w:vAlign w:val="bottom"/>
            <w:tcBorders>
              <w:top w:val="single" w:sz="8" w:color="auto"/>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780" w:type="dxa"/>
            <w:vAlign w:val="bottom"/>
            <w:tcBorders>
              <w:top w:val="single" w:sz="8" w:color="auto"/>
              <w:right w:val="single" w:sz="8" w:color="auto"/>
            </w:tcBorders>
          </w:tcPr>
          <w:p>
            <w:pPr>
              <w:spacing w:after="0"/>
              <w:rPr>
                <w:sz w:val="20"/>
                <w:szCs w:val="20"/>
                <w:color w:val="auto"/>
              </w:rPr>
            </w:pPr>
            <w:r>
              <w:rPr>
                <w:rFonts w:ascii="Arial" w:cs="Arial" w:eastAsia="Arial" w:hAnsi="Arial"/>
                <w:sz w:val="18"/>
                <w:szCs w:val="18"/>
                <w:color w:val="auto"/>
              </w:rPr>
              <w:t>[†]</w:t>
            </w:r>
          </w:p>
        </w:tc>
        <w:tc>
          <w:tcPr>
            <w:tcW w:w="6460" w:type="dxa"/>
            <w:vAlign w:val="bottom"/>
            <w:tcBorders>
              <w:top w:val="single" w:sz="8" w:color="auto"/>
              <w:right w:val="single" w:sz="8" w:color="auto"/>
            </w:tcBorders>
          </w:tcPr>
          <w:p>
            <w:pPr>
              <w:spacing w:after="0"/>
              <w:rPr>
                <w:sz w:val="20"/>
                <w:szCs w:val="20"/>
                <w:color w:val="auto"/>
              </w:rPr>
            </w:pPr>
            <w:r>
              <w:rPr>
                <w:rFonts w:ascii="Arial" w:cs="Arial" w:eastAsia="Arial" w:hAnsi="Arial"/>
                <w:sz w:val="18"/>
                <w:szCs w:val="18"/>
                <w:color w:val="auto"/>
              </w:rPr>
              <w:t>[†]</w:t>
            </w:r>
          </w:p>
        </w:tc>
        <w:tc>
          <w:tcPr>
            <w:tcW w:w="1640" w:type="dxa"/>
            <w:vAlign w:val="bottom"/>
            <w:tcBorders>
              <w:top w:val="single" w:sz="8" w:color="auto"/>
              <w:right w:val="single" w:sz="8" w:color="auto"/>
            </w:tcBorders>
          </w:tcPr>
          <w:p>
            <w:pPr>
              <w:spacing w:after="0"/>
              <w:rPr>
                <w:sz w:val="20"/>
                <w:szCs w:val="20"/>
                <w:color w:val="auto"/>
              </w:rPr>
            </w:pPr>
            <w:r>
              <w:rPr>
                <w:rFonts w:ascii="Arial" w:cs="Arial" w:eastAsia="Arial" w:hAnsi="Arial"/>
                <w:sz w:val="18"/>
                <w:szCs w:val="18"/>
                <w:color w:val="auto"/>
              </w:rPr>
              <w:t>[†]</w:t>
            </w:r>
          </w:p>
        </w:tc>
      </w:tr>
      <w:tr>
        <w:trPr>
          <w:trHeight w:val="40"/>
        </w:trPr>
        <w:tc>
          <w:tcPr>
            <w:tcW w:w="1540" w:type="dxa"/>
            <w:vAlign w:val="bottom"/>
            <w:tcBorders>
              <w:left w:val="single" w:sz="8" w:color="auto"/>
              <w:bottom w:val="single" w:sz="8" w:color="auto"/>
              <w:right w:val="single" w:sz="8" w:color="auto"/>
            </w:tcBorders>
          </w:tcPr>
          <w:p>
            <w:pPr>
              <w:spacing w:after="0"/>
              <w:rPr>
                <w:sz w:val="3"/>
                <w:szCs w:val="3"/>
                <w:color w:val="auto"/>
              </w:rPr>
            </w:pPr>
          </w:p>
        </w:tc>
        <w:tc>
          <w:tcPr>
            <w:tcW w:w="1780" w:type="dxa"/>
            <w:vAlign w:val="bottom"/>
            <w:tcBorders>
              <w:bottom w:val="single" w:sz="8" w:color="auto"/>
              <w:right w:val="single" w:sz="8" w:color="auto"/>
            </w:tcBorders>
          </w:tcPr>
          <w:p>
            <w:pPr>
              <w:spacing w:after="0"/>
              <w:rPr>
                <w:sz w:val="3"/>
                <w:szCs w:val="3"/>
                <w:color w:val="auto"/>
              </w:rPr>
            </w:pPr>
          </w:p>
        </w:tc>
        <w:tc>
          <w:tcPr>
            <w:tcW w:w="6460" w:type="dxa"/>
            <w:vAlign w:val="bottom"/>
            <w:tcBorders>
              <w:bottom w:val="single" w:sz="8" w:color="auto"/>
              <w:right w:val="single" w:sz="8" w:color="auto"/>
            </w:tcBorders>
          </w:tcPr>
          <w:p>
            <w:pPr>
              <w:spacing w:after="0"/>
              <w:rPr>
                <w:sz w:val="3"/>
                <w:szCs w:val="3"/>
                <w:color w:val="auto"/>
              </w:rPr>
            </w:pPr>
          </w:p>
        </w:tc>
        <w:tc>
          <w:tcPr>
            <w:tcW w:w="1640" w:type="dxa"/>
            <w:vAlign w:val="bottom"/>
            <w:tcBorders>
              <w:bottom w:val="single" w:sz="8" w:color="auto"/>
              <w:right w:val="single" w:sz="8" w:color="auto"/>
            </w:tcBorders>
          </w:tcPr>
          <w:p>
            <w:pPr>
              <w:spacing w:after="0"/>
              <w:rPr>
                <w:sz w:val="3"/>
                <w:szCs w:val="3"/>
                <w:color w:val="auto"/>
              </w:rPr>
            </w:pPr>
          </w:p>
        </w:tc>
      </w:tr>
      <w:tr>
        <w:trPr>
          <w:trHeight w:val="230"/>
        </w:trPr>
        <w:tc>
          <w:tcPr>
            <w:tcW w:w="15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7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w:t>
            </w:r>
          </w:p>
        </w:tc>
        <w:tc>
          <w:tcPr>
            <w:tcW w:w="64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w:t>
            </w:r>
          </w:p>
        </w:tc>
        <w:tc>
          <w:tcPr>
            <w:tcW w:w="16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w:t>
            </w:r>
          </w:p>
        </w:tc>
      </w:tr>
      <w:tr>
        <w:trPr>
          <w:trHeight w:val="230"/>
        </w:trPr>
        <w:tc>
          <w:tcPr>
            <w:tcW w:w="15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7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w:t>
            </w:r>
          </w:p>
        </w:tc>
        <w:tc>
          <w:tcPr>
            <w:tcW w:w="646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w:t>
            </w:r>
          </w:p>
        </w:tc>
        <w:tc>
          <w:tcPr>
            <w:tcW w:w="164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w:t>
            </w:r>
          </w:p>
        </w:tc>
      </w:tr>
      <w:tr>
        <w:trPr>
          <w:trHeight w:val="40"/>
        </w:trPr>
        <w:tc>
          <w:tcPr>
            <w:tcW w:w="1540" w:type="dxa"/>
            <w:vAlign w:val="bottom"/>
            <w:tcBorders>
              <w:left w:val="single" w:sz="8" w:color="auto"/>
              <w:bottom w:val="single" w:sz="8" w:color="auto"/>
              <w:right w:val="single" w:sz="8" w:color="auto"/>
            </w:tcBorders>
          </w:tcPr>
          <w:p>
            <w:pPr>
              <w:spacing w:after="0"/>
              <w:rPr>
                <w:sz w:val="3"/>
                <w:szCs w:val="3"/>
                <w:color w:val="auto"/>
              </w:rPr>
            </w:pPr>
          </w:p>
        </w:tc>
        <w:tc>
          <w:tcPr>
            <w:tcW w:w="1780" w:type="dxa"/>
            <w:vAlign w:val="bottom"/>
            <w:tcBorders>
              <w:bottom w:val="single" w:sz="8" w:color="auto"/>
              <w:right w:val="single" w:sz="8" w:color="auto"/>
            </w:tcBorders>
          </w:tcPr>
          <w:p>
            <w:pPr>
              <w:spacing w:after="0"/>
              <w:rPr>
                <w:sz w:val="3"/>
                <w:szCs w:val="3"/>
                <w:color w:val="auto"/>
              </w:rPr>
            </w:pPr>
          </w:p>
        </w:tc>
        <w:tc>
          <w:tcPr>
            <w:tcW w:w="6460" w:type="dxa"/>
            <w:vAlign w:val="bottom"/>
            <w:tcBorders>
              <w:bottom w:val="single" w:sz="8" w:color="auto"/>
              <w:right w:val="single" w:sz="8" w:color="auto"/>
            </w:tcBorders>
          </w:tcPr>
          <w:p>
            <w:pPr>
              <w:spacing w:after="0"/>
              <w:rPr>
                <w:sz w:val="3"/>
                <w:szCs w:val="3"/>
                <w:color w:val="auto"/>
              </w:rPr>
            </w:pPr>
          </w:p>
        </w:tc>
        <w:tc>
          <w:tcPr>
            <w:tcW w:w="1640" w:type="dxa"/>
            <w:vAlign w:val="bottom"/>
            <w:tcBorders>
              <w:bottom w:val="single" w:sz="8" w:color="auto"/>
              <w:right w:val="single" w:sz="8" w:color="auto"/>
            </w:tcBorders>
          </w:tcPr>
          <w:p>
            <w:pPr>
              <w:spacing w:after="0"/>
              <w:rPr>
                <w:sz w:val="3"/>
                <w:szCs w:val="3"/>
                <w:color w:val="auto"/>
              </w:rPr>
            </w:pPr>
          </w:p>
        </w:tc>
      </w:tr>
      <w:tr>
        <w:trPr>
          <w:trHeight w:val="230"/>
        </w:trPr>
        <w:tc>
          <w:tcPr>
            <w:tcW w:w="15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7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w:t>
            </w:r>
          </w:p>
        </w:tc>
        <w:tc>
          <w:tcPr>
            <w:tcW w:w="64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w:t>
            </w:r>
          </w:p>
        </w:tc>
        <w:tc>
          <w:tcPr>
            <w:tcW w:w="16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w:t>
            </w:r>
          </w:p>
        </w:tc>
      </w:tr>
      <w:tr>
        <w:trPr>
          <w:trHeight w:val="216"/>
        </w:trPr>
        <w:tc>
          <w:tcPr>
            <w:tcW w:w="15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7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w:t>
            </w:r>
          </w:p>
        </w:tc>
        <w:tc>
          <w:tcPr>
            <w:tcW w:w="64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w:t>
            </w:r>
          </w:p>
        </w:tc>
        <w:tc>
          <w:tcPr>
            <w:tcW w:w="16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w:t>
            </w:r>
          </w:p>
        </w:tc>
      </w:tr>
      <w:tr>
        <w:trPr>
          <w:trHeight w:val="210"/>
        </w:trPr>
        <w:tc>
          <w:tcPr>
            <w:tcW w:w="15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7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w:t>
            </w:r>
          </w:p>
        </w:tc>
        <w:tc>
          <w:tcPr>
            <w:tcW w:w="64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w:t>
            </w:r>
          </w:p>
        </w:tc>
        <w:tc>
          <w:tcPr>
            <w:tcW w:w="16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w:t>
            </w:r>
          </w:p>
        </w:tc>
      </w:tr>
      <w:tr>
        <w:trPr>
          <w:trHeight w:val="230"/>
        </w:trPr>
        <w:tc>
          <w:tcPr>
            <w:tcW w:w="15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7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w:t>
            </w:r>
          </w:p>
        </w:tc>
        <w:tc>
          <w:tcPr>
            <w:tcW w:w="64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w:t>
            </w:r>
          </w:p>
        </w:tc>
        <w:tc>
          <w:tcPr>
            <w:tcW w:w="16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w:t>
            </w:r>
          </w:p>
        </w:tc>
      </w:tr>
      <w:tr>
        <w:trPr>
          <w:trHeight w:val="237"/>
        </w:trPr>
        <w:tc>
          <w:tcPr>
            <w:tcW w:w="15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7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w:t>
            </w:r>
          </w:p>
        </w:tc>
        <w:tc>
          <w:tcPr>
            <w:tcW w:w="64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w:t>
            </w:r>
          </w:p>
        </w:tc>
        <w:tc>
          <w:tcPr>
            <w:tcW w:w="16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w:t>
            </w:r>
          </w:p>
        </w:tc>
      </w:tr>
      <w:tr>
        <w:trPr>
          <w:trHeight w:val="237"/>
        </w:trPr>
        <w:tc>
          <w:tcPr>
            <w:tcW w:w="15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7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w:t>
            </w:r>
          </w:p>
        </w:tc>
        <w:tc>
          <w:tcPr>
            <w:tcW w:w="64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w:t>
            </w:r>
          </w:p>
        </w:tc>
        <w:tc>
          <w:tcPr>
            <w:tcW w:w="16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w:t>
            </w:r>
          </w:p>
        </w:tc>
      </w:tr>
      <w:tr>
        <w:trPr>
          <w:trHeight w:val="239"/>
        </w:trPr>
        <w:tc>
          <w:tcPr>
            <w:tcW w:w="15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b w:val="1"/>
                <w:bCs w:val="1"/>
                <w:color w:val="auto"/>
              </w:rPr>
              <w:t>ASI Barcode</w:t>
            </w:r>
          </w:p>
        </w:tc>
        <w:tc>
          <w:tcPr>
            <w:tcW w:w="17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b w:val="1"/>
                <w:bCs w:val="1"/>
                <w:color w:val="auto"/>
              </w:rPr>
              <w:t>Company</w:t>
            </w:r>
          </w:p>
        </w:tc>
        <w:tc>
          <w:tcPr>
            <w:tcW w:w="64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b w:val="1"/>
                <w:bCs w:val="1"/>
                <w:color w:val="auto"/>
              </w:rPr>
              <w:t>Description</w:t>
            </w:r>
          </w:p>
        </w:tc>
        <w:tc>
          <w:tcPr>
            <w:tcW w:w="1640" w:type="dxa"/>
            <w:vAlign w:val="bottom"/>
            <w:tcBorders>
              <w:bottom w:val="single" w:sz="8" w:color="auto"/>
              <w:right w:val="single" w:sz="8" w:color="auto"/>
            </w:tcBorders>
          </w:tcPr>
          <w:p>
            <w:pPr>
              <w:spacing w:after="0"/>
              <w:rPr>
                <w:sz w:val="20"/>
                <w:szCs w:val="20"/>
                <w:color w:val="auto"/>
              </w:rPr>
            </w:pPr>
          </w:p>
        </w:tc>
      </w:tr>
      <w:tr>
        <w:trPr>
          <w:trHeight w:val="214"/>
        </w:trPr>
        <w:tc>
          <w:tcPr>
            <w:tcW w:w="15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7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w:t>
            </w:r>
          </w:p>
        </w:tc>
        <w:tc>
          <w:tcPr>
            <w:tcW w:w="64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w:t>
            </w:r>
          </w:p>
        </w:tc>
        <w:tc>
          <w:tcPr>
            <w:tcW w:w="1640" w:type="dxa"/>
            <w:vAlign w:val="bottom"/>
            <w:tcBorders>
              <w:bottom w:val="single" w:sz="8" w:color="auto"/>
              <w:right w:val="single" w:sz="8" w:color="auto"/>
            </w:tcBorders>
          </w:tcPr>
          <w:p>
            <w:pPr>
              <w:spacing w:after="0"/>
              <w:rPr>
                <w:sz w:val="18"/>
                <w:szCs w:val="18"/>
                <w:color w:val="auto"/>
              </w:rPr>
            </w:pPr>
          </w:p>
        </w:tc>
      </w:tr>
      <w:tr>
        <w:trPr>
          <w:trHeight w:val="223"/>
        </w:trPr>
        <w:tc>
          <w:tcPr>
            <w:tcW w:w="15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7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w:t>
            </w:r>
          </w:p>
        </w:tc>
        <w:tc>
          <w:tcPr>
            <w:tcW w:w="64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w:t>
            </w:r>
          </w:p>
        </w:tc>
        <w:tc>
          <w:tcPr>
            <w:tcW w:w="1640" w:type="dxa"/>
            <w:vAlign w:val="bottom"/>
            <w:tcBorders>
              <w:bottom w:val="single" w:sz="8" w:color="auto"/>
              <w:right w:val="single" w:sz="8" w:color="auto"/>
            </w:tcBorders>
          </w:tcPr>
          <w:p>
            <w:pPr>
              <w:spacing w:after="0"/>
              <w:rPr>
                <w:sz w:val="19"/>
                <w:szCs w:val="19"/>
                <w:color w:val="auto"/>
              </w:rPr>
            </w:pPr>
          </w:p>
        </w:tc>
      </w:tr>
      <w:tr>
        <w:trPr>
          <w:trHeight w:val="223"/>
        </w:trPr>
        <w:tc>
          <w:tcPr>
            <w:tcW w:w="15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7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w:t>
            </w:r>
          </w:p>
        </w:tc>
        <w:tc>
          <w:tcPr>
            <w:tcW w:w="64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w:t>
            </w:r>
          </w:p>
        </w:tc>
        <w:tc>
          <w:tcPr>
            <w:tcW w:w="1640" w:type="dxa"/>
            <w:vAlign w:val="bottom"/>
            <w:tcBorders>
              <w:bottom w:val="single" w:sz="8" w:color="auto"/>
              <w:right w:val="single" w:sz="8" w:color="auto"/>
            </w:tcBorders>
          </w:tcPr>
          <w:p>
            <w:pPr>
              <w:spacing w:after="0"/>
              <w:rPr>
                <w:sz w:val="19"/>
                <w:szCs w:val="19"/>
                <w:color w:val="auto"/>
              </w:rPr>
            </w:pPr>
          </w:p>
        </w:tc>
      </w:tr>
      <w:tr>
        <w:trPr>
          <w:trHeight w:val="230"/>
        </w:trPr>
        <w:tc>
          <w:tcPr>
            <w:tcW w:w="15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7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w:t>
            </w:r>
          </w:p>
        </w:tc>
        <w:tc>
          <w:tcPr>
            <w:tcW w:w="64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w:t>
            </w:r>
          </w:p>
        </w:tc>
        <w:tc>
          <w:tcPr>
            <w:tcW w:w="1640" w:type="dxa"/>
            <w:vAlign w:val="bottom"/>
            <w:tcBorders>
              <w:bottom w:val="single" w:sz="8" w:color="auto"/>
              <w:right w:val="single" w:sz="8" w:color="auto"/>
            </w:tcBorders>
          </w:tcPr>
          <w:p>
            <w:pPr>
              <w:spacing w:after="0"/>
              <w:rPr>
                <w:sz w:val="20"/>
                <w:szCs w:val="20"/>
                <w:color w:val="auto"/>
              </w:rPr>
            </w:pPr>
          </w:p>
        </w:tc>
      </w:tr>
      <w:tr>
        <w:trPr>
          <w:trHeight w:val="216"/>
        </w:trPr>
        <w:tc>
          <w:tcPr>
            <w:tcW w:w="15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7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w:t>
            </w:r>
          </w:p>
        </w:tc>
        <w:tc>
          <w:tcPr>
            <w:tcW w:w="64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w:t>
            </w:r>
          </w:p>
        </w:tc>
        <w:tc>
          <w:tcPr>
            <w:tcW w:w="1640" w:type="dxa"/>
            <w:vAlign w:val="bottom"/>
            <w:tcBorders>
              <w:bottom w:val="single" w:sz="8" w:color="auto"/>
              <w:right w:val="single" w:sz="8" w:color="auto"/>
            </w:tcBorders>
          </w:tcPr>
          <w:p>
            <w:pPr>
              <w:spacing w:after="0"/>
              <w:rPr>
                <w:sz w:val="18"/>
                <w:szCs w:val="18"/>
                <w:color w:val="auto"/>
              </w:rPr>
            </w:pPr>
          </w:p>
        </w:tc>
      </w:tr>
      <w:tr>
        <w:trPr>
          <w:trHeight w:val="210"/>
        </w:trPr>
        <w:tc>
          <w:tcPr>
            <w:tcW w:w="15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7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w:t>
            </w:r>
          </w:p>
        </w:tc>
        <w:tc>
          <w:tcPr>
            <w:tcW w:w="64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w:t>
            </w:r>
          </w:p>
        </w:tc>
        <w:tc>
          <w:tcPr>
            <w:tcW w:w="1640" w:type="dxa"/>
            <w:vAlign w:val="bottom"/>
            <w:tcBorders>
              <w:bottom w:val="single" w:sz="8" w:color="auto"/>
              <w:right w:val="single" w:sz="8" w:color="auto"/>
            </w:tcBorders>
          </w:tcPr>
          <w:p>
            <w:pPr>
              <w:spacing w:after="0"/>
              <w:rPr>
                <w:sz w:val="18"/>
                <w:szCs w:val="18"/>
                <w:color w:val="auto"/>
              </w:rPr>
            </w:pPr>
          </w:p>
        </w:tc>
      </w:tr>
      <w:tr>
        <w:trPr>
          <w:trHeight w:val="210"/>
        </w:trPr>
        <w:tc>
          <w:tcPr>
            <w:tcW w:w="15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7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w:t>
            </w:r>
          </w:p>
        </w:tc>
        <w:tc>
          <w:tcPr>
            <w:tcW w:w="64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w:t>
            </w:r>
          </w:p>
        </w:tc>
        <w:tc>
          <w:tcPr>
            <w:tcW w:w="1640" w:type="dxa"/>
            <w:vAlign w:val="bottom"/>
            <w:tcBorders>
              <w:bottom w:val="single" w:sz="8" w:color="auto"/>
              <w:right w:val="single" w:sz="8" w:color="auto"/>
            </w:tcBorders>
          </w:tcPr>
          <w:p>
            <w:pPr>
              <w:spacing w:after="0"/>
              <w:rPr>
                <w:sz w:val="18"/>
                <w:szCs w:val="18"/>
                <w:color w:val="auto"/>
              </w:rPr>
            </w:pPr>
          </w:p>
        </w:tc>
      </w:tr>
      <w:tr>
        <w:trPr>
          <w:trHeight w:val="210"/>
        </w:trPr>
        <w:tc>
          <w:tcPr>
            <w:tcW w:w="15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7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w:t>
            </w:r>
          </w:p>
        </w:tc>
        <w:tc>
          <w:tcPr>
            <w:tcW w:w="64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w:t>
            </w:r>
          </w:p>
        </w:tc>
        <w:tc>
          <w:tcPr>
            <w:tcW w:w="1640" w:type="dxa"/>
            <w:vAlign w:val="bottom"/>
            <w:tcBorders>
              <w:bottom w:val="single" w:sz="8" w:color="auto"/>
              <w:right w:val="single" w:sz="8" w:color="auto"/>
            </w:tcBorders>
          </w:tcPr>
          <w:p>
            <w:pPr>
              <w:spacing w:after="0"/>
              <w:rPr>
                <w:sz w:val="18"/>
                <w:szCs w:val="18"/>
                <w:color w:val="auto"/>
              </w:rPr>
            </w:pPr>
          </w:p>
        </w:tc>
      </w:tr>
      <w:tr>
        <w:trPr>
          <w:trHeight w:val="210"/>
        </w:trPr>
        <w:tc>
          <w:tcPr>
            <w:tcW w:w="15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7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w:t>
            </w:r>
          </w:p>
        </w:tc>
        <w:tc>
          <w:tcPr>
            <w:tcW w:w="64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w:t>
            </w:r>
          </w:p>
        </w:tc>
        <w:tc>
          <w:tcPr>
            <w:tcW w:w="1640" w:type="dxa"/>
            <w:vAlign w:val="bottom"/>
            <w:tcBorders>
              <w:bottom w:val="single" w:sz="8" w:color="auto"/>
              <w:right w:val="single" w:sz="8" w:color="auto"/>
            </w:tcBorders>
          </w:tcPr>
          <w:p>
            <w:pPr>
              <w:spacing w:after="0"/>
              <w:rPr>
                <w:sz w:val="18"/>
                <w:szCs w:val="18"/>
                <w:color w:val="auto"/>
              </w:rPr>
            </w:pPr>
          </w:p>
        </w:tc>
      </w:tr>
      <w:tr>
        <w:trPr>
          <w:trHeight w:val="210"/>
        </w:trPr>
        <w:tc>
          <w:tcPr>
            <w:tcW w:w="15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7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w:t>
            </w:r>
          </w:p>
        </w:tc>
        <w:tc>
          <w:tcPr>
            <w:tcW w:w="64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w:t>
            </w:r>
          </w:p>
        </w:tc>
        <w:tc>
          <w:tcPr>
            <w:tcW w:w="1640" w:type="dxa"/>
            <w:vAlign w:val="bottom"/>
            <w:tcBorders>
              <w:bottom w:val="single" w:sz="8" w:color="auto"/>
              <w:right w:val="single" w:sz="8" w:color="auto"/>
            </w:tcBorders>
          </w:tcPr>
          <w:p>
            <w:pPr>
              <w:spacing w:after="0"/>
              <w:rPr>
                <w:sz w:val="18"/>
                <w:szCs w:val="18"/>
                <w:color w:val="auto"/>
              </w:rPr>
            </w:pPr>
          </w:p>
        </w:tc>
      </w:tr>
    </w:tbl>
    <w:p>
      <w:pPr>
        <w:spacing w:after="0" w:line="24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 xml:space="preserve">Section 3. Drug Substance Material (All material has been moved to </w:t>
      </w:r>
      <w:r>
        <w:rPr>
          <w:rFonts w:ascii="Arial" w:cs="Arial" w:eastAsia="Arial" w:hAnsi="Arial"/>
          <w:sz w:val="18"/>
          <w:szCs w:val="18"/>
          <w:color w:val="auto"/>
        </w:rPr>
        <w:t>[†]</w:t>
      </w:r>
      <w:r>
        <w:rPr>
          <w:rFonts w:ascii="Arial" w:cs="Arial" w:eastAsia="Arial" w:hAnsi="Arial"/>
          <w:sz w:val="20"/>
          <w:szCs w:val="20"/>
          <w:b w:val="1"/>
          <w:bCs w:val="1"/>
          <w:color w:val="auto"/>
        </w:rPr>
        <w:t>)</w:t>
      </w:r>
    </w:p>
    <w:p>
      <w:pPr>
        <w:spacing w:after="0" w:line="151" w:lineRule="exact"/>
        <w:rPr>
          <w:sz w:val="20"/>
          <w:szCs w:val="20"/>
          <w:color w:val="auto"/>
        </w:rPr>
      </w:pPr>
    </w:p>
    <w:tbl>
      <w:tblPr>
        <w:tblLayout w:type="fixed"/>
        <w:tblInd w:w="10" w:type="dxa"/>
        <w:tblCellMar>
          <w:top w:w="0" w:type="dxa"/>
          <w:left w:w="0" w:type="dxa"/>
          <w:bottom w:w="0" w:type="dxa"/>
          <w:right w:w="0" w:type="dxa"/>
        </w:tblCellMar>
      </w:tblPr>
      <w:tr>
        <w:trPr>
          <w:trHeight w:val="211"/>
        </w:trPr>
        <w:tc>
          <w:tcPr>
            <w:tcW w:w="2180" w:type="dxa"/>
            <w:vAlign w:val="bottom"/>
            <w:tcBorders>
              <w:top w:val="single" w:sz="8" w:color="auto"/>
              <w:left w:val="single" w:sz="8" w:color="auto"/>
              <w:right w:val="single" w:sz="8" w:color="auto"/>
            </w:tcBorders>
          </w:tcPr>
          <w:p>
            <w:pPr>
              <w:ind w:left="20"/>
              <w:spacing w:after="0"/>
              <w:rPr>
                <w:sz w:val="20"/>
                <w:szCs w:val="20"/>
                <w:color w:val="auto"/>
              </w:rPr>
            </w:pPr>
            <w:r>
              <w:rPr>
                <w:rFonts w:ascii="Arial" w:cs="Arial" w:eastAsia="Arial" w:hAnsi="Arial"/>
                <w:sz w:val="18"/>
                <w:szCs w:val="18"/>
                <w:b w:val="1"/>
                <w:bCs w:val="1"/>
                <w:color w:val="auto"/>
              </w:rPr>
              <w:t>Lot/Batch</w:t>
            </w:r>
          </w:p>
        </w:tc>
        <w:tc>
          <w:tcPr>
            <w:tcW w:w="1380" w:type="dxa"/>
            <w:vAlign w:val="bottom"/>
            <w:tcBorders>
              <w:top w:val="single" w:sz="8" w:color="auto"/>
              <w:right w:val="single" w:sz="8" w:color="auto"/>
            </w:tcBorders>
          </w:tcPr>
          <w:p>
            <w:pPr>
              <w:spacing w:after="0"/>
              <w:rPr>
                <w:sz w:val="20"/>
                <w:szCs w:val="20"/>
                <w:color w:val="auto"/>
              </w:rPr>
            </w:pPr>
            <w:r>
              <w:rPr>
                <w:rFonts w:ascii="Arial" w:cs="Arial" w:eastAsia="Arial" w:hAnsi="Arial"/>
                <w:sz w:val="18"/>
                <w:szCs w:val="18"/>
                <w:b w:val="1"/>
                <w:bCs w:val="1"/>
                <w:color w:val="auto"/>
              </w:rPr>
              <w:t>Mnumber</w:t>
            </w:r>
          </w:p>
        </w:tc>
        <w:tc>
          <w:tcPr>
            <w:tcW w:w="1480" w:type="dxa"/>
            <w:vAlign w:val="bottom"/>
            <w:tcBorders>
              <w:top w:val="single" w:sz="8" w:color="auto"/>
              <w:right w:val="single" w:sz="8" w:color="auto"/>
            </w:tcBorders>
          </w:tcPr>
          <w:p>
            <w:pPr>
              <w:spacing w:after="0"/>
              <w:rPr>
                <w:sz w:val="20"/>
                <w:szCs w:val="20"/>
                <w:color w:val="auto"/>
              </w:rPr>
            </w:pPr>
            <w:r>
              <w:rPr>
                <w:rFonts w:ascii="Arial" w:cs="Arial" w:eastAsia="Arial" w:hAnsi="Arial"/>
                <w:sz w:val="18"/>
                <w:szCs w:val="18"/>
                <w:b w:val="1"/>
                <w:bCs w:val="1"/>
                <w:color w:val="auto"/>
              </w:rPr>
              <w:t>Quantity</w:t>
            </w:r>
          </w:p>
        </w:tc>
        <w:tc>
          <w:tcPr>
            <w:tcW w:w="1300" w:type="dxa"/>
            <w:vAlign w:val="bottom"/>
            <w:tcBorders>
              <w:top w:val="single" w:sz="8" w:color="auto"/>
              <w:right w:val="single" w:sz="8" w:color="auto"/>
            </w:tcBorders>
          </w:tcPr>
          <w:p>
            <w:pPr>
              <w:spacing w:after="0"/>
              <w:rPr>
                <w:sz w:val="20"/>
                <w:szCs w:val="20"/>
                <w:color w:val="auto"/>
              </w:rPr>
            </w:pPr>
            <w:r>
              <w:rPr>
                <w:rFonts w:ascii="Arial" w:cs="Arial" w:eastAsia="Arial" w:hAnsi="Arial"/>
                <w:sz w:val="18"/>
                <w:szCs w:val="18"/>
                <w:b w:val="1"/>
                <w:bCs w:val="1"/>
                <w:color w:val="auto"/>
              </w:rPr>
              <w:t>Storage</w:t>
            </w:r>
          </w:p>
        </w:tc>
        <w:tc>
          <w:tcPr>
            <w:tcW w:w="1760" w:type="dxa"/>
            <w:vAlign w:val="bottom"/>
            <w:tcBorders>
              <w:top w:val="single" w:sz="8" w:color="auto"/>
              <w:right w:val="single" w:sz="8" w:color="auto"/>
            </w:tcBorders>
          </w:tcPr>
          <w:p>
            <w:pPr>
              <w:spacing w:after="0"/>
              <w:rPr>
                <w:sz w:val="20"/>
                <w:szCs w:val="20"/>
                <w:color w:val="auto"/>
              </w:rPr>
            </w:pPr>
            <w:r>
              <w:rPr>
                <w:rFonts w:ascii="Arial" w:cs="Arial" w:eastAsia="Arial" w:hAnsi="Arial"/>
                <w:sz w:val="18"/>
                <w:szCs w:val="18"/>
                <w:b w:val="1"/>
                <w:bCs w:val="1"/>
                <w:color w:val="auto"/>
                <w:w w:val="95"/>
              </w:rPr>
              <w:t>Storage Facility prior</w:t>
            </w:r>
          </w:p>
        </w:tc>
        <w:tc>
          <w:tcPr>
            <w:tcW w:w="3320" w:type="dxa"/>
            <w:vAlign w:val="bottom"/>
            <w:tcBorders>
              <w:top w:val="single" w:sz="8" w:color="auto"/>
              <w:right w:val="single" w:sz="8" w:color="auto"/>
            </w:tcBorders>
          </w:tcPr>
          <w:p>
            <w:pPr>
              <w:spacing w:after="0"/>
              <w:rPr>
                <w:sz w:val="20"/>
                <w:szCs w:val="20"/>
                <w:color w:val="auto"/>
              </w:rPr>
            </w:pPr>
            <w:r>
              <w:rPr>
                <w:rFonts w:ascii="Arial" w:cs="Arial" w:eastAsia="Arial" w:hAnsi="Arial"/>
                <w:sz w:val="18"/>
                <w:szCs w:val="18"/>
                <w:b w:val="1"/>
                <w:bCs w:val="1"/>
                <w:color w:val="auto"/>
              </w:rPr>
              <w:t>Comment</w:t>
            </w:r>
          </w:p>
        </w:tc>
      </w:tr>
      <w:tr>
        <w:trPr>
          <w:trHeight w:val="234"/>
        </w:trPr>
        <w:tc>
          <w:tcPr>
            <w:tcW w:w="2180" w:type="dxa"/>
            <w:vAlign w:val="bottom"/>
            <w:tcBorders>
              <w:left w:val="single" w:sz="8" w:color="auto"/>
              <w:bottom w:val="single" w:sz="8" w:color="auto"/>
              <w:right w:val="single" w:sz="8" w:color="auto"/>
            </w:tcBorders>
          </w:tcPr>
          <w:p>
            <w:pPr>
              <w:spacing w:after="0"/>
              <w:rPr>
                <w:sz w:val="20"/>
                <w:szCs w:val="20"/>
                <w:color w:val="auto"/>
              </w:rPr>
            </w:pPr>
          </w:p>
        </w:tc>
        <w:tc>
          <w:tcPr>
            <w:tcW w:w="1380" w:type="dxa"/>
            <w:vAlign w:val="bottom"/>
            <w:tcBorders>
              <w:bottom w:val="single" w:sz="8" w:color="auto"/>
              <w:right w:val="single" w:sz="8" w:color="auto"/>
            </w:tcBorders>
          </w:tcPr>
          <w:p>
            <w:pPr>
              <w:spacing w:after="0"/>
              <w:rPr>
                <w:sz w:val="20"/>
                <w:szCs w:val="20"/>
                <w:color w:val="auto"/>
              </w:rPr>
            </w:pPr>
          </w:p>
        </w:tc>
        <w:tc>
          <w:tcPr>
            <w:tcW w:w="1480" w:type="dxa"/>
            <w:vAlign w:val="bottom"/>
            <w:tcBorders>
              <w:bottom w:val="single" w:sz="8" w:color="auto"/>
              <w:right w:val="single" w:sz="8" w:color="auto"/>
            </w:tcBorders>
          </w:tcPr>
          <w:p>
            <w:pPr>
              <w:spacing w:after="0"/>
              <w:rPr>
                <w:sz w:val="20"/>
                <w:szCs w:val="20"/>
                <w:color w:val="auto"/>
              </w:rPr>
            </w:pPr>
          </w:p>
        </w:tc>
        <w:tc>
          <w:tcPr>
            <w:tcW w:w="1300" w:type="dxa"/>
            <w:vAlign w:val="bottom"/>
            <w:tcBorders>
              <w:bottom w:val="single" w:sz="8" w:color="auto"/>
              <w:right w:val="single" w:sz="8" w:color="auto"/>
            </w:tcBorders>
          </w:tcPr>
          <w:p>
            <w:pPr>
              <w:spacing w:after="0"/>
              <w:rPr>
                <w:sz w:val="20"/>
                <w:szCs w:val="20"/>
                <w:color w:val="auto"/>
              </w:rPr>
            </w:pPr>
          </w:p>
        </w:tc>
        <w:tc>
          <w:tcPr>
            <w:tcW w:w="17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b w:val="1"/>
                <w:bCs w:val="1"/>
                <w:color w:val="auto"/>
              </w:rPr>
              <w:t xml:space="preserve">to </w:t>
            </w:r>
            <w:r>
              <w:rPr>
                <w:rFonts w:ascii="Arial" w:cs="Arial" w:eastAsia="Arial" w:hAnsi="Arial"/>
                <w:sz w:val="18"/>
                <w:szCs w:val="18"/>
                <w:color w:val="auto"/>
              </w:rPr>
              <w:t>[†]</w:t>
            </w:r>
          </w:p>
        </w:tc>
        <w:tc>
          <w:tcPr>
            <w:tcW w:w="3320" w:type="dxa"/>
            <w:vAlign w:val="bottom"/>
            <w:tcBorders>
              <w:bottom w:val="single" w:sz="8" w:color="auto"/>
              <w:right w:val="single" w:sz="8" w:color="auto"/>
            </w:tcBorders>
          </w:tcPr>
          <w:p>
            <w:pPr>
              <w:spacing w:after="0"/>
              <w:rPr>
                <w:sz w:val="20"/>
                <w:szCs w:val="20"/>
                <w:color w:val="auto"/>
              </w:rPr>
            </w:pPr>
          </w:p>
        </w:tc>
      </w:tr>
      <w:tr>
        <w:trPr>
          <w:trHeight w:val="210"/>
        </w:trPr>
        <w:tc>
          <w:tcPr>
            <w:tcW w:w="21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w:t>
            </w:r>
          </w:p>
        </w:tc>
        <w:tc>
          <w:tcPr>
            <w:tcW w:w="17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w:t>
            </w:r>
          </w:p>
        </w:tc>
        <w:tc>
          <w:tcPr>
            <w:tcW w:w="33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w:t>
            </w:r>
          </w:p>
        </w:tc>
      </w:tr>
      <w:tr>
        <w:trPr>
          <w:trHeight w:val="210"/>
        </w:trPr>
        <w:tc>
          <w:tcPr>
            <w:tcW w:w="21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auto"/>
              <w:right w:val="single" w:sz="8" w:color="auto"/>
            </w:tcBorders>
          </w:tcPr>
          <w:p>
            <w:pPr>
              <w:spacing w:after="0"/>
              <w:rPr>
                <w:sz w:val="18"/>
                <w:szCs w:val="18"/>
                <w:color w:val="auto"/>
              </w:rPr>
            </w:pPr>
          </w:p>
        </w:tc>
        <w:tc>
          <w:tcPr>
            <w:tcW w:w="17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w:t>
            </w:r>
          </w:p>
        </w:tc>
        <w:tc>
          <w:tcPr>
            <w:tcW w:w="3320" w:type="dxa"/>
            <w:vAlign w:val="bottom"/>
            <w:tcBorders>
              <w:bottom w:val="single" w:sz="8" w:color="auto"/>
              <w:right w:val="single" w:sz="8" w:color="auto"/>
            </w:tcBorders>
          </w:tcPr>
          <w:p>
            <w:pPr>
              <w:spacing w:after="0"/>
              <w:rPr>
                <w:sz w:val="18"/>
                <w:szCs w:val="18"/>
                <w:color w:val="auto"/>
              </w:rPr>
            </w:pPr>
          </w:p>
        </w:tc>
      </w:tr>
      <w:tr>
        <w:trPr>
          <w:trHeight w:val="210"/>
        </w:trPr>
        <w:tc>
          <w:tcPr>
            <w:tcW w:w="21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auto"/>
              <w:right w:val="single" w:sz="8" w:color="auto"/>
            </w:tcBorders>
          </w:tcPr>
          <w:p>
            <w:pPr>
              <w:spacing w:after="0"/>
              <w:rPr>
                <w:sz w:val="18"/>
                <w:szCs w:val="18"/>
                <w:color w:val="auto"/>
              </w:rPr>
            </w:pPr>
          </w:p>
        </w:tc>
        <w:tc>
          <w:tcPr>
            <w:tcW w:w="17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w:t>
            </w:r>
          </w:p>
        </w:tc>
        <w:tc>
          <w:tcPr>
            <w:tcW w:w="3320" w:type="dxa"/>
            <w:vAlign w:val="bottom"/>
            <w:tcBorders>
              <w:bottom w:val="single" w:sz="8" w:color="auto"/>
              <w:right w:val="single" w:sz="8" w:color="auto"/>
            </w:tcBorders>
          </w:tcPr>
          <w:p>
            <w:pPr>
              <w:spacing w:after="0"/>
              <w:rPr>
                <w:sz w:val="18"/>
                <w:szCs w:val="18"/>
                <w:color w:val="auto"/>
              </w:rPr>
            </w:pPr>
          </w:p>
        </w:tc>
      </w:tr>
      <w:tr>
        <w:trPr>
          <w:trHeight w:val="210"/>
        </w:trPr>
        <w:tc>
          <w:tcPr>
            <w:tcW w:w="21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auto"/>
              <w:right w:val="single" w:sz="8" w:color="auto"/>
            </w:tcBorders>
          </w:tcPr>
          <w:p>
            <w:pPr>
              <w:spacing w:after="0"/>
              <w:rPr>
                <w:sz w:val="18"/>
                <w:szCs w:val="18"/>
                <w:color w:val="auto"/>
              </w:rPr>
            </w:pPr>
          </w:p>
        </w:tc>
        <w:tc>
          <w:tcPr>
            <w:tcW w:w="17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w:t>
            </w:r>
          </w:p>
        </w:tc>
        <w:tc>
          <w:tcPr>
            <w:tcW w:w="3320" w:type="dxa"/>
            <w:vAlign w:val="bottom"/>
            <w:tcBorders>
              <w:bottom w:val="single" w:sz="8" w:color="auto"/>
              <w:right w:val="single" w:sz="8" w:color="auto"/>
            </w:tcBorders>
          </w:tcPr>
          <w:p>
            <w:pPr>
              <w:spacing w:after="0"/>
              <w:rPr>
                <w:sz w:val="18"/>
                <w:szCs w:val="18"/>
                <w:color w:val="auto"/>
              </w:rPr>
            </w:pPr>
          </w:p>
        </w:tc>
      </w:tr>
      <w:tr>
        <w:trPr>
          <w:trHeight w:val="210"/>
        </w:trPr>
        <w:tc>
          <w:tcPr>
            <w:tcW w:w="21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w:t>
            </w:r>
          </w:p>
        </w:tc>
        <w:tc>
          <w:tcPr>
            <w:tcW w:w="17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w:t>
            </w:r>
          </w:p>
        </w:tc>
        <w:tc>
          <w:tcPr>
            <w:tcW w:w="33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w:t>
            </w:r>
          </w:p>
        </w:tc>
      </w:tr>
      <w:tr>
        <w:trPr>
          <w:trHeight w:val="210"/>
        </w:trPr>
        <w:tc>
          <w:tcPr>
            <w:tcW w:w="21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w:t>
            </w:r>
          </w:p>
        </w:tc>
        <w:tc>
          <w:tcPr>
            <w:tcW w:w="17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w:t>
            </w:r>
          </w:p>
        </w:tc>
        <w:tc>
          <w:tcPr>
            <w:tcW w:w="33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w:t>
            </w:r>
          </w:p>
        </w:tc>
      </w:tr>
      <w:tr>
        <w:trPr>
          <w:trHeight w:val="210"/>
        </w:trPr>
        <w:tc>
          <w:tcPr>
            <w:tcW w:w="21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w:t>
            </w:r>
          </w:p>
        </w:tc>
        <w:tc>
          <w:tcPr>
            <w:tcW w:w="17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w:t>
            </w:r>
          </w:p>
        </w:tc>
        <w:tc>
          <w:tcPr>
            <w:tcW w:w="33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w:t>
            </w:r>
          </w:p>
        </w:tc>
      </w:tr>
      <w:tr>
        <w:trPr>
          <w:trHeight w:val="210"/>
        </w:trPr>
        <w:tc>
          <w:tcPr>
            <w:tcW w:w="21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w:t>
            </w:r>
          </w:p>
        </w:tc>
        <w:tc>
          <w:tcPr>
            <w:tcW w:w="17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w:t>
            </w:r>
          </w:p>
        </w:tc>
        <w:tc>
          <w:tcPr>
            <w:tcW w:w="33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w:t>
            </w:r>
          </w:p>
        </w:tc>
      </w:tr>
      <w:tr>
        <w:trPr>
          <w:trHeight w:val="210"/>
        </w:trPr>
        <w:tc>
          <w:tcPr>
            <w:tcW w:w="21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w:t>
            </w:r>
          </w:p>
        </w:tc>
        <w:tc>
          <w:tcPr>
            <w:tcW w:w="17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w:t>
            </w:r>
          </w:p>
        </w:tc>
        <w:tc>
          <w:tcPr>
            <w:tcW w:w="33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w:t>
            </w:r>
          </w:p>
        </w:tc>
      </w:tr>
      <w:tr>
        <w:trPr>
          <w:trHeight w:val="210"/>
        </w:trPr>
        <w:tc>
          <w:tcPr>
            <w:tcW w:w="21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w:t>
            </w:r>
          </w:p>
        </w:tc>
        <w:tc>
          <w:tcPr>
            <w:tcW w:w="17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w:t>
            </w:r>
          </w:p>
        </w:tc>
        <w:tc>
          <w:tcPr>
            <w:tcW w:w="33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w:t>
            </w:r>
          </w:p>
        </w:tc>
      </w:tr>
      <w:tr>
        <w:trPr>
          <w:trHeight w:val="210"/>
        </w:trPr>
        <w:tc>
          <w:tcPr>
            <w:tcW w:w="21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w:t>
            </w:r>
          </w:p>
        </w:tc>
        <w:tc>
          <w:tcPr>
            <w:tcW w:w="17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w:t>
            </w:r>
          </w:p>
        </w:tc>
        <w:tc>
          <w:tcPr>
            <w:tcW w:w="33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w:t>
            </w:r>
          </w:p>
        </w:tc>
      </w:tr>
      <w:tr>
        <w:trPr>
          <w:trHeight w:val="210"/>
        </w:trPr>
        <w:tc>
          <w:tcPr>
            <w:tcW w:w="21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w:t>
            </w:r>
          </w:p>
        </w:tc>
        <w:tc>
          <w:tcPr>
            <w:tcW w:w="17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w:t>
            </w:r>
          </w:p>
        </w:tc>
        <w:tc>
          <w:tcPr>
            <w:tcW w:w="33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w:t>
            </w:r>
          </w:p>
        </w:tc>
      </w:tr>
      <w:tr>
        <w:trPr>
          <w:trHeight w:val="210"/>
        </w:trPr>
        <w:tc>
          <w:tcPr>
            <w:tcW w:w="21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w:t>
            </w:r>
          </w:p>
        </w:tc>
        <w:tc>
          <w:tcPr>
            <w:tcW w:w="17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w:t>
            </w:r>
          </w:p>
        </w:tc>
        <w:tc>
          <w:tcPr>
            <w:tcW w:w="33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w:t>
            </w:r>
          </w:p>
        </w:tc>
      </w:tr>
      <w:tr>
        <w:trPr>
          <w:trHeight w:val="210"/>
        </w:trPr>
        <w:tc>
          <w:tcPr>
            <w:tcW w:w="21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w:t>
            </w:r>
          </w:p>
        </w:tc>
        <w:tc>
          <w:tcPr>
            <w:tcW w:w="17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w:t>
            </w:r>
          </w:p>
        </w:tc>
        <w:tc>
          <w:tcPr>
            <w:tcW w:w="33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w:t>
            </w:r>
          </w:p>
        </w:tc>
      </w:tr>
      <w:tr>
        <w:trPr>
          <w:trHeight w:val="210"/>
        </w:trPr>
        <w:tc>
          <w:tcPr>
            <w:tcW w:w="21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w:t>
            </w:r>
          </w:p>
        </w:tc>
        <w:tc>
          <w:tcPr>
            <w:tcW w:w="17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w:t>
            </w:r>
          </w:p>
        </w:tc>
        <w:tc>
          <w:tcPr>
            <w:tcW w:w="33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w:t>
            </w:r>
          </w:p>
        </w:tc>
      </w:tr>
      <w:tr>
        <w:trPr>
          <w:trHeight w:val="210"/>
        </w:trPr>
        <w:tc>
          <w:tcPr>
            <w:tcW w:w="21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w:t>
            </w:r>
          </w:p>
        </w:tc>
        <w:tc>
          <w:tcPr>
            <w:tcW w:w="17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w:t>
            </w:r>
          </w:p>
        </w:tc>
        <w:tc>
          <w:tcPr>
            <w:tcW w:w="33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w:t>
            </w:r>
          </w:p>
        </w:tc>
      </w:tr>
      <w:tr>
        <w:trPr>
          <w:trHeight w:val="210"/>
        </w:trPr>
        <w:tc>
          <w:tcPr>
            <w:tcW w:w="21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w:t>
            </w:r>
          </w:p>
        </w:tc>
        <w:tc>
          <w:tcPr>
            <w:tcW w:w="17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w:t>
            </w:r>
          </w:p>
        </w:tc>
        <w:tc>
          <w:tcPr>
            <w:tcW w:w="33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w:t>
            </w:r>
          </w:p>
        </w:tc>
      </w:tr>
      <w:tr>
        <w:trPr>
          <w:trHeight w:val="210"/>
        </w:trPr>
        <w:tc>
          <w:tcPr>
            <w:tcW w:w="21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w:t>
            </w:r>
          </w:p>
        </w:tc>
        <w:tc>
          <w:tcPr>
            <w:tcW w:w="17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w:t>
            </w:r>
          </w:p>
        </w:tc>
        <w:tc>
          <w:tcPr>
            <w:tcW w:w="33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w:t>
            </w:r>
          </w:p>
        </w:tc>
      </w:tr>
      <w:tr>
        <w:trPr>
          <w:trHeight w:val="210"/>
        </w:trPr>
        <w:tc>
          <w:tcPr>
            <w:tcW w:w="21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w:t>
            </w:r>
          </w:p>
        </w:tc>
        <w:tc>
          <w:tcPr>
            <w:tcW w:w="17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w:t>
            </w:r>
          </w:p>
        </w:tc>
        <w:tc>
          <w:tcPr>
            <w:tcW w:w="33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w:t>
            </w:r>
          </w:p>
        </w:tc>
      </w:tr>
      <w:tr>
        <w:trPr>
          <w:trHeight w:val="210"/>
        </w:trPr>
        <w:tc>
          <w:tcPr>
            <w:tcW w:w="21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w:t>
            </w:r>
          </w:p>
        </w:tc>
        <w:tc>
          <w:tcPr>
            <w:tcW w:w="17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w:t>
            </w:r>
          </w:p>
        </w:tc>
        <w:tc>
          <w:tcPr>
            <w:tcW w:w="33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w:t>
            </w:r>
          </w:p>
        </w:tc>
      </w:tr>
      <w:tr>
        <w:trPr>
          <w:trHeight w:val="210"/>
        </w:trPr>
        <w:tc>
          <w:tcPr>
            <w:tcW w:w="21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w:t>
            </w:r>
          </w:p>
        </w:tc>
        <w:tc>
          <w:tcPr>
            <w:tcW w:w="17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w:t>
            </w:r>
          </w:p>
        </w:tc>
        <w:tc>
          <w:tcPr>
            <w:tcW w:w="33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w:t>
            </w:r>
          </w:p>
        </w:tc>
      </w:tr>
    </w:tbl>
    <w:p>
      <w:pPr>
        <w:spacing w:after="0" w:line="197" w:lineRule="exact"/>
        <w:rPr>
          <w:sz w:val="20"/>
          <w:szCs w:val="20"/>
          <w:color w:val="auto"/>
        </w:rPr>
      </w:pPr>
    </w:p>
    <w:p>
      <w:pPr>
        <w:ind w:right="40" w:firstLine="8"/>
        <w:spacing w:after="0" w:line="253" w:lineRule="auto"/>
        <w:tabs>
          <w:tab w:leader="none" w:pos="204" w:val="left"/>
        </w:tabs>
        <w:numPr>
          <w:ilvl w:val="0"/>
          <w:numId w:val="173"/>
        </w:numPr>
        <w:rPr>
          <w:rFonts w:ascii="Arial" w:cs="Arial" w:eastAsia="Arial" w:hAnsi="Arial"/>
          <w:sz w:val="14"/>
          <w:szCs w:val="14"/>
          <w:color w:val="auto"/>
        </w:rPr>
      </w:pPr>
      <w:r>
        <w:rPr>
          <w:rFonts w:ascii="Arial" w:cs="Arial" w:eastAsia="Arial" w:hAnsi="Arial"/>
          <w:sz w:val="14"/>
          <w:szCs w:val="14"/>
          <w:color w:val="auto"/>
        </w:rPr>
        <w:t>DESIGNATES PORTIONS OF THIS DOCUMENT THAT HAVE BEEN OMITTED PURSUANT TO A REQUEST FOR CONFIDENTIAL TREATMENT FILED SEPARATELY WITH THE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40640</wp:posOffset>
            </wp:positionV>
            <wp:extent cx="7289165"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0" w:right="239" w:bottom="1440" w:gutter="0" w:footer="0" w:header="0"/>
        </w:sectPr>
      </w:pPr>
    </w:p>
    <w:bookmarkStart w:id="123" w:name="page124"/>
    <w:bookmarkEnd w:id="123"/>
    <w:tbl>
      <w:tblPr>
        <w:tblLayout w:type="fixed"/>
        <w:tblInd w:w="10" w:type="dxa"/>
        <w:tblCellMar>
          <w:top w:w="0" w:type="dxa"/>
          <w:left w:w="0" w:type="dxa"/>
          <w:bottom w:w="0" w:type="dxa"/>
          <w:right w:w="0" w:type="dxa"/>
        </w:tblCellMar>
      </w:tblPr>
      <w:tr>
        <w:trPr>
          <w:trHeight w:val="229"/>
        </w:trPr>
        <w:tc>
          <w:tcPr>
            <w:tcW w:w="2180" w:type="dxa"/>
            <w:vAlign w:val="bottom"/>
            <w:tcBorders>
              <w:top w:val="single" w:sz="8" w:color="auto"/>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380" w:type="dxa"/>
            <w:vAlign w:val="bottom"/>
            <w:tcBorders>
              <w:top w:val="single" w:sz="8" w:color="auto"/>
              <w:bottom w:val="single" w:sz="8" w:color="auto"/>
              <w:right w:val="single" w:sz="8" w:color="auto"/>
            </w:tcBorders>
          </w:tcPr>
          <w:p>
            <w:pPr>
              <w:spacing w:after="0"/>
              <w:rPr>
                <w:sz w:val="20"/>
                <w:szCs w:val="20"/>
                <w:color w:val="auto"/>
              </w:rPr>
            </w:pPr>
            <w:r>
              <w:rPr>
                <w:rFonts w:ascii="Arial" w:cs="Arial" w:eastAsia="Arial" w:hAnsi="Arial"/>
                <w:sz w:val="18"/>
                <w:szCs w:val="18"/>
                <w:color w:val="auto"/>
              </w:rPr>
              <w:t>[†]</w:t>
            </w:r>
          </w:p>
        </w:tc>
        <w:tc>
          <w:tcPr>
            <w:tcW w:w="1480" w:type="dxa"/>
            <w:vAlign w:val="bottom"/>
            <w:tcBorders>
              <w:top w:val="single" w:sz="8" w:color="auto"/>
              <w:bottom w:val="single" w:sz="8" w:color="auto"/>
              <w:right w:val="single" w:sz="8" w:color="auto"/>
            </w:tcBorders>
          </w:tcPr>
          <w:p>
            <w:pPr>
              <w:spacing w:after="0"/>
              <w:rPr>
                <w:sz w:val="20"/>
                <w:szCs w:val="20"/>
                <w:color w:val="auto"/>
              </w:rPr>
            </w:pPr>
            <w:r>
              <w:rPr>
                <w:rFonts w:ascii="Arial" w:cs="Arial" w:eastAsia="Arial" w:hAnsi="Arial"/>
                <w:sz w:val="18"/>
                <w:szCs w:val="18"/>
                <w:color w:val="auto"/>
              </w:rPr>
              <w:t>[†]</w:t>
            </w:r>
          </w:p>
        </w:tc>
        <w:tc>
          <w:tcPr>
            <w:tcW w:w="1300" w:type="dxa"/>
            <w:vAlign w:val="bottom"/>
            <w:tcBorders>
              <w:top w:val="single" w:sz="8" w:color="auto"/>
              <w:bottom w:val="single" w:sz="8" w:color="auto"/>
              <w:right w:val="single" w:sz="8" w:color="auto"/>
            </w:tcBorders>
          </w:tcPr>
          <w:p>
            <w:pPr>
              <w:spacing w:after="0"/>
              <w:rPr>
                <w:sz w:val="20"/>
                <w:szCs w:val="20"/>
                <w:color w:val="auto"/>
              </w:rPr>
            </w:pPr>
            <w:r>
              <w:rPr>
                <w:rFonts w:ascii="Arial" w:cs="Arial" w:eastAsia="Arial" w:hAnsi="Arial"/>
                <w:sz w:val="18"/>
                <w:szCs w:val="18"/>
                <w:color w:val="auto"/>
              </w:rPr>
              <w:t>[†]</w:t>
            </w:r>
          </w:p>
        </w:tc>
        <w:tc>
          <w:tcPr>
            <w:tcW w:w="1760" w:type="dxa"/>
            <w:vAlign w:val="bottom"/>
            <w:tcBorders>
              <w:top w:val="single" w:sz="8" w:color="auto"/>
              <w:bottom w:val="single" w:sz="8" w:color="auto"/>
              <w:right w:val="single" w:sz="8" w:color="auto"/>
            </w:tcBorders>
          </w:tcPr>
          <w:p>
            <w:pPr>
              <w:spacing w:after="0"/>
              <w:rPr>
                <w:sz w:val="20"/>
                <w:szCs w:val="20"/>
                <w:color w:val="auto"/>
              </w:rPr>
            </w:pPr>
            <w:r>
              <w:rPr>
                <w:rFonts w:ascii="Arial" w:cs="Arial" w:eastAsia="Arial" w:hAnsi="Arial"/>
                <w:sz w:val="18"/>
                <w:szCs w:val="18"/>
                <w:color w:val="auto"/>
              </w:rPr>
              <w:t>[†]</w:t>
            </w:r>
          </w:p>
        </w:tc>
        <w:tc>
          <w:tcPr>
            <w:tcW w:w="3320" w:type="dxa"/>
            <w:vAlign w:val="bottom"/>
            <w:tcBorders>
              <w:top w:val="single" w:sz="8" w:color="auto"/>
              <w:bottom w:val="single" w:sz="8" w:color="auto"/>
              <w:right w:val="single" w:sz="8" w:color="auto"/>
            </w:tcBorders>
          </w:tcPr>
          <w:p>
            <w:pPr>
              <w:spacing w:after="0"/>
              <w:rPr>
                <w:sz w:val="20"/>
                <w:szCs w:val="20"/>
                <w:color w:val="auto"/>
              </w:rPr>
            </w:pPr>
            <w:r>
              <w:rPr>
                <w:rFonts w:ascii="Arial" w:cs="Arial" w:eastAsia="Arial" w:hAnsi="Arial"/>
                <w:sz w:val="18"/>
                <w:szCs w:val="18"/>
                <w:color w:val="auto"/>
              </w:rPr>
              <w:t>[†]</w:t>
            </w:r>
          </w:p>
        </w:tc>
      </w:tr>
      <w:tr>
        <w:trPr>
          <w:trHeight w:val="210"/>
        </w:trPr>
        <w:tc>
          <w:tcPr>
            <w:tcW w:w="21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w:t>
            </w:r>
          </w:p>
        </w:tc>
        <w:tc>
          <w:tcPr>
            <w:tcW w:w="17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w:t>
            </w:r>
          </w:p>
        </w:tc>
        <w:tc>
          <w:tcPr>
            <w:tcW w:w="33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w:t>
            </w:r>
          </w:p>
        </w:tc>
      </w:tr>
      <w:tr>
        <w:trPr>
          <w:trHeight w:val="210"/>
        </w:trPr>
        <w:tc>
          <w:tcPr>
            <w:tcW w:w="21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auto"/>
              <w:right w:val="single" w:sz="8" w:color="auto"/>
            </w:tcBorders>
          </w:tcPr>
          <w:p>
            <w:pPr>
              <w:spacing w:after="0"/>
              <w:rPr>
                <w:sz w:val="18"/>
                <w:szCs w:val="18"/>
                <w:color w:val="auto"/>
              </w:rPr>
            </w:pPr>
          </w:p>
        </w:tc>
        <w:tc>
          <w:tcPr>
            <w:tcW w:w="17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w:t>
            </w:r>
          </w:p>
        </w:tc>
        <w:tc>
          <w:tcPr>
            <w:tcW w:w="3320" w:type="dxa"/>
            <w:vAlign w:val="bottom"/>
            <w:tcBorders>
              <w:bottom w:val="single" w:sz="8" w:color="auto"/>
              <w:right w:val="single" w:sz="8" w:color="auto"/>
            </w:tcBorders>
          </w:tcPr>
          <w:p>
            <w:pPr>
              <w:spacing w:after="0"/>
              <w:rPr>
                <w:sz w:val="18"/>
                <w:szCs w:val="18"/>
                <w:color w:val="auto"/>
              </w:rPr>
            </w:pPr>
          </w:p>
        </w:tc>
      </w:tr>
      <w:tr>
        <w:trPr>
          <w:trHeight w:val="210"/>
        </w:trPr>
        <w:tc>
          <w:tcPr>
            <w:tcW w:w="21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auto"/>
              <w:right w:val="single" w:sz="8" w:color="auto"/>
            </w:tcBorders>
          </w:tcPr>
          <w:p>
            <w:pPr>
              <w:spacing w:after="0"/>
              <w:rPr>
                <w:sz w:val="18"/>
                <w:szCs w:val="18"/>
                <w:color w:val="auto"/>
              </w:rPr>
            </w:pPr>
          </w:p>
        </w:tc>
        <w:tc>
          <w:tcPr>
            <w:tcW w:w="17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w:t>
            </w:r>
          </w:p>
        </w:tc>
        <w:tc>
          <w:tcPr>
            <w:tcW w:w="3320" w:type="dxa"/>
            <w:vAlign w:val="bottom"/>
            <w:tcBorders>
              <w:bottom w:val="single" w:sz="8" w:color="auto"/>
              <w:right w:val="single" w:sz="8" w:color="auto"/>
            </w:tcBorders>
          </w:tcPr>
          <w:p>
            <w:pPr>
              <w:spacing w:after="0"/>
              <w:rPr>
                <w:sz w:val="18"/>
                <w:szCs w:val="18"/>
                <w:color w:val="auto"/>
              </w:rPr>
            </w:pPr>
          </w:p>
        </w:tc>
      </w:tr>
      <w:tr>
        <w:trPr>
          <w:trHeight w:val="210"/>
        </w:trPr>
        <w:tc>
          <w:tcPr>
            <w:tcW w:w="21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auto"/>
              <w:right w:val="single" w:sz="8" w:color="auto"/>
            </w:tcBorders>
          </w:tcPr>
          <w:p>
            <w:pPr>
              <w:spacing w:after="0"/>
              <w:rPr>
                <w:sz w:val="18"/>
                <w:szCs w:val="18"/>
                <w:color w:val="auto"/>
              </w:rPr>
            </w:pPr>
          </w:p>
        </w:tc>
        <w:tc>
          <w:tcPr>
            <w:tcW w:w="17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w:t>
            </w:r>
          </w:p>
        </w:tc>
        <w:tc>
          <w:tcPr>
            <w:tcW w:w="3320" w:type="dxa"/>
            <w:vAlign w:val="bottom"/>
            <w:tcBorders>
              <w:bottom w:val="single" w:sz="8" w:color="auto"/>
              <w:right w:val="single" w:sz="8" w:color="auto"/>
            </w:tcBorders>
          </w:tcPr>
          <w:p>
            <w:pPr>
              <w:spacing w:after="0"/>
              <w:rPr>
                <w:sz w:val="18"/>
                <w:szCs w:val="18"/>
                <w:color w:val="auto"/>
              </w:rPr>
            </w:pPr>
          </w:p>
        </w:tc>
      </w:tr>
    </w:tbl>
    <w:p>
      <w:pPr>
        <w:spacing w:after="0" w:line="200" w:lineRule="exact"/>
        <w:rPr>
          <w:sz w:val="20"/>
          <w:szCs w:val="20"/>
          <w:color w:val="auto"/>
        </w:rPr>
      </w:pPr>
    </w:p>
    <w:p>
      <w:pPr>
        <w:spacing w:after="0" w:line="308" w:lineRule="exact"/>
        <w:rPr>
          <w:sz w:val="20"/>
          <w:szCs w:val="20"/>
          <w:color w:val="auto"/>
        </w:rPr>
      </w:pPr>
    </w:p>
    <w:p>
      <w:pPr>
        <w:ind w:right="40" w:firstLine="8"/>
        <w:spacing w:after="0" w:line="253" w:lineRule="auto"/>
        <w:tabs>
          <w:tab w:leader="none" w:pos="204" w:val="left"/>
        </w:tabs>
        <w:numPr>
          <w:ilvl w:val="0"/>
          <w:numId w:val="174"/>
        </w:numPr>
        <w:rPr>
          <w:rFonts w:ascii="Arial" w:cs="Arial" w:eastAsia="Arial" w:hAnsi="Arial"/>
          <w:sz w:val="14"/>
          <w:szCs w:val="14"/>
          <w:color w:val="auto"/>
        </w:rPr>
      </w:pPr>
      <w:r>
        <w:rPr>
          <w:rFonts w:ascii="Arial" w:cs="Arial" w:eastAsia="Arial" w:hAnsi="Arial"/>
          <w:sz w:val="14"/>
          <w:szCs w:val="14"/>
          <w:color w:val="auto"/>
        </w:rPr>
        <w:t>DESIGNATES PORTIONS OF THIS DOCUMENT THAT HAVE BEEN OMITTED PURSUANT TO A REQUEST FOR CONFIDENTIAL TREATMENT FILED SEPARATELY WITH THE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40640</wp:posOffset>
            </wp:positionV>
            <wp:extent cx="7289165"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0" w:right="239" w:bottom="1440" w:gutter="0" w:footer="0" w:header="0"/>
        </w:sectPr>
      </w:pPr>
    </w:p>
    <w:bookmarkStart w:id="124" w:name="page125"/>
    <w:bookmarkEnd w:id="124"/>
    <w:p>
      <w:pPr>
        <w:spacing w:after="0"/>
        <w:rPr>
          <w:sz w:val="20"/>
          <w:szCs w:val="20"/>
          <w:color w:val="auto"/>
        </w:rPr>
      </w:pPr>
      <w:r>
        <w:rPr>
          <w:rFonts w:ascii="Arial" w:cs="Arial" w:eastAsia="Arial" w:hAnsi="Arial"/>
          <w:sz w:val="20"/>
          <w:szCs w:val="20"/>
          <w:b w:val="1"/>
          <w:bCs w:val="1"/>
          <w:color w:val="auto"/>
        </w:rPr>
        <w:t>Seller Schedule 4.3(b)</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Section 1. In bound Licenses</w:t>
      </w:r>
    </w:p>
    <w:p>
      <w:pPr>
        <w:spacing w:after="0" w:line="217" w:lineRule="exact"/>
        <w:rPr>
          <w:sz w:val="20"/>
          <w:szCs w:val="20"/>
          <w:color w:val="auto"/>
        </w:rPr>
      </w:pPr>
    </w:p>
    <w:p>
      <w:pPr>
        <w:spacing w:after="0"/>
        <w:rPr>
          <w:sz w:val="20"/>
          <w:szCs w:val="20"/>
          <w:color w:val="auto"/>
        </w:rPr>
      </w:pPr>
      <w:r>
        <w:rPr>
          <w:rFonts w:ascii="Arial" w:cs="Arial" w:eastAsia="Arial" w:hAnsi="Arial"/>
          <w:sz w:val="22"/>
          <w:szCs w:val="22"/>
          <w:color w:val="auto"/>
        </w:rPr>
        <w:t>[†]</w:t>
      </w:r>
    </w:p>
    <w:p>
      <w:pPr>
        <w:spacing w:after="0" w:line="200" w:lineRule="exact"/>
        <w:rPr>
          <w:sz w:val="20"/>
          <w:szCs w:val="20"/>
          <w:color w:val="auto"/>
        </w:rPr>
      </w:pPr>
    </w:p>
    <w:p>
      <w:pPr>
        <w:spacing w:after="0" w:line="306" w:lineRule="exact"/>
        <w:rPr>
          <w:sz w:val="20"/>
          <w:szCs w:val="20"/>
          <w:color w:val="auto"/>
        </w:rPr>
      </w:pPr>
    </w:p>
    <w:p>
      <w:pPr>
        <w:ind w:firstLine="8"/>
        <w:spacing w:after="0" w:line="253" w:lineRule="auto"/>
        <w:tabs>
          <w:tab w:leader="none" w:pos="204" w:val="left"/>
        </w:tabs>
        <w:numPr>
          <w:ilvl w:val="0"/>
          <w:numId w:val="175"/>
        </w:numPr>
        <w:rPr>
          <w:rFonts w:ascii="Arial" w:cs="Arial" w:eastAsia="Arial" w:hAnsi="Arial"/>
          <w:sz w:val="14"/>
          <w:szCs w:val="14"/>
          <w:color w:val="auto"/>
        </w:rPr>
      </w:pPr>
      <w:r>
        <w:rPr>
          <w:rFonts w:ascii="Arial" w:cs="Arial" w:eastAsia="Arial" w:hAnsi="Arial"/>
          <w:sz w:val="14"/>
          <w:szCs w:val="14"/>
          <w:color w:val="auto"/>
        </w:rPr>
        <w:t>DESIGNATES PORTIONS OF THIS DOCUMENT THAT HAVE BEEN OMITTED PURSUANT TO A REQUEST FOR CONFIDENTIAL TREATMENT FILED SEPARATELY WITH THE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40640</wp:posOffset>
            </wp:positionV>
            <wp:extent cx="7289165"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346" w:right="279" w:bottom="1440" w:gutter="0" w:footer="0" w:header="0"/>
        </w:sectPr>
      </w:pPr>
    </w:p>
    <w:bookmarkStart w:id="125" w:name="page126"/>
    <w:bookmarkEnd w:id="125"/>
    <w:p>
      <w:pPr>
        <w:spacing w:after="0"/>
        <w:rPr>
          <w:sz w:val="20"/>
          <w:szCs w:val="20"/>
          <w:color w:val="auto"/>
        </w:rPr>
      </w:pPr>
      <w:r>
        <w:rPr>
          <w:rFonts w:ascii="Arial" w:cs="Arial" w:eastAsia="Arial" w:hAnsi="Arial"/>
          <w:sz w:val="20"/>
          <w:szCs w:val="20"/>
          <w:b w:val="1"/>
          <w:bCs w:val="1"/>
          <w:color w:val="auto"/>
        </w:rPr>
        <w:t>Seller Schedule 4.3(c)</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Section 1. Out-bound Licenses</w:t>
      </w:r>
    </w:p>
    <w:p>
      <w:pPr>
        <w:spacing w:after="0" w:line="217" w:lineRule="exact"/>
        <w:rPr>
          <w:sz w:val="20"/>
          <w:szCs w:val="20"/>
          <w:color w:val="auto"/>
        </w:rPr>
      </w:pPr>
    </w:p>
    <w:p>
      <w:pPr>
        <w:spacing w:after="0"/>
        <w:rPr>
          <w:sz w:val="20"/>
          <w:szCs w:val="20"/>
          <w:color w:val="auto"/>
        </w:rPr>
      </w:pPr>
      <w:r>
        <w:rPr>
          <w:rFonts w:ascii="Arial" w:cs="Arial" w:eastAsia="Arial" w:hAnsi="Arial"/>
          <w:sz w:val="22"/>
          <w:szCs w:val="22"/>
          <w:color w:val="auto"/>
        </w:rPr>
        <w:t>[†]</w:t>
      </w:r>
    </w:p>
    <w:p>
      <w:pPr>
        <w:spacing w:after="0" w:line="200" w:lineRule="exact"/>
        <w:rPr>
          <w:sz w:val="20"/>
          <w:szCs w:val="20"/>
          <w:color w:val="auto"/>
        </w:rPr>
      </w:pPr>
    </w:p>
    <w:p>
      <w:pPr>
        <w:spacing w:after="0" w:line="306" w:lineRule="exact"/>
        <w:rPr>
          <w:sz w:val="20"/>
          <w:szCs w:val="20"/>
          <w:color w:val="auto"/>
        </w:rPr>
      </w:pPr>
    </w:p>
    <w:p>
      <w:pPr>
        <w:ind w:firstLine="8"/>
        <w:spacing w:after="0" w:line="253" w:lineRule="auto"/>
        <w:tabs>
          <w:tab w:leader="none" w:pos="204" w:val="left"/>
        </w:tabs>
        <w:numPr>
          <w:ilvl w:val="0"/>
          <w:numId w:val="176"/>
        </w:numPr>
        <w:rPr>
          <w:rFonts w:ascii="Arial" w:cs="Arial" w:eastAsia="Arial" w:hAnsi="Arial"/>
          <w:sz w:val="14"/>
          <w:szCs w:val="14"/>
          <w:color w:val="auto"/>
        </w:rPr>
      </w:pPr>
      <w:r>
        <w:rPr>
          <w:rFonts w:ascii="Arial" w:cs="Arial" w:eastAsia="Arial" w:hAnsi="Arial"/>
          <w:sz w:val="14"/>
          <w:szCs w:val="14"/>
          <w:color w:val="auto"/>
        </w:rPr>
        <w:t>DESIGNATES PORTIONS OF THIS DOCUMENT THAT HAVE BEEN OMITTED PURSUANT TO A REQUEST FOR CONFIDENTIAL TREATMENT FILED SEPARATELY WITH THE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40640</wp:posOffset>
            </wp:positionV>
            <wp:extent cx="7289165"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346" w:right="279" w:bottom="1440" w:gutter="0" w:footer="0" w:header="0"/>
        </w:sectPr>
      </w:pPr>
    </w:p>
    <w:bookmarkStart w:id="126" w:name="page127"/>
    <w:bookmarkEnd w:id="126"/>
    <w:p>
      <w:pPr>
        <w:spacing w:after="0"/>
        <w:rPr>
          <w:sz w:val="20"/>
          <w:szCs w:val="20"/>
          <w:color w:val="auto"/>
        </w:rPr>
      </w:pPr>
      <w:r>
        <w:rPr>
          <w:rFonts w:ascii="Arial" w:cs="Arial" w:eastAsia="Arial" w:hAnsi="Arial"/>
          <w:sz w:val="20"/>
          <w:szCs w:val="20"/>
          <w:b w:val="1"/>
          <w:bCs w:val="1"/>
          <w:color w:val="auto"/>
        </w:rPr>
        <w:t>Seller Schedule 4.3(e)</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Section 1. Status of Actions with Applications pending in the USPTO and other Governmental Entity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246620" cy="150939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46620" cy="1509395"/>
                    </a:xfrm>
                    <a:prstGeom prst="rect">
                      <a:avLst/>
                    </a:prstGeom>
                    <a:noFill/>
                  </pic:spPr>
                </pic:pic>
              </a:graphicData>
            </a:graphic>
          </wp:anchor>
        </w:drawing>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39"/>
        </w:trPr>
        <w:tc>
          <w:tcPr>
            <w:tcW w:w="860" w:type="dxa"/>
            <w:vAlign w:val="bottom"/>
            <w:tcBorders>
              <w:top w:val="single" w:sz="8" w:color="auto"/>
            </w:tcBorders>
          </w:tcPr>
          <w:p>
            <w:pPr>
              <w:ind w:left="20"/>
              <w:spacing w:after="0" w:line="139" w:lineRule="exact"/>
              <w:rPr>
                <w:sz w:val="20"/>
                <w:szCs w:val="20"/>
                <w:color w:val="auto"/>
              </w:rPr>
            </w:pPr>
            <w:r>
              <w:rPr>
                <w:rFonts w:ascii="Arial" w:cs="Arial" w:eastAsia="Arial" w:hAnsi="Arial"/>
                <w:sz w:val="14"/>
                <w:szCs w:val="14"/>
                <w:b w:val="1"/>
                <w:bCs w:val="1"/>
                <w:color w:val="auto"/>
              </w:rPr>
              <w:t>Jones Day</w:t>
            </w:r>
          </w:p>
        </w:tc>
        <w:tc>
          <w:tcPr>
            <w:tcW w:w="1040" w:type="dxa"/>
            <w:vAlign w:val="bottom"/>
            <w:tcBorders>
              <w:top w:val="single" w:sz="8" w:color="auto"/>
            </w:tcBorders>
          </w:tcPr>
          <w:p>
            <w:pPr>
              <w:ind w:left="220"/>
              <w:spacing w:after="0" w:line="139" w:lineRule="exact"/>
              <w:rPr>
                <w:sz w:val="20"/>
                <w:szCs w:val="20"/>
                <w:color w:val="auto"/>
              </w:rPr>
            </w:pPr>
            <w:r>
              <w:rPr>
                <w:rFonts w:ascii="Arial" w:cs="Arial" w:eastAsia="Arial" w:hAnsi="Arial"/>
                <w:sz w:val="14"/>
                <w:szCs w:val="14"/>
                <w:b w:val="1"/>
                <w:bCs w:val="1"/>
                <w:color w:val="auto"/>
              </w:rPr>
              <w:t>Country</w:t>
            </w:r>
          </w:p>
        </w:tc>
        <w:tc>
          <w:tcPr>
            <w:tcW w:w="1560" w:type="dxa"/>
            <w:vAlign w:val="bottom"/>
            <w:tcBorders>
              <w:top w:val="single" w:sz="8" w:color="auto"/>
            </w:tcBorders>
          </w:tcPr>
          <w:p>
            <w:pPr>
              <w:ind w:left="300"/>
              <w:spacing w:after="0" w:line="139" w:lineRule="exact"/>
              <w:rPr>
                <w:sz w:val="20"/>
                <w:szCs w:val="20"/>
                <w:color w:val="auto"/>
              </w:rPr>
            </w:pPr>
            <w:r>
              <w:rPr>
                <w:rFonts w:ascii="Arial" w:cs="Arial" w:eastAsia="Arial" w:hAnsi="Arial"/>
                <w:sz w:val="14"/>
                <w:szCs w:val="14"/>
                <w:b w:val="1"/>
                <w:bCs w:val="1"/>
                <w:color w:val="auto"/>
              </w:rPr>
              <w:t>Title</w:t>
            </w:r>
          </w:p>
        </w:tc>
        <w:tc>
          <w:tcPr>
            <w:tcW w:w="1500" w:type="dxa"/>
            <w:vAlign w:val="bottom"/>
            <w:tcBorders>
              <w:top w:val="single" w:sz="8" w:color="auto"/>
            </w:tcBorders>
          </w:tcPr>
          <w:p>
            <w:pPr>
              <w:ind w:left="1000"/>
              <w:spacing w:after="0" w:line="139" w:lineRule="exact"/>
              <w:rPr>
                <w:sz w:val="20"/>
                <w:szCs w:val="20"/>
                <w:color w:val="auto"/>
              </w:rPr>
            </w:pPr>
            <w:r>
              <w:rPr>
                <w:rFonts w:ascii="Arial" w:cs="Arial" w:eastAsia="Arial" w:hAnsi="Arial"/>
                <w:sz w:val="14"/>
                <w:szCs w:val="14"/>
                <w:b w:val="1"/>
                <w:bCs w:val="1"/>
                <w:color w:val="auto"/>
              </w:rPr>
              <w:t>App.</w:t>
            </w:r>
          </w:p>
        </w:tc>
        <w:tc>
          <w:tcPr>
            <w:tcW w:w="980" w:type="dxa"/>
            <w:vAlign w:val="bottom"/>
            <w:tcBorders>
              <w:top w:val="single" w:sz="8" w:color="auto"/>
            </w:tcBorders>
          </w:tcPr>
          <w:p>
            <w:pPr>
              <w:ind w:left="200"/>
              <w:spacing w:after="0" w:line="139" w:lineRule="exact"/>
              <w:rPr>
                <w:sz w:val="20"/>
                <w:szCs w:val="20"/>
                <w:color w:val="auto"/>
              </w:rPr>
            </w:pPr>
            <w:r>
              <w:rPr>
                <w:rFonts w:ascii="Arial" w:cs="Arial" w:eastAsia="Arial" w:hAnsi="Arial"/>
                <w:sz w:val="14"/>
                <w:szCs w:val="14"/>
                <w:b w:val="1"/>
                <w:bCs w:val="1"/>
                <w:color w:val="auto"/>
              </w:rPr>
              <w:t>App.</w:t>
            </w:r>
          </w:p>
        </w:tc>
        <w:tc>
          <w:tcPr>
            <w:tcW w:w="960" w:type="dxa"/>
            <w:vAlign w:val="bottom"/>
            <w:tcBorders>
              <w:top w:val="single" w:sz="8" w:color="auto"/>
            </w:tcBorders>
          </w:tcPr>
          <w:p>
            <w:pPr>
              <w:ind w:left="460"/>
              <w:spacing w:after="0" w:line="139" w:lineRule="exact"/>
              <w:rPr>
                <w:sz w:val="20"/>
                <w:szCs w:val="20"/>
                <w:color w:val="auto"/>
              </w:rPr>
            </w:pPr>
            <w:r>
              <w:rPr>
                <w:rFonts w:ascii="Arial" w:cs="Arial" w:eastAsia="Arial" w:hAnsi="Arial"/>
                <w:sz w:val="14"/>
                <w:szCs w:val="14"/>
                <w:b w:val="1"/>
                <w:bCs w:val="1"/>
                <w:color w:val="auto"/>
              </w:rPr>
              <w:t>Pub</w:t>
            </w:r>
          </w:p>
        </w:tc>
        <w:tc>
          <w:tcPr>
            <w:tcW w:w="700" w:type="dxa"/>
            <w:vAlign w:val="bottom"/>
            <w:tcBorders>
              <w:top w:val="single" w:sz="8" w:color="auto"/>
            </w:tcBorders>
          </w:tcPr>
          <w:p>
            <w:pPr>
              <w:ind w:left="220"/>
              <w:spacing w:after="0" w:line="139" w:lineRule="exact"/>
              <w:rPr>
                <w:sz w:val="20"/>
                <w:szCs w:val="20"/>
                <w:color w:val="auto"/>
              </w:rPr>
            </w:pPr>
            <w:r>
              <w:rPr>
                <w:rFonts w:ascii="Arial" w:cs="Arial" w:eastAsia="Arial" w:hAnsi="Arial"/>
                <w:sz w:val="14"/>
                <w:szCs w:val="14"/>
                <w:b w:val="1"/>
                <w:bCs w:val="1"/>
                <w:color w:val="auto"/>
              </w:rPr>
              <w:t>Pub</w:t>
            </w:r>
          </w:p>
        </w:tc>
        <w:tc>
          <w:tcPr>
            <w:tcW w:w="1000" w:type="dxa"/>
            <w:vAlign w:val="bottom"/>
            <w:tcBorders>
              <w:top w:val="single" w:sz="8" w:color="auto"/>
            </w:tcBorders>
          </w:tcPr>
          <w:p>
            <w:pPr>
              <w:ind w:left="220"/>
              <w:spacing w:after="0" w:line="139" w:lineRule="exact"/>
              <w:rPr>
                <w:sz w:val="20"/>
                <w:szCs w:val="20"/>
                <w:color w:val="auto"/>
              </w:rPr>
            </w:pPr>
            <w:r>
              <w:rPr>
                <w:rFonts w:ascii="Arial" w:cs="Arial" w:eastAsia="Arial" w:hAnsi="Arial"/>
                <w:sz w:val="14"/>
                <w:szCs w:val="14"/>
                <w:b w:val="1"/>
                <w:bCs w:val="1"/>
                <w:color w:val="auto"/>
              </w:rPr>
              <w:t>Status</w:t>
            </w:r>
          </w:p>
        </w:tc>
        <w:tc>
          <w:tcPr>
            <w:tcW w:w="2820" w:type="dxa"/>
            <w:vAlign w:val="bottom"/>
            <w:tcBorders>
              <w:top w:val="single" w:sz="8" w:color="auto"/>
            </w:tcBorders>
          </w:tcPr>
          <w:p>
            <w:pPr>
              <w:ind w:left="380"/>
              <w:spacing w:after="0" w:line="139" w:lineRule="exact"/>
              <w:rPr>
                <w:sz w:val="20"/>
                <w:szCs w:val="20"/>
                <w:color w:val="auto"/>
              </w:rPr>
            </w:pPr>
            <w:r>
              <w:rPr>
                <w:rFonts w:ascii="Arial" w:cs="Arial" w:eastAsia="Arial" w:hAnsi="Arial"/>
                <w:sz w:val="14"/>
                <w:szCs w:val="14"/>
                <w:b w:val="1"/>
                <w:bCs w:val="1"/>
                <w:color w:val="auto"/>
              </w:rPr>
              <w:t>Outstanding Actions</w:t>
            </w:r>
          </w:p>
        </w:tc>
      </w:tr>
      <w:tr>
        <w:trPr>
          <w:trHeight w:val="186"/>
        </w:trPr>
        <w:tc>
          <w:tcPr>
            <w:tcW w:w="860" w:type="dxa"/>
            <w:vAlign w:val="bottom"/>
          </w:tcPr>
          <w:p>
            <w:pPr>
              <w:ind w:left="20"/>
              <w:spacing w:after="0"/>
              <w:rPr>
                <w:sz w:val="20"/>
                <w:szCs w:val="20"/>
                <w:color w:val="auto"/>
              </w:rPr>
            </w:pPr>
            <w:r>
              <w:rPr>
                <w:rFonts w:ascii="Arial" w:cs="Arial" w:eastAsia="Arial" w:hAnsi="Arial"/>
                <w:sz w:val="14"/>
                <w:szCs w:val="14"/>
                <w:b w:val="1"/>
                <w:bCs w:val="1"/>
                <w:color w:val="auto"/>
              </w:rPr>
              <w:t>Reference</w:t>
            </w:r>
          </w:p>
        </w:tc>
        <w:tc>
          <w:tcPr>
            <w:tcW w:w="104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500" w:type="dxa"/>
            <w:vAlign w:val="bottom"/>
          </w:tcPr>
          <w:p>
            <w:pPr>
              <w:ind w:left="1000"/>
              <w:spacing w:after="0"/>
              <w:rPr>
                <w:sz w:val="20"/>
                <w:szCs w:val="20"/>
                <w:color w:val="auto"/>
              </w:rPr>
            </w:pPr>
            <w:r>
              <w:rPr>
                <w:rFonts w:ascii="Arial" w:cs="Arial" w:eastAsia="Arial" w:hAnsi="Arial"/>
                <w:sz w:val="14"/>
                <w:szCs w:val="14"/>
                <w:b w:val="1"/>
                <w:bCs w:val="1"/>
                <w:color w:val="auto"/>
              </w:rPr>
              <w:t>Date</w:t>
            </w:r>
          </w:p>
        </w:tc>
        <w:tc>
          <w:tcPr>
            <w:tcW w:w="980" w:type="dxa"/>
            <w:vAlign w:val="bottom"/>
          </w:tcPr>
          <w:p>
            <w:pPr>
              <w:ind w:left="200"/>
              <w:spacing w:after="0"/>
              <w:rPr>
                <w:sz w:val="20"/>
                <w:szCs w:val="20"/>
                <w:color w:val="auto"/>
              </w:rPr>
            </w:pPr>
            <w:r>
              <w:rPr>
                <w:rFonts w:ascii="Arial" w:cs="Arial" w:eastAsia="Arial" w:hAnsi="Arial"/>
                <w:sz w:val="14"/>
                <w:szCs w:val="14"/>
                <w:b w:val="1"/>
                <w:bCs w:val="1"/>
                <w:color w:val="auto"/>
              </w:rPr>
              <w:t>No.</w:t>
            </w:r>
          </w:p>
        </w:tc>
        <w:tc>
          <w:tcPr>
            <w:tcW w:w="960" w:type="dxa"/>
            <w:vAlign w:val="bottom"/>
          </w:tcPr>
          <w:p>
            <w:pPr>
              <w:ind w:left="460"/>
              <w:spacing w:after="0"/>
              <w:rPr>
                <w:sz w:val="20"/>
                <w:szCs w:val="20"/>
                <w:color w:val="auto"/>
              </w:rPr>
            </w:pPr>
            <w:r>
              <w:rPr>
                <w:rFonts w:ascii="Arial" w:cs="Arial" w:eastAsia="Arial" w:hAnsi="Arial"/>
                <w:sz w:val="14"/>
                <w:szCs w:val="14"/>
                <w:b w:val="1"/>
                <w:bCs w:val="1"/>
                <w:color w:val="auto"/>
              </w:rPr>
              <w:t>Date</w:t>
            </w:r>
          </w:p>
        </w:tc>
        <w:tc>
          <w:tcPr>
            <w:tcW w:w="700" w:type="dxa"/>
            <w:vAlign w:val="bottom"/>
          </w:tcPr>
          <w:p>
            <w:pPr>
              <w:ind w:left="220"/>
              <w:spacing w:after="0"/>
              <w:rPr>
                <w:sz w:val="20"/>
                <w:szCs w:val="20"/>
                <w:color w:val="auto"/>
              </w:rPr>
            </w:pPr>
            <w:r>
              <w:rPr>
                <w:rFonts w:ascii="Arial" w:cs="Arial" w:eastAsia="Arial" w:hAnsi="Arial"/>
                <w:sz w:val="14"/>
                <w:szCs w:val="14"/>
                <w:b w:val="1"/>
                <w:bCs w:val="1"/>
                <w:color w:val="auto"/>
              </w:rPr>
              <w:t>No.</w:t>
            </w:r>
          </w:p>
        </w:tc>
        <w:tc>
          <w:tcPr>
            <w:tcW w:w="1000" w:type="dxa"/>
            <w:vAlign w:val="bottom"/>
          </w:tcPr>
          <w:p>
            <w:pPr>
              <w:spacing w:after="0"/>
              <w:rPr>
                <w:sz w:val="16"/>
                <w:szCs w:val="16"/>
                <w:color w:val="auto"/>
              </w:rPr>
            </w:pPr>
          </w:p>
        </w:tc>
        <w:tc>
          <w:tcPr>
            <w:tcW w:w="2820" w:type="dxa"/>
            <w:vAlign w:val="bottom"/>
          </w:tcPr>
          <w:p>
            <w:pPr>
              <w:spacing w:after="0"/>
              <w:rPr>
                <w:sz w:val="16"/>
                <w:szCs w:val="16"/>
                <w:color w:val="auto"/>
              </w:rPr>
            </w:pPr>
          </w:p>
        </w:tc>
      </w:tr>
      <w:tr>
        <w:trPr>
          <w:trHeight w:val="201"/>
        </w:trPr>
        <w:tc>
          <w:tcPr>
            <w:tcW w:w="86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2820" w:type="dxa"/>
            <w:vAlign w:val="bottom"/>
            <w:tcBorders>
              <w:bottom w:val="single" w:sz="8" w:color="auto"/>
            </w:tcBorders>
          </w:tcPr>
          <w:p>
            <w:pPr>
              <w:spacing w:after="0"/>
              <w:rPr>
                <w:sz w:val="17"/>
                <w:szCs w:val="17"/>
                <w:color w:val="auto"/>
              </w:rPr>
            </w:pPr>
          </w:p>
        </w:tc>
      </w:tr>
      <w:tr>
        <w:trPr>
          <w:trHeight w:val="176"/>
        </w:trPr>
        <w:tc>
          <w:tcPr>
            <w:tcW w:w="860" w:type="dxa"/>
            <w:vAlign w:val="bottom"/>
          </w:tcPr>
          <w:p>
            <w:pPr>
              <w:ind w:left="20"/>
              <w:spacing w:after="0"/>
              <w:rPr>
                <w:sz w:val="20"/>
                <w:szCs w:val="20"/>
                <w:color w:val="auto"/>
              </w:rPr>
            </w:pPr>
            <w:r>
              <w:rPr>
                <w:rFonts w:ascii="Arial" w:cs="Arial" w:eastAsia="Arial" w:hAnsi="Arial"/>
                <w:sz w:val="14"/>
                <w:szCs w:val="14"/>
                <w:color w:val="auto"/>
              </w:rPr>
              <w:t>[†]</w:t>
            </w:r>
          </w:p>
        </w:tc>
        <w:tc>
          <w:tcPr>
            <w:tcW w:w="1040" w:type="dxa"/>
            <w:vAlign w:val="bottom"/>
          </w:tcPr>
          <w:p>
            <w:pPr>
              <w:ind w:left="220"/>
              <w:spacing w:after="0"/>
              <w:rPr>
                <w:sz w:val="20"/>
                <w:szCs w:val="20"/>
                <w:color w:val="auto"/>
              </w:rPr>
            </w:pPr>
            <w:r>
              <w:rPr>
                <w:rFonts w:ascii="Arial" w:cs="Arial" w:eastAsia="Arial" w:hAnsi="Arial"/>
                <w:sz w:val="14"/>
                <w:szCs w:val="14"/>
                <w:color w:val="auto"/>
              </w:rPr>
              <w:t>[†]</w:t>
            </w:r>
          </w:p>
        </w:tc>
        <w:tc>
          <w:tcPr>
            <w:tcW w:w="1560" w:type="dxa"/>
            <w:vAlign w:val="bottom"/>
          </w:tcPr>
          <w:p>
            <w:pPr>
              <w:ind w:left="300"/>
              <w:spacing w:after="0"/>
              <w:rPr>
                <w:sz w:val="20"/>
                <w:szCs w:val="20"/>
                <w:color w:val="auto"/>
              </w:rPr>
            </w:pPr>
            <w:r>
              <w:rPr>
                <w:rFonts w:ascii="Arial" w:cs="Arial" w:eastAsia="Arial" w:hAnsi="Arial"/>
                <w:sz w:val="14"/>
                <w:szCs w:val="14"/>
                <w:color w:val="auto"/>
              </w:rPr>
              <w:t>[†]</w:t>
            </w:r>
          </w:p>
        </w:tc>
        <w:tc>
          <w:tcPr>
            <w:tcW w:w="1500" w:type="dxa"/>
            <w:vAlign w:val="bottom"/>
          </w:tcPr>
          <w:p>
            <w:pPr>
              <w:ind w:left="1000"/>
              <w:spacing w:after="0"/>
              <w:rPr>
                <w:sz w:val="20"/>
                <w:szCs w:val="20"/>
                <w:color w:val="auto"/>
              </w:rPr>
            </w:pPr>
            <w:r>
              <w:rPr>
                <w:rFonts w:ascii="Arial" w:cs="Arial" w:eastAsia="Arial" w:hAnsi="Arial"/>
                <w:sz w:val="14"/>
                <w:szCs w:val="14"/>
                <w:color w:val="auto"/>
              </w:rPr>
              <w:t>[†]</w:t>
            </w:r>
          </w:p>
        </w:tc>
        <w:tc>
          <w:tcPr>
            <w:tcW w:w="980" w:type="dxa"/>
            <w:vAlign w:val="bottom"/>
          </w:tcPr>
          <w:p>
            <w:pPr>
              <w:ind w:left="200"/>
              <w:spacing w:after="0"/>
              <w:rPr>
                <w:sz w:val="20"/>
                <w:szCs w:val="20"/>
                <w:color w:val="auto"/>
              </w:rPr>
            </w:pPr>
            <w:r>
              <w:rPr>
                <w:rFonts w:ascii="Arial" w:cs="Arial" w:eastAsia="Arial" w:hAnsi="Arial"/>
                <w:sz w:val="14"/>
                <w:szCs w:val="14"/>
                <w:color w:val="auto"/>
              </w:rPr>
              <w:t>[†]</w:t>
            </w:r>
          </w:p>
        </w:tc>
        <w:tc>
          <w:tcPr>
            <w:tcW w:w="960" w:type="dxa"/>
            <w:vAlign w:val="bottom"/>
          </w:tcPr>
          <w:p>
            <w:pPr>
              <w:ind w:left="460"/>
              <w:spacing w:after="0"/>
              <w:rPr>
                <w:sz w:val="20"/>
                <w:szCs w:val="20"/>
                <w:color w:val="auto"/>
              </w:rPr>
            </w:pPr>
            <w:r>
              <w:rPr>
                <w:rFonts w:ascii="Arial" w:cs="Arial" w:eastAsia="Arial" w:hAnsi="Arial"/>
                <w:sz w:val="14"/>
                <w:szCs w:val="14"/>
                <w:color w:val="auto"/>
              </w:rPr>
              <w:t>[†]</w:t>
            </w:r>
          </w:p>
        </w:tc>
        <w:tc>
          <w:tcPr>
            <w:tcW w:w="700" w:type="dxa"/>
            <w:vAlign w:val="bottom"/>
          </w:tcPr>
          <w:p>
            <w:pPr>
              <w:ind w:left="220"/>
              <w:spacing w:after="0"/>
              <w:rPr>
                <w:sz w:val="20"/>
                <w:szCs w:val="20"/>
                <w:color w:val="auto"/>
              </w:rPr>
            </w:pPr>
            <w:r>
              <w:rPr>
                <w:rFonts w:ascii="Arial" w:cs="Arial" w:eastAsia="Arial" w:hAnsi="Arial"/>
                <w:sz w:val="14"/>
                <w:szCs w:val="14"/>
                <w:color w:val="auto"/>
              </w:rPr>
              <w:t>[†]</w:t>
            </w:r>
          </w:p>
        </w:tc>
        <w:tc>
          <w:tcPr>
            <w:tcW w:w="1000" w:type="dxa"/>
            <w:vAlign w:val="bottom"/>
          </w:tcPr>
          <w:p>
            <w:pPr>
              <w:ind w:left="220"/>
              <w:spacing w:after="0"/>
              <w:rPr>
                <w:sz w:val="20"/>
                <w:szCs w:val="20"/>
                <w:color w:val="auto"/>
              </w:rPr>
            </w:pPr>
            <w:r>
              <w:rPr>
                <w:rFonts w:ascii="Arial" w:cs="Arial" w:eastAsia="Arial" w:hAnsi="Arial"/>
                <w:sz w:val="14"/>
                <w:szCs w:val="14"/>
                <w:color w:val="auto"/>
              </w:rPr>
              <w:t>[†]</w:t>
            </w:r>
          </w:p>
        </w:tc>
        <w:tc>
          <w:tcPr>
            <w:tcW w:w="2820" w:type="dxa"/>
            <w:vAlign w:val="bottom"/>
          </w:tcPr>
          <w:p>
            <w:pPr>
              <w:ind w:left="380"/>
              <w:spacing w:after="0"/>
              <w:rPr>
                <w:sz w:val="20"/>
                <w:szCs w:val="20"/>
                <w:color w:val="auto"/>
              </w:rPr>
            </w:pPr>
            <w:r>
              <w:rPr>
                <w:rFonts w:ascii="Arial" w:cs="Arial" w:eastAsia="Arial" w:hAnsi="Arial"/>
                <w:sz w:val="14"/>
                <w:szCs w:val="14"/>
                <w:color w:val="auto"/>
              </w:rPr>
              <w:t>[†]</w:t>
            </w:r>
          </w:p>
        </w:tc>
      </w:tr>
      <w:tr>
        <w:trPr>
          <w:trHeight w:val="20"/>
        </w:trPr>
        <w:tc>
          <w:tcPr>
            <w:tcW w:w="8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820" w:type="dxa"/>
            <w:vAlign w:val="bottom"/>
            <w:tcBorders>
              <w:bottom w:val="single" w:sz="8" w:color="auto"/>
            </w:tcBorders>
          </w:tcPr>
          <w:p>
            <w:pPr>
              <w:spacing w:after="0" w:line="20" w:lineRule="exact"/>
              <w:rPr>
                <w:sz w:val="1"/>
                <w:szCs w:val="1"/>
                <w:color w:val="auto"/>
              </w:rPr>
            </w:pPr>
          </w:p>
        </w:tc>
      </w:tr>
      <w:tr>
        <w:trPr>
          <w:trHeight w:val="176"/>
        </w:trPr>
        <w:tc>
          <w:tcPr>
            <w:tcW w:w="860" w:type="dxa"/>
            <w:vAlign w:val="bottom"/>
          </w:tcPr>
          <w:p>
            <w:pPr>
              <w:ind w:left="20"/>
              <w:spacing w:after="0"/>
              <w:rPr>
                <w:sz w:val="20"/>
                <w:szCs w:val="20"/>
                <w:color w:val="auto"/>
              </w:rPr>
            </w:pPr>
            <w:r>
              <w:rPr>
                <w:rFonts w:ascii="Arial" w:cs="Arial" w:eastAsia="Arial" w:hAnsi="Arial"/>
                <w:sz w:val="14"/>
                <w:szCs w:val="14"/>
                <w:color w:val="auto"/>
              </w:rPr>
              <w:t>[†]</w:t>
            </w:r>
          </w:p>
        </w:tc>
        <w:tc>
          <w:tcPr>
            <w:tcW w:w="1040" w:type="dxa"/>
            <w:vAlign w:val="bottom"/>
          </w:tcPr>
          <w:p>
            <w:pPr>
              <w:ind w:left="220"/>
              <w:spacing w:after="0"/>
              <w:rPr>
                <w:sz w:val="20"/>
                <w:szCs w:val="20"/>
                <w:color w:val="auto"/>
              </w:rPr>
            </w:pPr>
            <w:r>
              <w:rPr>
                <w:rFonts w:ascii="Arial" w:cs="Arial" w:eastAsia="Arial" w:hAnsi="Arial"/>
                <w:sz w:val="14"/>
                <w:szCs w:val="14"/>
                <w:color w:val="auto"/>
              </w:rPr>
              <w:t>[†]</w:t>
            </w:r>
          </w:p>
        </w:tc>
        <w:tc>
          <w:tcPr>
            <w:tcW w:w="1560" w:type="dxa"/>
            <w:vAlign w:val="bottom"/>
          </w:tcPr>
          <w:p>
            <w:pPr>
              <w:ind w:left="300"/>
              <w:spacing w:after="0"/>
              <w:rPr>
                <w:sz w:val="20"/>
                <w:szCs w:val="20"/>
                <w:color w:val="auto"/>
              </w:rPr>
            </w:pPr>
            <w:r>
              <w:rPr>
                <w:rFonts w:ascii="Arial" w:cs="Arial" w:eastAsia="Arial" w:hAnsi="Arial"/>
                <w:sz w:val="14"/>
                <w:szCs w:val="14"/>
                <w:color w:val="auto"/>
              </w:rPr>
              <w:t>[†]</w:t>
            </w:r>
          </w:p>
        </w:tc>
        <w:tc>
          <w:tcPr>
            <w:tcW w:w="1500" w:type="dxa"/>
            <w:vAlign w:val="bottom"/>
          </w:tcPr>
          <w:p>
            <w:pPr>
              <w:ind w:left="1000"/>
              <w:spacing w:after="0"/>
              <w:rPr>
                <w:sz w:val="20"/>
                <w:szCs w:val="20"/>
                <w:color w:val="auto"/>
              </w:rPr>
            </w:pPr>
            <w:r>
              <w:rPr>
                <w:rFonts w:ascii="Arial" w:cs="Arial" w:eastAsia="Arial" w:hAnsi="Arial"/>
                <w:sz w:val="14"/>
                <w:szCs w:val="14"/>
                <w:color w:val="auto"/>
              </w:rPr>
              <w:t>[†]</w:t>
            </w:r>
          </w:p>
        </w:tc>
        <w:tc>
          <w:tcPr>
            <w:tcW w:w="980" w:type="dxa"/>
            <w:vAlign w:val="bottom"/>
          </w:tcPr>
          <w:p>
            <w:pPr>
              <w:ind w:left="200"/>
              <w:spacing w:after="0"/>
              <w:rPr>
                <w:sz w:val="20"/>
                <w:szCs w:val="20"/>
                <w:color w:val="auto"/>
              </w:rPr>
            </w:pPr>
            <w:r>
              <w:rPr>
                <w:rFonts w:ascii="Arial" w:cs="Arial" w:eastAsia="Arial" w:hAnsi="Arial"/>
                <w:sz w:val="14"/>
                <w:szCs w:val="14"/>
                <w:color w:val="auto"/>
              </w:rPr>
              <w:t>[†]</w:t>
            </w:r>
          </w:p>
        </w:tc>
        <w:tc>
          <w:tcPr>
            <w:tcW w:w="960" w:type="dxa"/>
            <w:vAlign w:val="bottom"/>
          </w:tcPr>
          <w:p>
            <w:pPr>
              <w:ind w:left="460"/>
              <w:spacing w:after="0"/>
              <w:rPr>
                <w:sz w:val="20"/>
                <w:szCs w:val="20"/>
                <w:color w:val="auto"/>
              </w:rPr>
            </w:pPr>
            <w:r>
              <w:rPr>
                <w:rFonts w:ascii="Arial" w:cs="Arial" w:eastAsia="Arial" w:hAnsi="Arial"/>
                <w:sz w:val="14"/>
                <w:szCs w:val="14"/>
                <w:color w:val="auto"/>
              </w:rPr>
              <w:t>[†]</w:t>
            </w:r>
          </w:p>
        </w:tc>
        <w:tc>
          <w:tcPr>
            <w:tcW w:w="700" w:type="dxa"/>
            <w:vAlign w:val="bottom"/>
          </w:tcPr>
          <w:p>
            <w:pPr>
              <w:spacing w:after="0"/>
              <w:rPr>
                <w:sz w:val="15"/>
                <w:szCs w:val="15"/>
                <w:color w:val="auto"/>
              </w:rPr>
            </w:pPr>
          </w:p>
        </w:tc>
        <w:tc>
          <w:tcPr>
            <w:tcW w:w="1000" w:type="dxa"/>
            <w:vAlign w:val="bottom"/>
          </w:tcPr>
          <w:p>
            <w:pPr>
              <w:ind w:left="220"/>
              <w:spacing w:after="0"/>
              <w:rPr>
                <w:sz w:val="20"/>
                <w:szCs w:val="20"/>
                <w:color w:val="auto"/>
              </w:rPr>
            </w:pPr>
            <w:r>
              <w:rPr>
                <w:rFonts w:ascii="Arial" w:cs="Arial" w:eastAsia="Arial" w:hAnsi="Arial"/>
                <w:sz w:val="14"/>
                <w:szCs w:val="14"/>
                <w:color w:val="auto"/>
              </w:rPr>
              <w:t>[†]</w:t>
            </w:r>
          </w:p>
        </w:tc>
        <w:tc>
          <w:tcPr>
            <w:tcW w:w="2820" w:type="dxa"/>
            <w:vAlign w:val="bottom"/>
          </w:tcPr>
          <w:p>
            <w:pPr>
              <w:ind w:left="380"/>
              <w:spacing w:after="0"/>
              <w:rPr>
                <w:sz w:val="20"/>
                <w:szCs w:val="20"/>
                <w:color w:val="auto"/>
              </w:rPr>
            </w:pPr>
            <w:r>
              <w:rPr>
                <w:rFonts w:ascii="Arial" w:cs="Arial" w:eastAsia="Arial" w:hAnsi="Arial"/>
                <w:sz w:val="14"/>
                <w:szCs w:val="14"/>
                <w:color w:val="auto"/>
              </w:rPr>
              <w:t>[†]</w:t>
            </w:r>
          </w:p>
        </w:tc>
      </w:tr>
      <w:tr>
        <w:trPr>
          <w:trHeight w:val="34"/>
        </w:trPr>
        <w:tc>
          <w:tcPr>
            <w:tcW w:w="8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820" w:type="dxa"/>
            <w:vAlign w:val="bottom"/>
            <w:tcBorders>
              <w:bottom w:val="single" w:sz="8" w:color="auto"/>
            </w:tcBorders>
          </w:tcPr>
          <w:p>
            <w:pPr>
              <w:spacing w:after="0"/>
              <w:rPr>
                <w:sz w:val="2"/>
                <w:szCs w:val="2"/>
                <w:color w:val="auto"/>
              </w:rPr>
            </w:pPr>
          </w:p>
        </w:tc>
      </w:tr>
      <w:tr>
        <w:trPr>
          <w:trHeight w:val="176"/>
        </w:trPr>
        <w:tc>
          <w:tcPr>
            <w:tcW w:w="860" w:type="dxa"/>
            <w:vAlign w:val="bottom"/>
          </w:tcPr>
          <w:p>
            <w:pPr>
              <w:ind w:left="20"/>
              <w:spacing w:after="0"/>
              <w:rPr>
                <w:sz w:val="20"/>
                <w:szCs w:val="20"/>
                <w:color w:val="auto"/>
              </w:rPr>
            </w:pPr>
            <w:r>
              <w:rPr>
                <w:rFonts w:ascii="Arial" w:cs="Arial" w:eastAsia="Arial" w:hAnsi="Arial"/>
                <w:sz w:val="14"/>
                <w:szCs w:val="14"/>
                <w:color w:val="auto"/>
              </w:rPr>
              <w:t>[†]</w:t>
            </w:r>
          </w:p>
        </w:tc>
        <w:tc>
          <w:tcPr>
            <w:tcW w:w="1040" w:type="dxa"/>
            <w:vAlign w:val="bottom"/>
          </w:tcPr>
          <w:p>
            <w:pPr>
              <w:ind w:left="220"/>
              <w:spacing w:after="0"/>
              <w:rPr>
                <w:sz w:val="20"/>
                <w:szCs w:val="20"/>
                <w:color w:val="auto"/>
              </w:rPr>
            </w:pPr>
            <w:r>
              <w:rPr>
                <w:rFonts w:ascii="Arial" w:cs="Arial" w:eastAsia="Arial" w:hAnsi="Arial"/>
                <w:sz w:val="14"/>
                <w:szCs w:val="14"/>
                <w:color w:val="auto"/>
              </w:rPr>
              <w:t>[†]</w:t>
            </w:r>
          </w:p>
        </w:tc>
        <w:tc>
          <w:tcPr>
            <w:tcW w:w="1560" w:type="dxa"/>
            <w:vAlign w:val="bottom"/>
          </w:tcPr>
          <w:p>
            <w:pPr>
              <w:ind w:left="300"/>
              <w:spacing w:after="0"/>
              <w:rPr>
                <w:sz w:val="20"/>
                <w:szCs w:val="20"/>
                <w:color w:val="auto"/>
              </w:rPr>
            </w:pPr>
            <w:r>
              <w:rPr>
                <w:rFonts w:ascii="Arial" w:cs="Arial" w:eastAsia="Arial" w:hAnsi="Arial"/>
                <w:sz w:val="14"/>
                <w:szCs w:val="14"/>
                <w:color w:val="auto"/>
              </w:rPr>
              <w:t>[†]</w:t>
            </w:r>
          </w:p>
        </w:tc>
        <w:tc>
          <w:tcPr>
            <w:tcW w:w="1500" w:type="dxa"/>
            <w:vAlign w:val="bottom"/>
          </w:tcPr>
          <w:p>
            <w:pPr>
              <w:ind w:left="1000"/>
              <w:spacing w:after="0"/>
              <w:rPr>
                <w:sz w:val="20"/>
                <w:szCs w:val="20"/>
                <w:color w:val="auto"/>
              </w:rPr>
            </w:pPr>
            <w:r>
              <w:rPr>
                <w:rFonts w:ascii="Arial" w:cs="Arial" w:eastAsia="Arial" w:hAnsi="Arial"/>
                <w:sz w:val="14"/>
                <w:szCs w:val="14"/>
                <w:color w:val="auto"/>
              </w:rPr>
              <w:t>[†]</w:t>
            </w:r>
          </w:p>
        </w:tc>
        <w:tc>
          <w:tcPr>
            <w:tcW w:w="980" w:type="dxa"/>
            <w:vAlign w:val="bottom"/>
          </w:tcPr>
          <w:p>
            <w:pPr>
              <w:ind w:left="200"/>
              <w:spacing w:after="0"/>
              <w:rPr>
                <w:sz w:val="20"/>
                <w:szCs w:val="20"/>
                <w:color w:val="auto"/>
              </w:rPr>
            </w:pPr>
            <w:r>
              <w:rPr>
                <w:rFonts w:ascii="Arial" w:cs="Arial" w:eastAsia="Arial" w:hAnsi="Arial"/>
                <w:sz w:val="14"/>
                <w:szCs w:val="14"/>
                <w:color w:val="auto"/>
              </w:rPr>
              <w:t>[†]</w:t>
            </w:r>
          </w:p>
        </w:tc>
        <w:tc>
          <w:tcPr>
            <w:tcW w:w="9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0" w:type="dxa"/>
            <w:vAlign w:val="bottom"/>
          </w:tcPr>
          <w:p>
            <w:pPr>
              <w:ind w:left="220"/>
              <w:spacing w:after="0"/>
              <w:rPr>
                <w:sz w:val="20"/>
                <w:szCs w:val="20"/>
                <w:color w:val="auto"/>
              </w:rPr>
            </w:pPr>
            <w:r>
              <w:rPr>
                <w:rFonts w:ascii="Arial" w:cs="Arial" w:eastAsia="Arial" w:hAnsi="Arial"/>
                <w:sz w:val="14"/>
                <w:szCs w:val="14"/>
                <w:color w:val="auto"/>
              </w:rPr>
              <w:t>[†]</w:t>
            </w:r>
          </w:p>
        </w:tc>
        <w:tc>
          <w:tcPr>
            <w:tcW w:w="2820" w:type="dxa"/>
            <w:vAlign w:val="bottom"/>
          </w:tcPr>
          <w:p>
            <w:pPr>
              <w:ind w:left="380"/>
              <w:spacing w:after="0"/>
              <w:rPr>
                <w:sz w:val="20"/>
                <w:szCs w:val="20"/>
                <w:color w:val="auto"/>
              </w:rPr>
            </w:pPr>
            <w:r>
              <w:rPr>
                <w:rFonts w:ascii="Arial" w:cs="Arial" w:eastAsia="Arial" w:hAnsi="Arial"/>
                <w:sz w:val="14"/>
                <w:szCs w:val="14"/>
                <w:color w:val="auto"/>
              </w:rPr>
              <w:t>[†]</w:t>
            </w:r>
          </w:p>
        </w:tc>
      </w:tr>
      <w:tr>
        <w:trPr>
          <w:trHeight w:val="34"/>
        </w:trPr>
        <w:tc>
          <w:tcPr>
            <w:tcW w:w="8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820" w:type="dxa"/>
            <w:vAlign w:val="bottom"/>
            <w:tcBorders>
              <w:bottom w:val="single" w:sz="8" w:color="auto"/>
            </w:tcBorders>
          </w:tcPr>
          <w:p>
            <w:pPr>
              <w:spacing w:after="0"/>
              <w:rPr>
                <w:sz w:val="2"/>
                <w:szCs w:val="2"/>
                <w:color w:val="auto"/>
              </w:rPr>
            </w:pPr>
          </w:p>
        </w:tc>
      </w:tr>
      <w:tr>
        <w:trPr>
          <w:trHeight w:val="176"/>
        </w:trPr>
        <w:tc>
          <w:tcPr>
            <w:tcW w:w="860" w:type="dxa"/>
            <w:vAlign w:val="bottom"/>
          </w:tcPr>
          <w:p>
            <w:pPr>
              <w:ind w:left="20"/>
              <w:spacing w:after="0"/>
              <w:rPr>
                <w:sz w:val="20"/>
                <w:szCs w:val="20"/>
                <w:color w:val="auto"/>
              </w:rPr>
            </w:pPr>
            <w:r>
              <w:rPr>
                <w:rFonts w:ascii="Arial" w:cs="Arial" w:eastAsia="Arial" w:hAnsi="Arial"/>
                <w:sz w:val="14"/>
                <w:szCs w:val="14"/>
                <w:color w:val="auto"/>
              </w:rPr>
              <w:t>[†]</w:t>
            </w:r>
          </w:p>
        </w:tc>
        <w:tc>
          <w:tcPr>
            <w:tcW w:w="1040" w:type="dxa"/>
            <w:vAlign w:val="bottom"/>
          </w:tcPr>
          <w:p>
            <w:pPr>
              <w:ind w:left="220"/>
              <w:spacing w:after="0"/>
              <w:rPr>
                <w:sz w:val="20"/>
                <w:szCs w:val="20"/>
                <w:color w:val="auto"/>
              </w:rPr>
            </w:pPr>
            <w:r>
              <w:rPr>
                <w:rFonts w:ascii="Arial" w:cs="Arial" w:eastAsia="Arial" w:hAnsi="Arial"/>
                <w:sz w:val="14"/>
                <w:szCs w:val="14"/>
                <w:color w:val="auto"/>
              </w:rPr>
              <w:t>[†]</w:t>
            </w:r>
          </w:p>
        </w:tc>
        <w:tc>
          <w:tcPr>
            <w:tcW w:w="1560" w:type="dxa"/>
            <w:vAlign w:val="bottom"/>
          </w:tcPr>
          <w:p>
            <w:pPr>
              <w:ind w:left="300"/>
              <w:spacing w:after="0"/>
              <w:rPr>
                <w:sz w:val="20"/>
                <w:szCs w:val="20"/>
                <w:color w:val="auto"/>
              </w:rPr>
            </w:pPr>
            <w:r>
              <w:rPr>
                <w:rFonts w:ascii="Arial" w:cs="Arial" w:eastAsia="Arial" w:hAnsi="Arial"/>
                <w:sz w:val="14"/>
                <w:szCs w:val="14"/>
                <w:color w:val="auto"/>
              </w:rPr>
              <w:t>[†]</w:t>
            </w:r>
          </w:p>
        </w:tc>
        <w:tc>
          <w:tcPr>
            <w:tcW w:w="1500" w:type="dxa"/>
            <w:vAlign w:val="bottom"/>
          </w:tcPr>
          <w:p>
            <w:pPr>
              <w:ind w:left="1000"/>
              <w:spacing w:after="0"/>
              <w:rPr>
                <w:sz w:val="20"/>
                <w:szCs w:val="20"/>
                <w:color w:val="auto"/>
              </w:rPr>
            </w:pPr>
            <w:r>
              <w:rPr>
                <w:rFonts w:ascii="Arial" w:cs="Arial" w:eastAsia="Arial" w:hAnsi="Arial"/>
                <w:sz w:val="14"/>
                <w:szCs w:val="14"/>
                <w:color w:val="auto"/>
              </w:rPr>
              <w:t>[†]</w:t>
            </w:r>
          </w:p>
        </w:tc>
        <w:tc>
          <w:tcPr>
            <w:tcW w:w="980" w:type="dxa"/>
            <w:vAlign w:val="bottom"/>
          </w:tcPr>
          <w:p>
            <w:pPr>
              <w:ind w:left="200"/>
              <w:spacing w:after="0"/>
              <w:rPr>
                <w:sz w:val="20"/>
                <w:szCs w:val="20"/>
                <w:color w:val="auto"/>
              </w:rPr>
            </w:pPr>
            <w:r>
              <w:rPr>
                <w:rFonts w:ascii="Arial" w:cs="Arial" w:eastAsia="Arial" w:hAnsi="Arial"/>
                <w:sz w:val="14"/>
                <w:szCs w:val="14"/>
                <w:color w:val="auto"/>
              </w:rPr>
              <w:t>[†]</w:t>
            </w:r>
          </w:p>
        </w:tc>
        <w:tc>
          <w:tcPr>
            <w:tcW w:w="960" w:type="dxa"/>
            <w:vAlign w:val="bottom"/>
          </w:tcPr>
          <w:p>
            <w:pPr>
              <w:ind w:left="460"/>
              <w:spacing w:after="0"/>
              <w:rPr>
                <w:sz w:val="20"/>
                <w:szCs w:val="20"/>
                <w:color w:val="auto"/>
              </w:rPr>
            </w:pPr>
            <w:r>
              <w:rPr>
                <w:rFonts w:ascii="Arial" w:cs="Arial" w:eastAsia="Arial" w:hAnsi="Arial"/>
                <w:sz w:val="14"/>
                <w:szCs w:val="14"/>
                <w:color w:val="auto"/>
              </w:rPr>
              <w:t>[†]</w:t>
            </w:r>
          </w:p>
        </w:tc>
        <w:tc>
          <w:tcPr>
            <w:tcW w:w="700" w:type="dxa"/>
            <w:vAlign w:val="bottom"/>
          </w:tcPr>
          <w:p>
            <w:pPr>
              <w:ind w:left="220"/>
              <w:spacing w:after="0"/>
              <w:rPr>
                <w:sz w:val="20"/>
                <w:szCs w:val="20"/>
                <w:color w:val="auto"/>
              </w:rPr>
            </w:pPr>
            <w:r>
              <w:rPr>
                <w:rFonts w:ascii="Arial" w:cs="Arial" w:eastAsia="Arial" w:hAnsi="Arial"/>
                <w:sz w:val="14"/>
                <w:szCs w:val="14"/>
                <w:color w:val="auto"/>
              </w:rPr>
              <w:t>[†]</w:t>
            </w:r>
          </w:p>
        </w:tc>
        <w:tc>
          <w:tcPr>
            <w:tcW w:w="1000" w:type="dxa"/>
            <w:vAlign w:val="bottom"/>
          </w:tcPr>
          <w:p>
            <w:pPr>
              <w:ind w:left="220"/>
              <w:spacing w:after="0"/>
              <w:rPr>
                <w:sz w:val="20"/>
                <w:szCs w:val="20"/>
                <w:color w:val="auto"/>
              </w:rPr>
            </w:pPr>
            <w:r>
              <w:rPr>
                <w:rFonts w:ascii="Arial" w:cs="Arial" w:eastAsia="Arial" w:hAnsi="Arial"/>
                <w:sz w:val="14"/>
                <w:szCs w:val="14"/>
                <w:color w:val="auto"/>
              </w:rPr>
              <w:t>[†]</w:t>
            </w:r>
          </w:p>
        </w:tc>
        <w:tc>
          <w:tcPr>
            <w:tcW w:w="2820" w:type="dxa"/>
            <w:vAlign w:val="bottom"/>
          </w:tcPr>
          <w:p>
            <w:pPr>
              <w:spacing w:after="0"/>
              <w:rPr>
                <w:sz w:val="15"/>
                <w:szCs w:val="15"/>
                <w:color w:val="auto"/>
              </w:rPr>
            </w:pPr>
          </w:p>
        </w:tc>
      </w:tr>
      <w:tr>
        <w:trPr>
          <w:trHeight w:val="34"/>
        </w:trPr>
        <w:tc>
          <w:tcPr>
            <w:tcW w:w="8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820" w:type="dxa"/>
            <w:vAlign w:val="bottom"/>
            <w:tcBorders>
              <w:bottom w:val="single" w:sz="8" w:color="auto"/>
            </w:tcBorders>
          </w:tcPr>
          <w:p>
            <w:pPr>
              <w:spacing w:after="0"/>
              <w:rPr>
                <w:sz w:val="2"/>
                <w:szCs w:val="2"/>
                <w:color w:val="auto"/>
              </w:rPr>
            </w:pPr>
          </w:p>
        </w:tc>
      </w:tr>
      <w:tr>
        <w:trPr>
          <w:trHeight w:val="176"/>
        </w:trPr>
        <w:tc>
          <w:tcPr>
            <w:tcW w:w="860" w:type="dxa"/>
            <w:vAlign w:val="bottom"/>
          </w:tcPr>
          <w:p>
            <w:pPr>
              <w:ind w:left="20"/>
              <w:spacing w:after="0"/>
              <w:rPr>
                <w:sz w:val="20"/>
                <w:szCs w:val="20"/>
                <w:color w:val="auto"/>
              </w:rPr>
            </w:pPr>
            <w:r>
              <w:rPr>
                <w:rFonts w:ascii="Arial" w:cs="Arial" w:eastAsia="Arial" w:hAnsi="Arial"/>
                <w:sz w:val="14"/>
                <w:szCs w:val="14"/>
                <w:color w:val="auto"/>
              </w:rPr>
              <w:t>[†]</w:t>
            </w:r>
          </w:p>
        </w:tc>
        <w:tc>
          <w:tcPr>
            <w:tcW w:w="1040" w:type="dxa"/>
            <w:vAlign w:val="bottom"/>
          </w:tcPr>
          <w:p>
            <w:pPr>
              <w:ind w:left="220"/>
              <w:spacing w:after="0"/>
              <w:rPr>
                <w:sz w:val="20"/>
                <w:szCs w:val="20"/>
                <w:color w:val="auto"/>
              </w:rPr>
            </w:pPr>
            <w:r>
              <w:rPr>
                <w:rFonts w:ascii="Arial" w:cs="Arial" w:eastAsia="Arial" w:hAnsi="Arial"/>
                <w:sz w:val="14"/>
                <w:szCs w:val="14"/>
                <w:color w:val="auto"/>
              </w:rPr>
              <w:t>[†]</w:t>
            </w:r>
          </w:p>
        </w:tc>
        <w:tc>
          <w:tcPr>
            <w:tcW w:w="1560" w:type="dxa"/>
            <w:vAlign w:val="bottom"/>
          </w:tcPr>
          <w:p>
            <w:pPr>
              <w:ind w:left="300"/>
              <w:spacing w:after="0"/>
              <w:rPr>
                <w:sz w:val="20"/>
                <w:szCs w:val="20"/>
                <w:color w:val="auto"/>
              </w:rPr>
            </w:pPr>
            <w:r>
              <w:rPr>
                <w:rFonts w:ascii="Arial" w:cs="Arial" w:eastAsia="Arial" w:hAnsi="Arial"/>
                <w:sz w:val="14"/>
                <w:szCs w:val="14"/>
                <w:color w:val="auto"/>
              </w:rPr>
              <w:t>[†]</w:t>
            </w:r>
          </w:p>
        </w:tc>
        <w:tc>
          <w:tcPr>
            <w:tcW w:w="1500" w:type="dxa"/>
            <w:vAlign w:val="bottom"/>
          </w:tcPr>
          <w:p>
            <w:pPr>
              <w:ind w:left="1000"/>
              <w:spacing w:after="0"/>
              <w:rPr>
                <w:sz w:val="20"/>
                <w:szCs w:val="20"/>
                <w:color w:val="auto"/>
              </w:rPr>
            </w:pPr>
            <w:r>
              <w:rPr>
                <w:rFonts w:ascii="Arial" w:cs="Arial" w:eastAsia="Arial" w:hAnsi="Arial"/>
                <w:sz w:val="14"/>
                <w:szCs w:val="14"/>
                <w:color w:val="auto"/>
              </w:rPr>
              <w:t>[†]</w:t>
            </w:r>
          </w:p>
        </w:tc>
        <w:tc>
          <w:tcPr>
            <w:tcW w:w="980" w:type="dxa"/>
            <w:vAlign w:val="bottom"/>
          </w:tcPr>
          <w:p>
            <w:pPr>
              <w:ind w:left="200"/>
              <w:spacing w:after="0"/>
              <w:rPr>
                <w:sz w:val="20"/>
                <w:szCs w:val="20"/>
                <w:color w:val="auto"/>
              </w:rPr>
            </w:pPr>
            <w:r>
              <w:rPr>
                <w:rFonts w:ascii="Arial" w:cs="Arial" w:eastAsia="Arial" w:hAnsi="Arial"/>
                <w:sz w:val="14"/>
                <w:szCs w:val="14"/>
                <w:color w:val="auto"/>
              </w:rPr>
              <w:t>[†]</w:t>
            </w:r>
          </w:p>
        </w:tc>
        <w:tc>
          <w:tcPr>
            <w:tcW w:w="9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0" w:type="dxa"/>
            <w:vAlign w:val="bottom"/>
          </w:tcPr>
          <w:p>
            <w:pPr>
              <w:ind w:left="220"/>
              <w:spacing w:after="0"/>
              <w:rPr>
                <w:sz w:val="20"/>
                <w:szCs w:val="20"/>
                <w:color w:val="auto"/>
              </w:rPr>
            </w:pPr>
            <w:r>
              <w:rPr>
                <w:rFonts w:ascii="Arial" w:cs="Arial" w:eastAsia="Arial" w:hAnsi="Arial"/>
                <w:sz w:val="14"/>
                <w:szCs w:val="14"/>
                <w:color w:val="auto"/>
              </w:rPr>
              <w:t>[†]</w:t>
            </w:r>
          </w:p>
        </w:tc>
        <w:tc>
          <w:tcPr>
            <w:tcW w:w="2820" w:type="dxa"/>
            <w:vAlign w:val="bottom"/>
          </w:tcPr>
          <w:p>
            <w:pPr>
              <w:spacing w:after="0"/>
              <w:rPr>
                <w:sz w:val="15"/>
                <w:szCs w:val="15"/>
                <w:color w:val="auto"/>
              </w:rPr>
            </w:pPr>
          </w:p>
        </w:tc>
      </w:tr>
      <w:tr>
        <w:trPr>
          <w:trHeight w:val="34"/>
        </w:trPr>
        <w:tc>
          <w:tcPr>
            <w:tcW w:w="8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820" w:type="dxa"/>
            <w:vAlign w:val="bottom"/>
            <w:tcBorders>
              <w:bottom w:val="single" w:sz="8" w:color="auto"/>
            </w:tcBorders>
          </w:tcPr>
          <w:p>
            <w:pPr>
              <w:spacing w:after="0"/>
              <w:rPr>
                <w:sz w:val="2"/>
                <w:szCs w:val="2"/>
                <w:color w:val="auto"/>
              </w:rPr>
            </w:pPr>
          </w:p>
        </w:tc>
      </w:tr>
      <w:tr>
        <w:trPr>
          <w:trHeight w:val="176"/>
        </w:trPr>
        <w:tc>
          <w:tcPr>
            <w:tcW w:w="860" w:type="dxa"/>
            <w:vAlign w:val="bottom"/>
          </w:tcPr>
          <w:p>
            <w:pPr>
              <w:ind w:left="20"/>
              <w:spacing w:after="0"/>
              <w:rPr>
                <w:sz w:val="20"/>
                <w:szCs w:val="20"/>
                <w:color w:val="auto"/>
              </w:rPr>
            </w:pPr>
            <w:r>
              <w:rPr>
                <w:rFonts w:ascii="Arial" w:cs="Arial" w:eastAsia="Arial" w:hAnsi="Arial"/>
                <w:sz w:val="14"/>
                <w:szCs w:val="14"/>
                <w:color w:val="auto"/>
              </w:rPr>
              <w:t>[†]</w:t>
            </w:r>
          </w:p>
        </w:tc>
        <w:tc>
          <w:tcPr>
            <w:tcW w:w="1040" w:type="dxa"/>
            <w:vAlign w:val="bottom"/>
          </w:tcPr>
          <w:p>
            <w:pPr>
              <w:ind w:left="220"/>
              <w:spacing w:after="0"/>
              <w:rPr>
                <w:sz w:val="20"/>
                <w:szCs w:val="20"/>
                <w:color w:val="auto"/>
              </w:rPr>
            </w:pPr>
            <w:r>
              <w:rPr>
                <w:rFonts w:ascii="Arial" w:cs="Arial" w:eastAsia="Arial" w:hAnsi="Arial"/>
                <w:sz w:val="14"/>
                <w:szCs w:val="14"/>
                <w:color w:val="auto"/>
              </w:rPr>
              <w:t>[†]</w:t>
            </w:r>
          </w:p>
        </w:tc>
        <w:tc>
          <w:tcPr>
            <w:tcW w:w="1560" w:type="dxa"/>
            <w:vAlign w:val="bottom"/>
          </w:tcPr>
          <w:p>
            <w:pPr>
              <w:ind w:left="300"/>
              <w:spacing w:after="0"/>
              <w:rPr>
                <w:sz w:val="20"/>
                <w:szCs w:val="20"/>
                <w:color w:val="auto"/>
              </w:rPr>
            </w:pPr>
            <w:r>
              <w:rPr>
                <w:rFonts w:ascii="Arial" w:cs="Arial" w:eastAsia="Arial" w:hAnsi="Arial"/>
                <w:sz w:val="14"/>
                <w:szCs w:val="14"/>
                <w:color w:val="auto"/>
              </w:rPr>
              <w:t>[†]</w:t>
            </w:r>
          </w:p>
        </w:tc>
        <w:tc>
          <w:tcPr>
            <w:tcW w:w="1500" w:type="dxa"/>
            <w:vAlign w:val="bottom"/>
          </w:tcPr>
          <w:p>
            <w:pPr>
              <w:ind w:left="1000"/>
              <w:spacing w:after="0"/>
              <w:rPr>
                <w:sz w:val="20"/>
                <w:szCs w:val="20"/>
                <w:color w:val="auto"/>
              </w:rPr>
            </w:pPr>
            <w:r>
              <w:rPr>
                <w:rFonts w:ascii="Arial" w:cs="Arial" w:eastAsia="Arial" w:hAnsi="Arial"/>
                <w:sz w:val="14"/>
                <w:szCs w:val="14"/>
                <w:color w:val="auto"/>
              </w:rPr>
              <w:t>[†]</w:t>
            </w:r>
          </w:p>
        </w:tc>
        <w:tc>
          <w:tcPr>
            <w:tcW w:w="980" w:type="dxa"/>
            <w:vAlign w:val="bottom"/>
          </w:tcPr>
          <w:p>
            <w:pPr>
              <w:ind w:left="200"/>
              <w:spacing w:after="0"/>
              <w:rPr>
                <w:sz w:val="20"/>
                <w:szCs w:val="20"/>
                <w:color w:val="auto"/>
              </w:rPr>
            </w:pPr>
            <w:r>
              <w:rPr>
                <w:rFonts w:ascii="Arial" w:cs="Arial" w:eastAsia="Arial" w:hAnsi="Arial"/>
                <w:sz w:val="14"/>
                <w:szCs w:val="14"/>
                <w:color w:val="auto"/>
              </w:rPr>
              <w:t>[†]</w:t>
            </w:r>
          </w:p>
        </w:tc>
        <w:tc>
          <w:tcPr>
            <w:tcW w:w="9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0" w:type="dxa"/>
            <w:vAlign w:val="bottom"/>
          </w:tcPr>
          <w:p>
            <w:pPr>
              <w:ind w:left="220"/>
              <w:spacing w:after="0"/>
              <w:rPr>
                <w:sz w:val="20"/>
                <w:szCs w:val="20"/>
                <w:color w:val="auto"/>
              </w:rPr>
            </w:pPr>
            <w:r>
              <w:rPr>
                <w:rFonts w:ascii="Arial" w:cs="Arial" w:eastAsia="Arial" w:hAnsi="Arial"/>
                <w:sz w:val="14"/>
                <w:szCs w:val="14"/>
                <w:color w:val="auto"/>
              </w:rPr>
              <w:t>[†]</w:t>
            </w:r>
          </w:p>
        </w:tc>
        <w:tc>
          <w:tcPr>
            <w:tcW w:w="2820" w:type="dxa"/>
            <w:vAlign w:val="bottom"/>
          </w:tcPr>
          <w:p>
            <w:pPr>
              <w:ind w:left="380"/>
              <w:spacing w:after="0"/>
              <w:rPr>
                <w:sz w:val="20"/>
                <w:szCs w:val="20"/>
                <w:color w:val="auto"/>
              </w:rPr>
            </w:pPr>
            <w:r>
              <w:rPr>
                <w:rFonts w:ascii="Arial" w:cs="Arial" w:eastAsia="Arial" w:hAnsi="Arial"/>
                <w:sz w:val="14"/>
                <w:szCs w:val="14"/>
                <w:color w:val="auto"/>
              </w:rPr>
              <w:t>[†]</w:t>
            </w:r>
          </w:p>
        </w:tc>
      </w:tr>
      <w:tr>
        <w:trPr>
          <w:trHeight w:val="34"/>
        </w:trPr>
        <w:tc>
          <w:tcPr>
            <w:tcW w:w="8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820" w:type="dxa"/>
            <w:vAlign w:val="bottom"/>
            <w:tcBorders>
              <w:bottom w:val="single" w:sz="8" w:color="auto"/>
            </w:tcBorders>
          </w:tcPr>
          <w:p>
            <w:pPr>
              <w:spacing w:after="0"/>
              <w:rPr>
                <w:sz w:val="2"/>
                <w:szCs w:val="2"/>
                <w:color w:val="auto"/>
              </w:rPr>
            </w:pPr>
          </w:p>
        </w:tc>
      </w:tr>
      <w:tr>
        <w:trPr>
          <w:trHeight w:val="176"/>
        </w:trPr>
        <w:tc>
          <w:tcPr>
            <w:tcW w:w="860" w:type="dxa"/>
            <w:vAlign w:val="bottom"/>
          </w:tcPr>
          <w:p>
            <w:pPr>
              <w:ind w:left="20"/>
              <w:spacing w:after="0"/>
              <w:rPr>
                <w:sz w:val="20"/>
                <w:szCs w:val="20"/>
                <w:color w:val="auto"/>
              </w:rPr>
            </w:pPr>
            <w:r>
              <w:rPr>
                <w:rFonts w:ascii="Arial" w:cs="Arial" w:eastAsia="Arial" w:hAnsi="Arial"/>
                <w:sz w:val="14"/>
                <w:szCs w:val="14"/>
                <w:color w:val="auto"/>
              </w:rPr>
              <w:t>[†]</w:t>
            </w:r>
          </w:p>
        </w:tc>
        <w:tc>
          <w:tcPr>
            <w:tcW w:w="1040" w:type="dxa"/>
            <w:vAlign w:val="bottom"/>
          </w:tcPr>
          <w:p>
            <w:pPr>
              <w:ind w:left="220"/>
              <w:spacing w:after="0"/>
              <w:rPr>
                <w:sz w:val="20"/>
                <w:szCs w:val="20"/>
                <w:color w:val="auto"/>
              </w:rPr>
            </w:pPr>
            <w:r>
              <w:rPr>
                <w:rFonts w:ascii="Arial" w:cs="Arial" w:eastAsia="Arial" w:hAnsi="Arial"/>
                <w:sz w:val="14"/>
                <w:szCs w:val="14"/>
                <w:color w:val="auto"/>
              </w:rPr>
              <w:t>[†]</w:t>
            </w:r>
          </w:p>
        </w:tc>
        <w:tc>
          <w:tcPr>
            <w:tcW w:w="1560" w:type="dxa"/>
            <w:vAlign w:val="bottom"/>
          </w:tcPr>
          <w:p>
            <w:pPr>
              <w:ind w:left="300"/>
              <w:spacing w:after="0"/>
              <w:rPr>
                <w:sz w:val="20"/>
                <w:szCs w:val="20"/>
                <w:color w:val="auto"/>
              </w:rPr>
            </w:pPr>
            <w:r>
              <w:rPr>
                <w:rFonts w:ascii="Arial" w:cs="Arial" w:eastAsia="Arial" w:hAnsi="Arial"/>
                <w:sz w:val="14"/>
                <w:szCs w:val="14"/>
                <w:color w:val="auto"/>
              </w:rPr>
              <w:t>[†]</w:t>
            </w:r>
          </w:p>
        </w:tc>
        <w:tc>
          <w:tcPr>
            <w:tcW w:w="1500" w:type="dxa"/>
            <w:vAlign w:val="bottom"/>
          </w:tcPr>
          <w:p>
            <w:pPr>
              <w:ind w:left="1000"/>
              <w:spacing w:after="0"/>
              <w:rPr>
                <w:sz w:val="20"/>
                <w:szCs w:val="20"/>
                <w:color w:val="auto"/>
              </w:rPr>
            </w:pPr>
            <w:r>
              <w:rPr>
                <w:rFonts w:ascii="Arial" w:cs="Arial" w:eastAsia="Arial" w:hAnsi="Arial"/>
                <w:sz w:val="14"/>
                <w:szCs w:val="14"/>
                <w:color w:val="auto"/>
              </w:rPr>
              <w:t>[†]</w:t>
            </w:r>
          </w:p>
        </w:tc>
        <w:tc>
          <w:tcPr>
            <w:tcW w:w="980" w:type="dxa"/>
            <w:vAlign w:val="bottom"/>
          </w:tcPr>
          <w:p>
            <w:pPr>
              <w:ind w:left="200"/>
              <w:spacing w:after="0"/>
              <w:rPr>
                <w:sz w:val="20"/>
                <w:szCs w:val="20"/>
                <w:color w:val="auto"/>
              </w:rPr>
            </w:pPr>
            <w:r>
              <w:rPr>
                <w:rFonts w:ascii="Arial" w:cs="Arial" w:eastAsia="Arial" w:hAnsi="Arial"/>
                <w:sz w:val="14"/>
                <w:szCs w:val="14"/>
                <w:color w:val="auto"/>
              </w:rPr>
              <w:t>[†]</w:t>
            </w:r>
          </w:p>
        </w:tc>
        <w:tc>
          <w:tcPr>
            <w:tcW w:w="9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0" w:type="dxa"/>
            <w:vAlign w:val="bottom"/>
          </w:tcPr>
          <w:p>
            <w:pPr>
              <w:ind w:left="220"/>
              <w:spacing w:after="0"/>
              <w:rPr>
                <w:sz w:val="20"/>
                <w:szCs w:val="20"/>
                <w:color w:val="auto"/>
              </w:rPr>
            </w:pPr>
            <w:r>
              <w:rPr>
                <w:rFonts w:ascii="Arial" w:cs="Arial" w:eastAsia="Arial" w:hAnsi="Arial"/>
                <w:sz w:val="14"/>
                <w:szCs w:val="14"/>
                <w:color w:val="auto"/>
              </w:rPr>
              <w:t>[†]</w:t>
            </w:r>
          </w:p>
        </w:tc>
        <w:tc>
          <w:tcPr>
            <w:tcW w:w="2820" w:type="dxa"/>
            <w:vAlign w:val="bottom"/>
          </w:tcPr>
          <w:p>
            <w:pPr>
              <w:ind w:left="380"/>
              <w:spacing w:after="0"/>
              <w:rPr>
                <w:sz w:val="20"/>
                <w:szCs w:val="20"/>
                <w:color w:val="auto"/>
              </w:rPr>
            </w:pPr>
            <w:r>
              <w:rPr>
                <w:rFonts w:ascii="Arial" w:cs="Arial" w:eastAsia="Arial" w:hAnsi="Arial"/>
                <w:sz w:val="14"/>
                <w:szCs w:val="14"/>
                <w:color w:val="auto"/>
              </w:rPr>
              <w:t>[†]</w:t>
            </w:r>
          </w:p>
        </w:tc>
      </w:tr>
      <w:tr>
        <w:trPr>
          <w:trHeight w:val="34"/>
        </w:trPr>
        <w:tc>
          <w:tcPr>
            <w:tcW w:w="8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820" w:type="dxa"/>
            <w:vAlign w:val="bottom"/>
            <w:tcBorders>
              <w:bottom w:val="single" w:sz="8" w:color="auto"/>
            </w:tcBorders>
          </w:tcPr>
          <w:p>
            <w:pPr>
              <w:spacing w:after="0"/>
              <w:rPr>
                <w:sz w:val="2"/>
                <w:szCs w:val="2"/>
                <w:color w:val="auto"/>
              </w:rPr>
            </w:pPr>
          </w:p>
        </w:tc>
      </w:tr>
      <w:tr>
        <w:trPr>
          <w:trHeight w:val="176"/>
        </w:trPr>
        <w:tc>
          <w:tcPr>
            <w:tcW w:w="860" w:type="dxa"/>
            <w:vAlign w:val="bottom"/>
          </w:tcPr>
          <w:p>
            <w:pPr>
              <w:ind w:left="20"/>
              <w:spacing w:after="0"/>
              <w:rPr>
                <w:sz w:val="20"/>
                <w:szCs w:val="20"/>
                <w:color w:val="auto"/>
              </w:rPr>
            </w:pPr>
            <w:r>
              <w:rPr>
                <w:rFonts w:ascii="Arial" w:cs="Arial" w:eastAsia="Arial" w:hAnsi="Arial"/>
                <w:sz w:val="14"/>
                <w:szCs w:val="14"/>
                <w:color w:val="auto"/>
              </w:rPr>
              <w:t>[†]</w:t>
            </w:r>
          </w:p>
        </w:tc>
        <w:tc>
          <w:tcPr>
            <w:tcW w:w="1040" w:type="dxa"/>
            <w:vAlign w:val="bottom"/>
          </w:tcPr>
          <w:p>
            <w:pPr>
              <w:ind w:left="220"/>
              <w:spacing w:after="0"/>
              <w:rPr>
                <w:sz w:val="20"/>
                <w:szCs w:val="20"/>
                <w:color w:val="auto"/>
              </w:rPr>
            </w:pPr>
            <w:r>
              <w:rPr>
                <w:rFonts w:ascii="Arial" w:cs="Arial" w:eastAsia="Arial" w:hAnsi="Arial"/>
                <w:sz w:val="14"/>
                <w:szCs w:val="14"/>
                <w:color w:val="auto"/>
              </w:rPr>
              <w:t>[†]</w:t>
            </w:r>
          </w:p>
        </w:tc>
        <w:tc>
          <w:tcPr>
            <w:tcW w:w="1560" w:type="dxa"/>
            <w:vAlign w:val="bottom"/>
          </w:tcPr>
          <w:p>
            <w:pPr>
              <w:ind w:left="300"/>
              <w:spacing w:after="0"/>
              <w:rPr>
                <w:sz w:val="20"/>
                <w:szCs w:val="20"/>
                <w:color w:val="auto"/>
              </w:rPr>
            </w:pPr>
            <w:r>
              <w:rPr>
                <w:rFonts w:ascii="Arial" w:cs="Arial" w:eastAsia="Arial" w:hAnsi="Arial"/>
                <w:sz w:val="14"/>
                <w:szCs w:val="14"/>
                <w:color w:val="auto"/>
              </w:rPr>
              <w:t>[†]</w:t>
            </w:r>
          </w:p>
        </w:tc>
        <w:tc>
          <w:tcPr>
            <w:tcW w:w="1500" w:type="dxa"/>
            <w:vAlign w:val="bottom"/>
          </w:tcPr>
          <w:p>
            <w:pPr>
              <w:ind w:left="1000"/>
              <w:spacing w:after="0"/>
              <w:rPr>
                <w:sz w:val="20"/>
                <w:szCs w:val="20"/>
                <w:color w:val="auto"/>
              </w:rPr>
            </w:pPr>
            <w:r>
              <w:rPr>
                <w:rFonts w:ascii="Arial" w:cs="Arial" w:eastAsia="Arial" w:hAnsi="Arial"/>
                <w:sz w:val="14"/>
                <w:szCs w:val="14"/>
                <w:color w:val="auto"/>
              </w:rPr>
              <w:t>[†]</w:t>
            </w:r>
          </w:p>
        </w:tc>
        <w:tc>
          <w:tcPr>
            <w:tcW w:w="980" w:type="dxa"/>
            <w:vAlign w:val="bottom"/>
          </w:tcPr>
          <w:p>
            <w:pPr>
              <w:ind w:left="200"/>
              <w:spacing w:after="0"/>
              <w:rPr>
                <w:sz w:val="20"/>
                <w:szCs w:val="20"/>
                <w:color w:val="auto"/>
              </w:rPr>
            </w:pPr>
            <w:r>
              <w:rPr>
                <w:rFonts w:ascii="Arial" w:cs="Arial" w:eastAsia="Arial" w:hAnsi="Arial"/>
                <w:sz w:val="14"/>
                <w:szCs w:val="14"/>
                <w:color w:val="auto"/>
              </w:rPr>
              <w:t>[†]</w:t>
            </w:r>
          </w:p>
        </w:tc>
        <w:tc>
          <w:tcPr>
            <w:tcW w:w="9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0" w:type="dxa"/>
            <w:vAlign w:val="bottom"/>
          </w:tcPr>
          <w:p>
            <w:pPr>
              <w:ind w:left="220"/>
              <w:spacing w:after="0"/>
              <w:rPr>
                <w:sz w:val="20"/>
                <w:szCs w:val="20"/>
                <w:color w:val="auto"/>
              </w:rPr>
            </w:pPr>
            <w:r>
              <w:rPr>
                <w:rFonts w:ascii="Arial" w:cs="Arial" w:eastAsia="Arial" w:hAnsi="Arial"/>
                <w:sz w:val="14"/>
                <w:szCs w:val="14"/>
                <w:color w:val="auto"/>
              </w:rPr>
              <w:t>[†]</w:t>
            </w:r>
          </w:p>
        </w:tc>
        <w:tc>
          <w:tcPr>
            <w:tcW w:w="2820" w:type="dxa"/>
            <w:vAlign w:val="bottom"/>
          </w:tcPr>
          <w:p>
            <w:pPr>
              <w:spacing w:after="0"/>
              <w:rPr>
                <w:sz w:val="15"/>
                <w:szCs w:val="15"/>
                <w:color w:val="auto"/>
              </w:rPr>
            </w:pPr>
          </w:p>
        </w:tc>
      </w:tr>
    </w:tbl>
    <w:p>
      <w:pPr>
        <w:spacing w:after="0" w:line="44" w:lineRule="exact"/>
        <w:rPr>
          <w:sz w:val="20"/>
          <w:szCs w:val="20"/>
          <w:color w:val="auto"/>
        </w:rPr>
      </w:pPr>
    </w:p>
    <w:p>
      <w:pPr>
        <w:spacing w:after="0"/>
        <w:rPr>
          <w:sz w:val="20"/>
          <w:szCs w:val="20"/>
          <w:color w:val="auto"/>
        </w:rPr>
      </w:pPr>
      <w:r>
        <w:rPr>
          <w:rFonts w:ascii="Arial" w:cs="Arial" w:eastAsia="Arial" w:hAnsi="Arial"/>
          <w:sz w:val="20"/>
          <w:szCs w:val="20"/>
          <w:color w:val="auto"/>
        </w:rPr>
        <w:t>[†]</w:t>
      </w:r>
    </w:p>
    <w:p>
      <w:pPr>
        <w:spacing w:after="0" w:line="210" w:lineRule="exact"/>
        <w:rPr>
          <w:sz w:val="20"/>
          <w:szCs w:val="20"/>
          <w:color w:val="auto"/>
        </w:rPr>
      </w:pPr>
    </w:p>
    <w:p>
      <w:pPr>
        <w:ind w:right="240"/>
        <w:spacing w:after="0" w:line="267" w:lineRule="auto"/>
        <w:rPr>
          <w:sz w:val="20"/>
          <w:szCs w:val="20"/>
          <w:color w:val="auto"/>
        </w:rPr>
      </w:pPr>
      <w:r>
        <w:rPr>
          <w:rFonts w:ascii="Arial" w:cs="Arial" w:eastAsia="Arial" w:hAnsi="Arial"/>
          <w:sz w:val="20"/>
          <w:szCs w:val="20"/>
          <w:b w:val="1"/>
          <w:bCs w:val="1"/>
          <w:color w:val="auto"/>
        </w:rPr>
        <w:t xml:space="preserve">Section 2. Scheduled Actions that are required to be taken by Seller within </w:t>
      </w:r>
      <w:r>
        <w:rPr>
          <w:rFonts w:ascii="Arial" w:cs="Arial" w:eastAsia="Arial" w:hAnsi="Arial"/>
          <w:sz w:val="20"/>
          <w:szCs w:val="20"/>
          <w:color w:val="auto"/>
        </w:rPr>
        <w:t>[†]</w:t>
      </w:r>
      <w:r>
        <w:rPr>
          <w:rFonts w:ascii="Arial" w:cs="Arial" w:eastAsia="Arial" w:hAnsi="Arial"/>
          <w:sz w:val="20"/>
          <w:szCs w:val="20"/>
          <w:b w:val="1"/>
          <w:bCs w:val="1"/>
          <w:color w:val="auto"/>
        </w:rPr>
        <w:t xml:space="preserve"> of Closing Date with respect to Compound Registered Items</w:t>
      </w:r>
    </w:p>
    <w:p>
      <w:pPr>
        <w:spacing w:after="0" w:line="170" w:lineRule="exact"/>
        <w:rPr>
          <w:sz w:val="20"/>
          <w:szCs w:val="20"/>
          <w:color w:val="auto"/>
        </w:rPr>
      </w:pPr>
    </w:p>
    <w:p>
      <w:pPr>
        <w:spacing w:after="0"/>
        <w:rPr>
          <w:sz w:val="20"/>
          <w:szCs w:val="20"/>
          <w:color w:val="auto"/>
        </w:rPr>
      </w:pPr>
      <w:r>
        <w:rPr>
          <w:rFonts w:ascii="Arial" w:cs="Arial" w:eastAsia="Arial" w:hAnsi="Arial"/>
          <w:sz w:val="20"/>
          <w:szCs w:val="20"/>
          <w:color w:val="auto"/>
        </w:rPr>
        <w:t>[†]</w:t>
      </w:r>
    </w:p>
    <w:p>
      <w:pPr>
        <w:spacing w:after="0" w:line="210" w:lineRule="exact"/>
        <w:rPr>
          <w:sz w:val="20"/>
          <w:szCs w:val="20"/>
          <w:color w:val="auto"/>
        </w:rPr>
      </w:pPr>
    </w:p>
    <w:p>
      <w:pPr>
        <w:ind w:right="200"/>
        <w:spacing w:after="0" w:line="267" w:lineRule="auto"/>
        <w:rPr>
          <w:sz w:val="20"/>
          <w:szCs w:val="20"/>
          <w:color w:val="auto"/>
        </w:rPr>
      </w:pPr>
      <w:r>
        <w:rPr>
          <w:rFonts w:ascii="Arial" w:cs="Arial" w:eastAsia="Arial" w:hAnsi="Arial"/>
          <w:sz w:val="20"/>
          <w:szCs w:val="20"/>
          <w:b w:val="1"/>
          <w:bCs w:val="1"/>
          <w:color w:val="auto"/>
        </w:rPr>
        <w:t xml:space="preserve">Section 3. Compound Intellectual Property that Seller has abandoned, cancelled, forfeited or relinquished or Seller has not taken any action nor failed to take any action during the </w:t>
      </w:r>
      <w:r>
        <w:rPr>
          <w:rFonts w:ascii="Arial" w:cs="Arial" w:eastAsia="Arial" w:hAnsi="Arial"/>
          <w:sz w:val="20"/>
          <w:szCs w:val="20"/>
          <w:color w:val="auto"/>
        </w:rPr>
        <w:t>[†]</w:t>
      </w:r>
      <w:r>
        <w:rPr>
          <w:rFonts w:ascii="Arial" w:cs="Arial" w:eastAsia="Arial" w:hAnsi="Arial"/>
          <w:sz w:val="20"/>
          <w:szCs w:val="20"/>
          <w:b w:val="1"/>
          <w:bCs w:val="1"/>
          <w:color w:val="auto"/>
        </w:rPr>
        <w:t xml:space="preserve"> (</w:t>
      </w:r>
      <w:r>
        <w:rPr>
          <w:rFonts w:ascii="Arial" w:cs="Arial" w:eastAsia="Arial" w:hAnsi="Arial"/>
          <w:sz w:val="20"/>
          <w:szCs w:val="20"/>
          <w:color w:val="auto"/>
        </w:rPr>
        <w:t>[†]</w:t>
      </w:r>
      <w:r>
        <w:rPr>
          <w:rFonts w:ascii="Arial" w:cs="Arial" w:eastAsia="Arial" w:hAnsi="Arial"/>
          <w:sz w:val="20"/>
          <w:szCs w:val="20"/>
          <w:b w:val="1"/>
          <w:bCs w:val="1"/>
          <w:color w:val="auto"/>
        </w:rPr>
        <w:t xml:space="preserve">) </w:t>
      </w:r>
      <w:r>
        <w:rPr>
          <w:rFonts w:ascii="Arial" w:cs="Arial" w:eastAsia="Arial" w:hAnsi="Arial"/>
          <w:sz w:val="20"/>
          <w:szCs w:val="20"/>
          <w:color w:val="auto"/>
        </w:rPr>
        <w:t>[†]</w:t>
      </w:r>
      <w:r>
        <w:rPr>
          <w:rFonts w:ascii="Arial" w:cs="Arial" w:eastAsia="Arial" w:hAnsi="Arial"/>
          <w:sz w:val="20"/>
          <w:szCs w:val="20"/>
          <w:b w:val="1"/>
          <w:bCs w:val="1"/>
          <w:color w:val="auto"/>
        </w:rPr>
        <w:t xml:space="preserve"> prior to the date of this Agreement.</w:t>
      </w:r>
    </w:p>
    <w:p>
      <w:pPr>
        <w:spacing w:after="0" w:line="166" w:lineRule="exact"/>
        <w:rPr>
          <w:sz w:val="20"/>
          <w:szCs w:val="20"/>
          <w:color w:val="auto"/>
        </w:rPr>
      </w:pPr>
    </w:p>
    <w:tbl>
      <w:tblPr>
        <w:tblLayout w:type="fixed"/>
        <w:tblInd w:w="10" w:type="dxa"/>
        <w:tblCellMar>
          <w:top w:w="0" w:type="dxa"/>
          <w:left w:w="0" w:type="dxa"/>
          <w:bottom w:w="0" w:type="dxa"/>
          <w:right w:w="0" w:type="dxa"/>
        </w:tblCellMar>
      </w:tblPr>
      <w:tr>
        <w:trPr>
          <w:trHeight w:val="139"/>
        </w:trPr>
        <w:tc>
          <w:tcPr>
            <w:tcW w:w="1060" w:type="dxa"/>
            <w:vAlign w:val="bottom"/>
            <w:tcBorders>
              <w:top w:val="single" w:sz="8" w:color="auto"/>
              <w:left w:val="single" w:sz="8" w:color="auto"/>
              <w:right w:val="single" w:sz="8" w:color="auto"/>
            </w:tcBorders>
          </w:tcPr>
          <w:p>
            <w:pPr>
              <w:ind w:left="20"/>
              <w:spacing w:after="0" w:line="139" w:lineRule="exact"/>
              <w:rPr>
                <w:sz w:val="20"/>
                <w:szCs w:val="20"/>
                <w:color w:val="auto"/>
              </w:rPr>
            </w:pPr>
            <w:r>
              <w:rPr>
                <w:rFonts w:ascii="Arial" w:cs="Arial" w:eastAsia="Arial" w:hAnsi="Arial"/>
                <w:sz w:val="14"/>
                <w:szCs w:val="14"/>
                <w:b w:val="1"/>
                <w:bCs w:val="1"/>
                <w:color w:val="auto"/>
              </w:rPr>
              <w:t>Jones Day</w:t>
            </w:r>
          </w:p>
        </w:tc>
        <w:tc>
          <w:tcPr>
            <w:tcW w:w="920" w:type="dxa"/>
            <w:vAlign w:val="bottom"/>
            <w:tcBorders>
              <w:top w:val="single" w:sz="8" w:color="auto"/>
              <w:right w:val="single" w:sz="8" w:color="auto"/>
            </w:tcBorders>
          </w:tcPr>
          <w:p>
            <w:pPr>
              <w:spacing w:after="0" w:line="139" w:lineRule="exact"/>
              <w:rPr>
                <w:sz w:val="20"/>
                <w:szCs w:val="20"/>
                <w:color w:val="auto"/>
              </w:rPr>
            </w:pPr>
            <w:r>
              <w:rPr>
                <w:rFonts w:ascii="Arial" w:cs="Arial" w:eastAsia="Arial" w:hAnsi="Arial"/>
                <w:sz w:val="14"/>
                <w:szCs w:val="14"/>
                <w:b w:val="1"/>
                <w:bCs w:val="1"/>
                <w:color w:val="auto"/>
              </w:rPr>
              <w:t>Country</w:t>
            </w:r>
          </w:p>
        </w:tc>
        <w:tc>
          <w:tcPr>
            <w:tcW w:w="2420" w:type="dxa"/>
            <w:vAlign w:val="bottom"/>
            <w:tcBorders>
              <w:top w:val="single" w:sz="8" w:color="auto"/>
              <w:right w:val="single" w:sz="8" w:color="auto"/>
            </w:tcBorders>
          </w:tcPr>
          <w:p>
            <w:pPr>
              <w:spacing w:after="0" w:line="139" w:lineRule="exact"/>
              <w:rPr>
                <w:sz w:val="20"/>
                <w:szCs w:val="20"/>
                <w:color w:val="auto"/>
              </w:rPr>
            </w:pPr>
            <w:r>
              <w:rPr>
                <w:rFonts w:ascii="Arial" w:cs="Arial" w:eastAsia="Arial" w:hAnsi="Arial"/>
                <w:sz w:val="14"/>
                <w:szCs w:val="14"/>
                <w:b w:val="1"/>
                <w:bCs w:val="1"/>
                <w:color w:val="auto"/>
              </w:rPr>
              <w:t>Title</w:t>
            </w:r>
          </w:p>
        </w:tc>
        <w:tc>
          <w:tcPr>
            <w:tcW w:w="1160" w:type="dxa"/>
            <w:vAlign w:val="bottom"/>
            <w:tcBorders>
              <w:top w:val="single" w:sz="8" w:color="auto"/>
              <w:right w:val="single" w:sz="8" w:color="auto"/>
            </w:tcBorders>
          </w:tcPr>
          <w:p>
            <w:pPr>
              <w:spacing w:after="0" w:line="139" w:lineRule="exact"/>
              <w:rPr>
                <w:sz w:val="20"/>
                <w:szCs w:val="20"/>
                <w:color w:val="auto"/>
              </w:rPr>
            </w:pPr>
            <w:r>
              <w:rPr>
                <w:rFonts w:ascii="Arial" w:cs="Arial" w:eastAsia="Arial" w:hAnsi="Arial"/>
                <w:sz w:val="14"/>
                <w:szCs w:val="14"/>
                <w:b w:val="1"/>
                <w:bCs w:val="1"/>
                <w:color w:val="auto"/>
              </w:rPr>
              <w:t>Application</w:t>
            </w:r>
          </w:p>
        </w:tc>
        <w:tc>
          <w:tcPr>
            <w:tcW w:w="1340" w:type="dxa"/>
            <w:vAlign w:val="bottom"/>
            <w:tcBorders>
              <w:top w:val="single" w:sz="8" w:color="auto"/>
              <w:right w:val="single" w:sz="8" w:color="auto"/>
            </w:tcBorders>
          </w:tcPr>
          <w:p>
            <w:pPr>
              <w:spacing w:after="0" w:line="139" w:lineRule="exact"/>
              <w:rPr>
                <w:sz w:val="20"/>
                <w:szCs w:val="20"/>
                <w:color w:val="auto"/>
              </w:rPr>
            </w:pPr>
            <w:r>
              <w:rPr>
                <w:rFonts w:ascii="Arial" w:cs="Arial" w:eastAsia="Arial" w:hAnsi="Arial"/>
                <w:sz w:val="14"/>
                <w:szCs w:val="14"/>
                <w:b w:val="1"/>
                <w:bCs w:val="1"/>
                <w:color w:val="auto"/>
              </w:rPr>
              <w:t>Application</w:t>
            </w:r>
          </w:p>
        </w:tc>
        <w:tc>
          <w:tcPr>
            <w:tcW w:w="600" w:type="dxa"/>
            <w:vAlign w:val="bottom"/>
            <w:tcBorders>
              <w:top w:val="single" w:sz="8" w:color="auto"/>
              <w:right w:val="single" w:sz="8" w:color="auto"/>
            </w:tcBorders>
          </w:tcPr>
          <w:p>
            <w:pPr>
              <w:spacing w:after="0" w:line="139" w:lineRule="exact"/>
              <w:rPr>
                <w:sz w:val="20"/>
                <w:szCs w:val="20"/>
                <w:color w:val="auto"/>
              </w:rPr>
            </w:pPr>
            <w:r>
              <w:rPr>
                <w:rFonts w:ascii="Arial" w:cs="Arial" w:eastAsia="Arial" w:hAnsi="Arial"/>
                <w:sz w:val="14"/>
                <w:szCs w:val="14"/>
                <w:b w:val="1"/>
                <w:bCs w:val="1"/>
                <w:color w:val="auto"/>
              </w:rPr>
              <w:t>Pub</w:t>
            </w:r>
          </w:p>
        </w:tc>
        <w:tc>
          <w:tcPr>
            <w:tcW w:w="1340" w:type="dxa"/>
            <w:vAlign w:val="bottom"/>
            <w:tcBorders>
              <w:top w:val="single" w:sz="8" w:color="auto"/>
              <w:right w:val="single" w:sz="8" w:color="auto"/>
            </w:tcBorders>
          </w:tcPr>
          <w:p>
            <w:pPr>
              <w:spacing w:after="0" w:line="139" w:lineRule="exact"/>
              <w:rPr>
                <w:sz w:val="20"/>
                <w:szCs w:val="20"/>
                <w:color w:val="auto"/>
              </w:rPr>
            </w:pPr>
            <w:r>
              <w:rPr>
                <w:rFonts w:ascii="Arial" w:cs="Arial" w:eastAsia="Arial" w:hAnsi="Arial"/>
                <w:sz w:val="14"/>
                <w:szCs w:val="14"/>
                <w:b w:val="1"/>
                <w:bCs w:val="1"/>
                <w:color w:val="auto"/>
              </w:rPr>
              <w:t>Pub</w:t>
            </w:r>
          </w:p>
        </w:tc>
        <w:tc>
          <w:tcPr>
            <w:tcW w:w="740" w:type="dxa"/>
            <w:vAlign w:val="bottom"/>
            <w:tcBorders>
              <w:top w:val="single" w:sz="8" w:color="auto"/>
              <w:right w:val="single" w:sz="8" w:color="auto"/>
            </w:tcBorders>
          </w:tcPr>
          <w:p>
            <w:pPr>
              <w:spacing w:after="0" w:line="139" w:lineRule="exact"/>
              <w:rPr>
                <w:sz w:val="20"/>
                <w:szCs w:val="20"/>
                <w:color w:val="auto"/>
              </w:rPr>
            </w:pPr>
            <w:r>
              <w:rPr>
                <w:rFonts w:ascii="Arial" w:cs="Arial" w:eastAsia="Arial" w:hAnsi="Arial"/>
                <w:sz w:val="14"/>
                <w:szCs w:val="14"/>
                <w:b w:val="1"/>
                <w:bCs w:val="1"/>
                <w:color w:val="auto"/>
              </w:rPr>
              <w:t>Issued</w:t>
            </w:r>
          </w:p>
        </w:tc>
        <w:tc>
          <w:tcPr>
            <w:tcW w:w="760" w:type="dxa"/>
            <w:vAlign w:val="bottom"/>
            <w:tcBorders>
              <w:top w:val="single" w:sz="8" w:color="auto"/>
              <w:right w:val="single" w:sz="8" w:color="auto"/>
            </w:tcBorders>
          </w:tcPr>
          <w:p>
            <w:pPr>
              <w:spacing w:after="0" w:line="139" w:lineRule="exact"/>
              <w:rPr>
                <w:sz w:val="20"/>
                <w:szCs w:val="20"/>
                <w:color w:val="auto"/>
              </w:rPr>
            </w:pPr>
            <w:r>
              <w:rPr>
                <w:rFonts w:ascii="Arial" w:cs="Arial" w:eastAsia="Arial" w:hAnsi="Arial"/>
                <w:sz w:val="14"/>
                <w:szCs w:val="14"/>
                <w:b w:val="1"/>
                <w:bCs w:val="1"/>
                <w:color w:val="auto"/>
              </w:rPr>
              <w:t>Patent</w:t>
            </w:r>
          </w:p>
        </w:tc>
        <w:tc>
          <w:tcPr>
            <w:tcW w:w="1080" w:type="dxa"/>
            <w:vAlign w:val="bottom"/>
            <w:tcBorders>
              <w:top w:val="single" w:sz="8" w:color="auto"/>
              <w:right w:val="single" w:sz="8" w:color="auto"/>
            </w:tcBorders>
          </w:tcPr>
          <w:p>
            <w:pPr>
              <w:spacing w:after="0" w:line="139" w:lineRule="exact"/>
              <w:rPr>
                <w:sz w:val="20"/>
                <w:szCs w:val="20"/>
                <w:color w:val="auto"/>
              </w:rPr>
            </w:pPr>
            <w:r>
              <w:rPr>
                <w:rFonts w:ascii="Arial" w:cs="Arial" w:eastAsia="Arial" w:hAnsi="Arial"/>
                <w:sz w:val="14"/>
                <w:szCs w:val="14"/>
                <w:b w:val="1"/>
                <w:bCs w:val="1"/>
                <w:color w:val="auto"/>
              </w:rPr>
              <w:t>Status</w:t>
            </w:r>
          </w:p>
        </w:tc>
      </w:tr>
      <w:tr>
        <w:trPr>
          <w:trHeight w:val="186"/>
        </w:trPr>
        <w:tc>
          <w:tcPr>
            <w:tcW w:w="10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4"/>
                <w:szCs w:val="14"/>
                <w:b w:val="1"/>
                <w:bCs w:val="1"/>
                <w:color w:val="auto"/>
              </w:rPr>
              <w:t>Reference</w:t>
            </w:r>
          </w:p>
        </w:tc>
        <w:tc>
          <w:tcPr>
            <w:tcW w:w="920" w:type="dxa"/>
            <w:vAlign w:val="bottom"/>
            <w:tcBorders>
              <w:right w:val="single" w:sz="8" w:color="auto"/>
            </w:tcBorders>
          </w:tcPr>
          <w:p>
            <w:pPr>
              <w:spacing w:after="0"/>
              <w:rPr>
                <w:sz w:val="16"/>
                <w:szCs w:val="16"/>
                <w:color w:val="auto"/>
              </w:rPr>
            </w:pPr>
          </w:p>
        </w:tc>
        <w:tc>
          <w:tcPr>
            <w:tcW w:w="2420" w:type="dxa"/>
            <w:vAlign w:val="bottom"/>
            <w:tcBorders>
              <w:right w:val="single" w:sz="8" w:color="auto"/>
            </w:tcBorders>
          </w:tcPr>
          <w:p>
            <w:pPr>
              <w:spacing w:after="0"/>
              <w:rPr>
                <w:sz w:val="16"/>
                <w:szCs w:val="16"/>
                <w:color w:val="auto"/>
              </w:rPr>
            </w:pPr>
          </w:p>
        </w:tc>
        <w:tc>
          <w:tcPr>
            <w:tcW w:w="1160" w:type="dxa"/>
            <w:vAlign w:val="bottom"/>
            <w:tcBorders>
              <w:right w:val="single" w:sz="8" w:color="auto"/>
            </w:tcBorders>
          </w:tcPr>
          <w:p>
            <w:pPr>
              <w:spacing w:after="0"/>
              <w:rPr>
                <w:sz w:val="20"/>
                <w:szCs w:val="20"/>
                <w:color w:val="auto"/>
              </w:rPr>
            </w:pPr>
            <w:r>
              <w:rPr>
                <w:rFonts w:ascii="Arial" w:cs="Arial" w:eastAsia="Arial" w:hAnsi="Arial"/>
                <w:sz w:val="14"/>
                <w:szCs w:val="14"/>
                <w:b w:val="1"/>
                <w:bCs w:val="1"/>
                <w:color w:val="auto"/>
              </w:rPr>
              <w:t>Date</w:t>
            </w:r>
          </w:p>
        </w:tc>
        <w:tc>
          <w:tcPr>
            <w:tcW w:w="1340" w:type="dxa"/>
            <w:vAlign w:val="bottom"/>
            <w:tcBorders>
              <w:right w:val="single" w:sz="8" w:color="auto"/>
            </w:tcBorders>
          </w:tcPr>
          <w:p>
            <w:pPr>
              <w:spacing w:after="0"/>
              <w:rPr>
                <w:sz w:val="20"/>
                <w:szCs w:val="20"/>
                <w:color w:val="auto"/>
              </w:rPr>
            </w:pPr>
            <w:r>
              <w:rPr>
                <w:rFonts w:ascii="Arial" w:cs="Arial" w:eastAsia="Arial" w:hAnsi="Arial"/>
                <w:sz w:val="14"/>
                <w:szCs w:val="14"/>
                <w:b w:val="1"/>
                <w:bCs w:val="1"/>
                <w:color w:val="auto"/>
              </w:rPr>
              <w:t>No.</w:t>
            </w:r>
          </w:p>
        </w:tc>
        <w:tc>
          <w:tcPr>
            <w:tcW w:w="600" w:type="dxa"/>
            <w:vAlign w:val="bottom"/>
            <w:tcBorders>
              <w:right w:val="single" w:sz="8" w:color="auto"/>
            </w:tcBorders>
          </w:tcPr>
          <w:p>
            <w:pPr>
              <w:spacing w:after="0"/>
              <w:rPr>
                <w:sz w:val="20"/>
                <w:szCs w:val="20"/>
                <w:color w:val="auto"/>
              </w:rPr>
            </w:pPr>
            <w:r>
              <w:rPr>
                <w:rFonts w:ascii="Arial" w:cs="Arial" w:eastAsia="Arial" w:hAnsi="Arial"/>
                <w:sz w:val="14"/>
                <w:szCs w:val="14"/>
                <w:b w:val="1"/>
                <w:bCs w:val="1"/>
                <w:color w:val="auto"/>
              </w:rPr>
              <w:t>Date</w:t>
            </w:r>
          </w:p>
        </w:tc>
        <w:tc>
          <w:tcPr>
            <w:tcW w:w="1340" w:type="dxa"/>
            <w:vAlign w:val="bottom"/>
            <w:tcBorders>
              <w:right w:val="single" w:sz="8" w:color="auto"/>
            </w:tcBorders>
          </w:tcPr>
          <w:p>
            <w:pPr>
              <w:spacing w:after="0"/>
              <w:rPr>
                <w:sz w:val="20"/>
                <w:szCs w:val="20"/>
                <w:color w:val="auto"/>
              </w:rPr>
            </w:pPr>
            <w:r>
              <w:rPr>
                <w:rFonts w:ascii="Arial" w:cs="Arial" w:eastAsia="Arial" w:hAnsi="Arial"/>
                <w:sz w:val="14"/>
                <w:szCs w:val="14"/>
                <w:b w:val="1"/>
                <w:bCs w:val="1"/>
                <w:color w:val="auto"/>
              </w:rPr>
              <w:t>No.</w:t>
            </w:r>
          </w:p>
        </w:tc>
        <w:tc>
          <w:tcPr>
            <w:tcW w:w="740" w:type="dxa"/>
            <w:vAlign w:val="bottom"/>
            <w:tcBorders>
              <w:right w:val="single" w:sz="8" w:color="auto"/>
            </w:tcBorders>
          </w:tcPr>
          <w:p>
            <w:pPr>
              <w:spacing w:after="0"/>
              <w:rPr>
                <w:sz w:val="20"/>
                <w:szCs w:val="20"/>
                <w:color w:val="auto"/>
              </w:rPr>
            </w:pPr>
            <w:r>
              <w:rPr>
                <w:rFonts w:ascii="Arial" w:cs="Arial" w:eastAsia="Arial" w:hAnsi="Arial"/>
                <w:sz w:val="14"/>
                <w:szCs w:val="14"/>
                <w:b w:val="1"/>
                <w:bCs w:val="1"/>
                <w:color w:val="auto"/>
              </w:rPr>
              <w:t>Date</w:t>
            </w:r>
          </w:p>
        </w:tc>
        <w:tc>
          <w:tcPr>
            <w:tcW w:w="760" w:type="dxa"/>
            <w:vAlign w:val="bottom"/>
            <w:tcBorders>
              <w:right w:val="single" w:sz="8" w:color="auto"/>
            </w:tcBorders>
          </w:tcPr>
          <w:p>
            <w:pPr>
              <w:spacing w:after="0"/>
              <w:rPr>
                <w:sz w:val="20"/>
                <w:szCs w:val="20"/>
                <w:color w:val="auto"/>
              </w:rPr>
            </w:pPr>
            <w:r>
              <w:rPr>
                <w:rFonts w:ascii="Arial" w:cs="Arial" w:eastAsia="Arial" w:hAnsi="Arial"/>
                <w:sz w:val="14"/>
                <w:szCs w:val="14"/>
                <w:b w:val="1"/>
                <w:bCs w:val="1"/>
                <w:color w:val="auto"/>
              </w:rPr>
              <w:t>No.</w:t>
            </w:r>
          </w:p>
        </w:tc>
        <w:tc>
          <w:tcPr>
            <w:tcW w:w="1080" w:type="dxa"/>
            <w:vAlign w:val="bottom"/>
            <w:tcBorders>
              <w:right w:val="single" w:sz="8" w:color="auto"/>
            </w:tcBorders>
          </w:tcPr>
          <w:p>
            <w:pPr>
              <w:spacing w:after="0"/>
              <w:rPr>
                <w:sz w:val="16"/>
                <w:szCs w:val="16"/>
                <w:color w:val="auto"/>
              </w:rPr>
            </w:pPr>
          </w:p>
        </w:tc>
      </w:tr>
      <w:tr>
        <w:trPr>
          <w:trHeight w:val="201"/>
        </w:trPr>
        <w:tc>
          <w:tcPr>
            <w:tcW w:w="1060" w:type="dxa"/>
            <w:vAlign w:val="bottom"/>
            <w:tcBorders>
              <w:left w:val="single" w:sz="8" w:color="auto"/>
              <w:bottom w:val="single" w:sz="8" w:color="auto"/>
              <w:right w:val="single" w:sz="8" w:color="auto"/>
            </w:tcBorders>
          </w:tcPr>
          <w:p>
            <w:pPr>
              <w:spacing w:after="0"/>
              <w:rPr>
                <w:sz w:val="17"/>
                <w:szCs w:val="17"/>
                <w:color w:val="auto"/>
              </w:rPr>
            </w:pPr>
          </w:p>
        </w:tc>
        <w:tc>
          <w:tcPr>
            <w:tcW w:w="920" w:type="dxa"/>
            <w:vAlign w:val="bottom"/>
            <w:tcBorders>
              <w:bottom w:val="single" w:sz="8" w:color="auto"/>
              <w:right w:val="single" w:sz="8" w:color="auto"/>
            </w:tcBorders>
          </w:tcPr>
          <w:p>
            <w:pPr>
              <w:spacing w:after="0"/>
              <w:rPr>
                <w:sz w:val="17"/>
                <w:szCs w:val="17"/>
                <w:color w:val="auto"/>
              </w:rPr>
            </w:pPr>
          </w:p>
        </w:tc>
        <w:tc>
          <w:tcPr>
            <w:tcW w:w="2420" w:type="dxa"/>
            <w:vAlign w:val="bottom"/>
            <w:tcBorders>
              <w:bottom w:val="single" w:sz="8" w:color="auto"/>
              <w:right w:val="single" w:sz="8" w:color="auto"/>
            </w:tcBorders>
          </w:tcPr>
          <w:p>
            <w:pPr>
              <w:spacing w:after="0"/>
              <w:rPr>
                <w:sz w:val="17"/>
                <w:szCs w:val="17"/>
                <w:color w:val="auto"/>
              </w:rPr>
            </w:pPr>
          </w:p>
        </w:tc>
        <w:tc>
          <w:tcPr>
            <w:tcW w:w="1160" w:type="dxa"/>
            <w:vAlign w:val="bottom"/>
            <w:tcBorders>
              <w:bottom w:val="single" w:sz="8" w:color="auto"/>
              <w:right w:val="single" w:sz="8" w:color="auto"/>
            </w:tcBorders>
          </w:tcPr>
          <w:p>
            <w:pPr>
              <w:spacing w:after="0"/>
              <w:rPr>
                <w:sz w:val="17"/>
                <w:szCs w:val="17"/>
                <w:color w:val="auto"/>
              </w:rPr>
            </w:pPr>
          </w:p>
        </w:tc>
        <w:tc>
          <w:tcPr>
            <w:tcW w:w="1340" w:type="dxa"/>
            <w:vAlign w:val="bottom"/>
            <w:tcBorders>
              <w:bottom w:val="single" w:sz="8" w:color="auto"/>
              <w:right w:val="single" w:sz="8" w:color="auto"/>
            </w:tcBorders>
          </w:tcPr>
          <w:p>
            <w:pPr>
              <w:spacing w:after="0"/>
              <w:rPr>
                <w:sz w:val="17"/>
                <w:szCs w:val="17"/>
                <w:color w:val="auto"/>
              </w:rPr>
            </w:pPr>
          </w:p>
        </w:tc>
        <w:tc>
          <w:tcPr>
            <w:tcW w:w="600" w:type="dxa"/>
            <w:vAlign w:val="bottom"/>
            <w:tcBorders>
              <w:bottom w:val="single" w:sz="8" w:color="auto"/>
              <w:right w:val="single" w:sz="8" w:color="auto"/>
            </w:tcBorders>
          </w:tcPr>
          <w:p>
            <w:pPr>
              <w:spacing w:after="0"/>
              <w:rPr>
                <w:sz w:val="17"/>
                <w:szCs w:val="17"/>
                <w:color w:val="auto"/>
              </w:rPr>
            </w:pPr>
          </w:p>
        </w:tc>
        <w:tc>
          <w:tcPr>
            <w:tcW w:w="1340" w:type="dxa"/>
            <w:vAlign w:val="bottom"/>
            <w:tcBorders>
              <w:bottom w:val="single" w:sz="8" w:color="auto"/>
              <w:right w:val="single" w:sz="8" w:color="auto"/>
            </w:tcBorders>
          </w:tcPr>
          <w:p>
            <w:pPr>
              <w:spacing w:after="0"/>
              <w:rPr>
                <w:sz w:val="17"/>
                <w:szCs w:val="17"/>
                <w:color w:val="auto"/>
              </w:rPr>
            </w:pPr>
          </w:p>
        </w:tc>
        <w:tc>
          <w:tcPr>
            <w:tcW w:w="740" w:type="dxa"/>
            <w:vAlign w:val="bottom"/>
            <w:tcBorders>
              <w:bottom w:val="single" w:sz="8" w:color="auto"/>
              <w:right w:val="single" w:sz="8" w:color="auto"/>
            </w:tcBorders>
          </w:tcPr>
          <w:p>
            <w:pPr>
              <w:spacing w:after="0"/>
              <w:rPr>
                <w:sz w:val="17"/>
                <w:szCs w:val="17"/>
                <w:color w:val="auto"/>
              </w:rPr>
            </w:pPr>
          </w:p>
        </w:tc>
        <w:tc>
          <w:tcPr>
            <w:tcW w:w="760" w:type="dxa"/>
            <w:vAlign w:val="bottom"/>
            <w:tcBorders>
              <w:bottom w:val="single" w:sz="8" w:color="auto"/>
              <w:right w:val="single" w:sz="8" w:color="auto"/>
            </w:tcBorders>
          </w:tcPr>
          <w:p>
            <w:pPr>
              <w:spacing w:after="0"/>
              <w:rPr>
                <w:sz w:val="17"/>
                <w:szCs w:val="17"/>
                <w:color w:val="auto"/>
              </w:rPr>
            </w:pPr>
          </w:p>
        </w:tc>
        <w:tc>
          <w:tcPr>
            <w:tcW w:w="1080" w:type="dxa"/>
            <w:vAlign w:val="bottom"/>
            <w:tcBorders>
              <w:bottom w:val="single" w:sz="8" w:color="auto"/>
              <w:right w:val="single" w:sz="8" w:color="auto"/>
            </w:tcBorders>
          </w:tcPr>
          <w:p>
            <w:pPr>
              <w:spacing w:after="0"/>
              <w:rPr>
                <w:sz w:val="17"/>
                <w:szCs w:val="17"/>
                <w:color w:val="auto"/>
              </w:rPr>
            </w:pPr>
          </w:p>
        </w:tc>
      </w:tr>
      <w:tr>
        <w:trPr>
          <w:trHeight w:val="244"/>
        </w:trPr>
        <w:tc>
          <w:tcPr>
            <w:tcW w:w="10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w:t>
            </w:r>
          </w:p>
        </w:tc>
        <w:tc>
          <w:tcPr>
            <w:tcW w:w="92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w:t>
            </w:r>
          </w:p>
        </w:tc>
        <w:tc>
          <w:tcPr>
            <w:tcW w:w="242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w:t>
            </w:r>
          </w:p>
        </w:tc>
        <w:tc>
          <w:tcPr>
            <w:tcW w:w="116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w:t>
            </w:r>
          </w:p>
        </w:tc>
        <w:tc>
          <w:tcPr>
            <w:tcW w:w="134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w:t>
            </w:r>
          </w:p>
        </w:tc>
        <w:tc>
          <w:tcPr>
            <w:tcW w:w="60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w:t>
            </w:r>
          </w:p>
        </w:tc>
        <w:tc>
          <w:tcPr>
            <w:tcW w:w="134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w:t>
            </w:r>
          </w:p>
        </w:tc>
        <w:tc>
          <w:tcPr>
            <w:tcW w:w="740" w:type="dxa"/>
            <w:vAlign w:val="bottom"/>
          </w:tcPr>
          <w:p>
            <w:pPr>
              <w:spacing w:after="0"/>
              <w:rPr>
                <w:sz w:val="20"/>
                <w:szCs w:val="20"/>
                <w:color w:val="auto"/>
              </w:rPr>
            </w:pPr>
            <w:r>
              <w:rPr>
                <w:rFonts w:ascii="Arial" w:cs="Arial" w:eastAsia="Arial" w:hAnsi="Arial"/>
                <w:sz w:val="20"/>
                <w:szCs w:val="20"/>
                <w:color w:val="auto"/>
              </w:rPr>
              <w:t>[†]</w:t>
            </w:r>
          </w:p>
        </w:tc>
        <w:tc>
          <w:tcPr>
            <w:tcW w:w="760" w:type="dxa"/>
            <w:vAlign w:val="bottom"/>
          </w:tcPr>
          <w:p>
            <w:pPr>
              <w:spacing w:after="0"/>
              <w:rPr>
                <w:sz w:val="21"/>
                <w:szCs w:val="21"/>
                <w:color w:val="auto"/>
              </w:rPr>
            </w:pPr>
          </w:p>
        </w:tc>
        <w:tc>
          <w:tcPr>
            <w:tcW w:w="1080" w:type="dxa"/>
            <w:vAlign w:val="bottom"/>
            <w:tcBorders>
              <w:right w:val="single" w:sz="8" w:color="auto"/>
            </w:tcBorders>
          </w:tcPr>
          <w:p>
            <w:pPr>
              <w:spacing w:after="0"/>
              <w:rPr>
                <w:sz w:val="21"/>
                <w:szCs w:val="21"/>
                <w:color w:val="auto"/>
              </w:rPr>
            </w:pPr>
          </w:p>
        </w:tc>
      </w:tr>
      <w:tr>
        <w:trPr>
          <w:trHeight w:val="357"/>
        </w:trPr>
        <w:tc>
          <w:tcPr>
            <w:tcW w:w="1060" w:type="dxa"/>
            <w:vAlign w:val="bottom"/>
            <w:tcBorders>
              <w:left w:val="single" w:sz="8" w:color="auto"/>
              <w:bottom w:val="single" w:sz="8" w:color="auto"/>
              <w:right w:val="single" w:sz="8" w:color="auto"/>
            </w:tcBorders>
          </w:tcPr>
          <w:p>
            <w:pPr>
              <w:spacing w:after="0"/>
              <w:rPr>
                <w:sz w:val="24"/>
                <w:szCs w:val="24"/>
                <w:color w:val="auto"/>
              </w:rPr>
            </w:pPr>
          </w:p>
        </w:tc>
        <w:tc>
          <w:tcPr>
            <w:tcW w:w="920" w:type="dxa"/>
            <w:vAlign w:val="bottom"/>
            <w:tcBorders>
              <w:bottom w:val="single" w:sz="8" w:color="auto"/>
              <w:right w:val="single" w:sz="8" w:color="auto"/>
            </w:tcBorders>
          </w:tcPr>
          <w:p>
            <w:pPr>
              <w:spacing w:after="0"/>
              <w:rPr>
                <w:sz w:val="24"/>
                <w:szCs w:val="24"/>
                <w:color w:val="auto"/>
              </w:rPr>
            </w:pPr>
          </w:p>
        </w:tc>
        <w:tc>
          <w:tcPr>
            <w:tcW w:w="2420" w:type="dxa"/>
            <w:vAlign w:val="bottom"/>
            <w:tcBorders>
              <w:bottom w:val="single" w:sz="8" w:color="auto"/>
              <w:right w:val="single" w:sz="8" w:color="auto"/>
            </w:tcBorders>
          </w:tcPr>
          <w:p>
            <w:pPr>
              <w:spacing w:after="0"/>
              <w:rPr>
                <w:sz w:val="24"/>
                <w:szCs w:val="24"/>
                <w:color w:val="auto"/>
              </w:rPr>
            </w:pPr>
          </w:p>
        </w:tc>
        <w:tc>
          <w:tcPr>
            <w:tcW w:w="1160" w:type="dxa"/>
            <w:vAlign w:val="bottom"/>
            <w:tcBorders>
              <w:bottom w:val="single" w:sz="8" w:color="auto"/>
              <w:right w:val="single" w:sz="8" w:color="auto"/>
            </w:tcBorders>
          </w:tcPr>
          <w:p>
            <w:pPr>
              <w:spacing w:after="0"/>
              <w:rPr>
                <w:sz w:val="24"/>
                <w:szCs w:val="24"/>
                <w:color w:val="auto"/>
              </w:rPr>
            </w:pPr>
          </w:p>
        </w:tc>
        <w:tc>
          <w:tcPr>
            <w:tcW w:w="1340" w:type="dxa"/>
            <w:vAlign w:val="bottom"/>
            <w:tcBorders>
              <w:bottom w:val="single" w:sz="8" w:color="auto"/>
              <w:right w:val="single" w:sz="8" w:color="auto"/>
            </w:tcBorders>
          </w:tcPr>
          <w:p>
            <w:pPr>
              <w:spacing w:after="0"/>
              <w:rPr>
                <w:sz w:val="24"/>
                <w:szCs w:val="24"/>
                <w:color w:val="auto"/>
              </w:rPr>
            </w:pPr>
          </w:p>
        </w:tc>
        <w:tc>
          <w:tcPr>
            <w:tcW w:w="600" w:type="dxa"/>
            <w:vAlign w:val="bottom"/>
            <w:tcBorders>
              <w:bottom w:val="single" w:sz="8" w:color="auto"/>
              <w:right w:val="single" w:sz="8" w:color="auto"/>
            </w:tcBorders>
          </w:tcPr>
          <w:p>
            <w:pPr>
              <w:spacing w:after="0"/>
              <w:rPr>
                <w:sz w:val="24"/>
                <w:szCs w:val="24"/>
                <w:color w:val="auto"/>
              </w:rPr>
            </w:pPr>
          </w:p>
        </w:tc>
        <w:tc>
          <w:tcPr>
            <w:tcW w:w="1340" w:type="dxa"/>
            <w:vAlign w:val="bottom"/>
            <w:tcBorders>
              <w:bottom w:val="single" w:sz="8" w:color="auto"/>
              <w:right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0"/>
                <w:szCs w:val="20"/>
                <w:color w:val="auto"/>
              </w:rPr>
            </w:pPr>
            <w:r>
              <w:rPr>
                <w:rFonts w:ascii="Arial" w:cs="Arial" w:eastAsia="Arial" w:hAnsi="Arial"/>
                <w:sz w:val="20"/>
                <w:szCs w:val="20"/>
                <w:color w:val="auto"/>
              </w:rPr>
              <w:t>[†]</w:t>
            </w:r>
          </w:p>
        </w:tc>
        <w:tc>
          <w:tcPr>
            <w:tcW w:w="760" w:type="dxa"/>
            <w:vAlign w:val="bottom"/>
            <w:tcBorders>
              <w:bottom w:val="single" w:sz="8" w:color="auto"/>
            </w:tcBorders>
          </w:tcPr>
          <w:p>
            <w:pPr>
              <w:spacing w:after="0"/>
              <w:rPr>
                <w:sz w:val="24"/>
                <w:szCs w:val="24"/>
                <w:color w:val="auto"/>
              </w:rPr>
            </w:pPr>
          </w:p>
        </w:tc>
        <w:tc>
          <w:tcPr>
            <w:tcW w:w="1080" w:type="dxa"/>
            <w:vAlign w:val="bottom"/>
            <w:tcBorders>
              <w:bottom w:val="single" w:sz="8" w:color="auto"/>
              <w:right w:val="single" w:sz="8" w:color="auto"/>
            </w:tcBorders>
          </w:tcPr>
          <w:p>
            <w:pPr>
              <w:spacing w:after="0"/>
              <w:rPr>
                <w:sz w:val="24"/>
                <w:szCs w:val="24"/>
                <w:color w:val="auto"/>
              </w:rPr>
            </w:pPr>
          </w:p>
        </w:tc>
      </w:tr>
      <w:tr>
        <w:trPr>
          <w:trHeight w:val="244"/>
        </w:trPr>
        <w:tc>
          <w:tcPr>
            <w:tcW w:w="10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w:t>
            </w:r>
          </w:p>
        </w:tc>
        <w:tc>
          <w:tcPr>
            <w:tcW w:w="92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w:t>
            </w:r>
          </w:p>
        </w:tc>
        <w:tc>
          <w:tcPr>
            <w:tcW w:w="242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w:t>
            </w:r>
          </w:p>
        </w:tc>
        <w:tc>
          <w:tcPr>
            <w:tcW w:w="116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w:t>
            </w:r>
          </w:p>
        </w:tc>
        <w:tc>
          <w:tcPr>
            <w:tcW w:w="134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w:t>
            </w:r>
          </w:p>
        </w:tc>
        <w:tc>
          <w:tcPr>
            <w:tcW w:w="60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w:t>
            </w:r>
          </w:p>
        </w:tc>
        <w:tc>
          <w:tcPr>
            <w:tcW w:w="134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w:t>
            </w:r>
          </w:p>
        </w:tc>
        <w:tc>
          <w:tcPr>
            <w:tcW w:w="740" w:type="dxa"/>
            <w:vAlign w:val="bottom"/>
            <w:tcBorders>
              <w:right w:val="single" w:sz="8" w:color="auto"/>
            </w:tcBorders>
          </w:tcPr>
          <w:p>
            <w:pPr>
              <w:spacing w:after="0"/>
              <w:rPr>
                <w:sz w:val="21"/>
                <w:szCs w:val="21"/>
                <w:color w:val="auto"/>
              </w:rPr>
            </w:pPr>
          </w:p>
        </w:tc>
        <w:tc>
          <w:tcPr>
            <w:tcW w:w="760" w:type="dxa"/>
            <w:vAlign w:val="bottom"/>
            <w:tcBorders>
              <w:right w:val="single" w:sz="8" w:color="auto"/>
            </w:tcBorders>
          </w:tcPr>
          <w:p>
            <w:pPr>
              <w:spacing w:after="0"/>
              <w:rPr>
                <w:sz w:val="21"/>
                <w:szCs w:val="21"/>
                <w:color w:val="auto"/>
              </w:rPr>
            </w:pPr>
          </w:p>
        </w:tc>
        <w:tc>
          <w:tcPr>
            <w:tcW w:w="108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w:t>
            </w:r>
          </w:p>
        </w:tc>
      </w:tr>
      <w:tr>
        <w:trPr>
          <w:trHeight w:val="60"/>
        </w:trPr>
        <w:tc>
          <w:tcPr>
            <w:tcW w:w="1060" w:type="dxa"/>
            <w:vAlign w:val="bottom"/>
            <w:tcBorders>
              <w:left w:val="single" w:sz="8" w:color="auto"/>
              <w:bottom w:val="single" w:sz="8" w:color="auto"/>
              <w:right w:val="single" w:sz="8" w:color="auto"/>
            </w:tcBorders>
          </w:tcPr>
          <w:p>
            <w:pPr>
              <w:spacing w:after="0"/>
              <w:rPr>
                <w:sz w:val="5"/>
                <w:szCs w:val="5"/>
                <w:color w:val="auto"/>
              </w:rPr>
            </w:pPr>
          </w:p>
        </w:tc>
        <w:tc>
          <w:tcPr>
            <w:tcW w:w="920" w:type="dxa"/>
            <w:vAlign w:val="bottom"/>
            <w:tcBorders>
              <w:bottom w:val="single" w:sz="8" w:color="auto"/>
              <w:right w:val="single" w:sz="8" w:color="auto"/>
            </w:tcBorders>
          </w:tcPr>
          <w:p>
            <w:pPr>
              <w:spacing w:after="0"/>
              <w:rPr>
                <w:sz w:val="5"/>
                <w:szCs w:val="5"/>
                <w:color w:val="auto"/>
              </w:rPr>
            </w:pPr>
          </w:p>
        </w:tc>
        <w:tc>
          <w:tcPr>
            <w:tcW w:w="2420" w:type="dxa"/>
            <w:vAlign w:val="bottom"/>
            <w:tcBorders>
              <w:bottom w:val="single" w:sz="8" w:color="auto"/>
              <w:right w:val="single" w:sz="8" w:color="auto"/>
            </w:tcBorders>
          </w:tcPr>
          <w:p>
            <w:pPr>
              <w:spacing w:after="0"/>
              <w:rPr>
                <w:sz w:val="5"/>
                <w:szCs w:val="5"/>
                <w:color w:val="auto"/>
              </w:rPr>
            </w:pPr>
          </w:p>
        </w:tc>
        <w:tc>
          <w:tcPr>
            <w:tcW w:w="1160" w:type="dxa"/>
            <w:vAlign w:val="bottom"/>
            <w:tcBorders>
              <w:bottom w:val="single" w:sz="8" w:color="auto"/>
              <w:right w:val="single" w:sz="8" w:color="auto"/>
            </w:tcBorders>
          </w:tcPr>
          <w:p>
            <w:pPr>
              <w:spacing w:after="0"/>
              <w:rPr>
                <w:sz w:val="5"/>
                <w:szCs w:val="5"/>
                <w:color w:val="auto"/>
              </w:rPr>
            </w:pPr>
          </w:p>
        </w:tc>
        <w:tc>
          <w:tcPr>
            <w:tcW w:w="1340" w:type="dxa"/>
            <w:vAlign w:val="bottom"/>
            <w:tcBorders>
              <w:bottom w:val="single" w:sz="8" w:color="auto"/>
              <w:right w:val="single" w:sz="8" w:color="auto"/>
            </w:tcBorders>
          </w:tcPr>
          <w:p>
            <w:pPr>
              <w:spacing w:after="0"/>
              <w:rPr>
                <w:sz w:val="5"/>
                <w:szCs w:val="5"/>
                <w:color w:val="auto"/>
              </w:rPr>
            </w:pPr>
          </w:p>
        </w:tc>
        <w:tc>
          <w:tcPr>
            <w:tcW w:w="600" w:type="dxa"/>
            <w:vAlign w:val="bottom"/>
            <w:tcBorders>
              <w:bottom w:val="single" w:sz="8" w:color="auto"/>
              <w:right w:val="single" w:sz="8" w:color="auto"/>
            </w:tcBorders>
          </w:tcPr>
          <w:p>
            <w:pPr>
              <w:spacing w:after="0"/>
              <w:rPr>
                <w:sz w:val="5"/>
                <w:szCs w:val="5"/>
                <w:color w:val="auto"/>
              </w:rPr>
            </w:pPr>
          </w:p>
        </w:tc>
        <w:tc>
          <w:tcPr>
            <w:tcW w:w="1340" w:type="dxa"/>
            <w:vAlign w:val="bottom"/>
            <w:tcBorders>
              <w:bottom w:val="single" w:sz="8" w:color="auto"/>
              <w:right w:val="single" w:sz="8" w:color="auto"/>
            </w:tcBorders>
          </w:tcPr>
          <w:p>
            <w:pPr>
              <w:spacing w:after="0"/>
              <w:rPr>
                <w:sz w:val="5"/>
                <w:szCs w:val="5"/>
                <w:color w:val="auto"/>
              </w:rPr>
            </w:pPr>
          </w:p>
        </w:tc>
        <w:tc>
          <w:tcPr>
            <w:tcW w:w="740" w:type="dxa"/>
            <w:vAlign w:val="bottom"/>
            <w:tcBorders>
              <w:bottom w:val="single" w:sz="8" w:color="auto"/>
              <w:right w:val="single" w:sz="8" w:color="auto"/>
            </w:tcBorders>
          </w:tcPr>
          <w:p>
            <w:pPr>
              <w:spacing w:after="0"/>
              <w:rPr>
                <w:sz w:val="5"/>
                <w:szCs w:val="5"/>
                <w:color w:val="auto"/>
              </w:rPr>
            </w:pPr>
          </w:p>
        </w:tc>
        <w:tc>
          <w:tcPr>
            <w:tcW w:w="760" w:type="dxa"/>
            <w:vAlign w:val="bottom"/>
            <w:tcBorders>
              <w:bottom w:val="single" w:sz="8" w:color="auto"/>
              <w:right w:val="single" w:sz="8" w:color="auto"/>
            </w:tcBorders>
          </w:tcPr>
          <w:p>
            <w:pPr>
              <w:spacing w:after="0"/>
              <w:rPr>
                <w:sz w:val="5"/>
                <w:szCs w:val="5"/>
                <w:color w:val="auto"/>
              </w:rPr>
            </w:pPr>
          </w:p>
        </w:tc>
        <w:tc>
          <w:tcPr>
            <w:tcW w:w="1080" w:type="dxa"/>
            <w:vAlign w:val="bottom"/>
            <w:tcBorders>
              <w:bottom w:val="single" w:sz="8" w:color="auto"/>
              <w:right w:val="single" w:sz="8" w:color="auto"/>
            </w:tcBorders>
          </w:tcPr>
          <w:p>
            <w:pPr>
              <w:spacing w:after="0"/>
              <w:rPr>
                <w:sz w:val="5"/>
                <w:szCs w:val="5"/>
                <w:color w:val="auto"/>
              </w:rPr>
            </w:pPr>
          </w:p>
        </w:tc>
      </w:tr>
      <w:tr>
        <w:trPr>
          <w:trHeight w:val="244"/>
        </w:trPr>
        <w:tc>
          <w:tcPr>
            <w:tcW w:w="10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w:t>
            </w:r>
          </w:p>
        </w:tc>
        <w:tc>
          <w:tcPr>
            <w:tcW w:w="92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w:t>
            </w:r>
          </w:p>
        </w:tc>
        <w:tc>
          <w:tcPr>
            <w:tcW w:w="242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w:t>
            </w:r>
          </w:p>
        </w:tc>
        <w:tc>
          <w:tcPr>
            <w:tcW w:w="116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w:t>
            </w:r>
          </w:p>
        </w:tc>
        <w:tc>
          <w:tcPr>
            <w:tcW w:w="134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w:t>
            </w:r>
          </w:p>
        </w:tc>
        <w:tc>
          <w:tcPr>
            <w:tcW w:w="60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w:t>
            </w:r>
          </w:p>
        </w:tc>
        <w:tc>
          <w:tcPr>
            <w:tcW w:w="134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w:t>
            </w:r>
          </w:p>
        </w:tc>
        <w:tc>
          <w:tcPr>
            <w:tcW w:w="740" w:type="dxa"/>
            <w:vAlign w:val="bottom"/>
            <w:tcBorders>
              <w:right w:val="single" w:sz="8" w:color="auto"/>
            </w:tcBorders>
          </w:tcPr>
          <w:p>
            <w:pPr>
              <w:spacing w:after="0"/>
              <w:rPr>
                <w:sz w:val="21"/>
                <w:szCs w:val="21"/>
                <w:color w:val="auto"/>
              </w:rPr>
            </w:pPr>
          </w:p>
        </w:tc>
        <w:tc>
          <w:tcPr>
            <w:tcW w:w="760" w:type="dxa"/>
            <w:vAlign w:val="bottom"/>
            <w:tcBorders>
              <w:right w:val="single" w:sz="8" w:color="auto"/>
            </w:tcBorders>
          </w:tcPr>
          <w:p>
            <w:pPr>
              <w:spacing w:after="0"/>
              <w:rPr>
                <w:sz w:val="21"/>
                <w:szCs w:val="21"/>
                <w:color w:val="auto"/>
              </w:rPr>
            </w:pPr>
          </w:p>
        </w:tc>
        <w:tc>
          <w:tcPr>
            <w:tcW w:w="108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w:t>
            </w:r>
          </w:p>
        </w:tc>
      </w:tr>
      <w:tr>
        <w:trPr>
          <w:trHeight w:val="47"/>
        </w:trPr>
        <w:tc>
          <w:tcPr>
            <w:tcW w:w="1060" w:type="dxa"/>
            <w:vAlign w:val="bottom"/>
            <w:tcBorders>
              <w:left w:val="single" w:sz="8" w:color="auto"/>
              <w:bottom w:val="single" w:sz="8" w:color="auto"/>
              <w:right w:val="single" w:sz="8" w:color="auto"/>
            </w:tcBorders>
          </w:tcPr>
          <w:p>
            <w:pPr>
              <w:spacing w:after="0"/>
              <w:rPr>
                <w:sz w:val="4"/>
                <w:szCs w:val="4"/>
                <w:color w:val="auto"/>
              </w:rPr>
            </w:pPr>
          </w:p>
        </w:tc>
        <w:tc>
          <w:tcPr>
            <w:tcW w:w="920" w:type="dxa"/>
            <w:vAlign w:val="bottom"/>
            <w:tcBorders>
              <w:bottom w:val="single" w:sz="8" w:color="auto"/>
              <w:right w:val="single" w:sz="8" w:color="auto"/>
            </w:tcBorders>
          </w:tcPr>
          <w:p>
            <w:pPr>
              <w:spacing w:after="0"/>
              <w:rPr>
                <w:sz w:val="4"/>
                <w:szCs w:val="4"/>
                <w:color w:val="auto"/>
              </w:rPr>
            </w:pPr>
          </w:p>
        </w:tc>
        <w:tc>
          <w:tcPr>
            <w:tcW w:w="2420" w:type="dxa"/>
            <w:vAlign w:val="bottom"/>
            <w:tcBorders>
              <w:bottom w:val="single" w:sz="8" w:color="auto"/>
              <w:right w:val="single" w:sz="8" w:color="auto"/>
            </w:tcBorders>
          </w:tcPr>
          <w:p>
            <w:pPr>
              <w:spacing w:after="0"/>
              <w:rPr>
                <w:sz w:val="4"/>
                <w:szCs w:val="4"/>
                <w:color w:val="auto"/>
              </w:rPr>
            </w:pPr>
          </w:p>
        </w:tc>
        <w:tc>
          <w:tcPr>
            <w:tcW w:w="1160" w:type="dxa"/>
            <w:vAlign w:val="bottom"/>
            <w:tcBorders>
              <w:bottom w:val="single" w:sz="8" w:color="auto"/>
              <w:right w:val="single" w:sz="8" w:color="auto"/>
            </w:tcBorders>
          </w:tcPr>
          <w:p>
            <w:pPr>
              <w:spacing w:after="0"/>
              <w:rPr>
                <w:sz w:val="4"/>
                <w:szCs w:val="4"/>
                <w:color w:val="auto"/>
              </w:rPr>
            </w:pPr>
          </w:p>
        </w:tc>
        <w:tc>
          <w:tcPr>
            <w:tcW w:w="1340" w:type="dxa"/>
            <w:vAlign w:val="bottom"/>
            <w:tcBorders>
              <w:bottom w:val="single" w:sz="8" w:color="auto"/>
              <w:right w:val="single" w:sz="8" w:color="auto"/>
            </w:tcBorders>
          </w:tcPr>
          <w:p>
            <w:pPr>
              <w:spacing w:after="0"/>
              <w:rPr>
                <w:sz w:val="4"/>
                <w:szCs w:val="4"/>
                <w:color w:val="auto"/>
              </w:rPr>
            </w:pPr>
          </w:p>
        </w:tc>
        <w:tc>
          <w:tcPr>
            <w:tcW w:w="600" w:type="dxa"/>
            <w:vAlign w:val="bottom"/>
            <w:tcBorders>
              <w:bottom w:val="single" w:sz="8" w:color="auto"/>
              <w:right w:val="single" w:sz="8" w:color="auto"/>
            </w:tcBorders>
          </w:tcPr>
          <w:p>
            <w:pPr>
              <w:spacing w:after="0"/>
              <w:rPr>
                <w:sz w:val="4"/>
                <w:szCs w:val="4"/>
                <w:color w:val="auto"/>
              </w:rPr>
            </w:pPr>
          </w:p>
        </w:tc>
        <w:tc>
          <w:tcPr>
            <w:tcW w:w="1340" w:type="dxa"/>
            <w:vAlign w:val="bottom"/>
            <w:tcBorders>
              <w:bottom w:val="single" w:sz="8" w:color="auto"/>
              <w:right w:val="single" w:sz="8" w:color="auto"/>
            </w:tcBorders>
          </w:tcPr>
          <w:p>
            <w:pPr>
              <w:spacing w:after="0"/>
              <w:rPr>
                <w:sz w:val="4"/>
                <w:szCs w:val="4"/>
                <w:color w:val="auto"/>
              </w:rPr>
            </w:pPr>
          </w:p>
        </w:tc>
        <w:tc>
          <w:tcPr>
            <w:tcW w:w="740" w:type="dxa"/>
            <w:vAlign w:val="bottom"/>
            <w:tcBorders>
              <w:bottom w:val="single" w:sz="8" w:color="auto"/>
              <w:right w:val="single" w:sz="8" w:color="auto"/>
            </w:tcBorders>
          </w:tcPr>
          <w:p>
            <w:pPr>
              <w:spacing w:after="0"/>
              <w:rPr>
                <w:sz w:val="4"/>
                <w:szCs w:val="4"/>
                <w:color w:val="auto"/>
              </w:rPr>
            </w:pPr>
          </w:p>
        </w:tc>
        <w:tc>
          <w:tcPr>
            <w:tcW w:w="760" w:type="dxa"/>
            <w:vAlign w:val="bottom"/>
            <w:tcBorders>
              <w:bottom w:val="single" w:sz="8" w:color="auto"/>
              <w:right w:val="single" w:sz="8" w:color="auto"/>
            </w:tcBorders>
          </w:tcPr>
          <w:p>
            <w:pPr>
              <w:spacing w:after="0"/>
              <w:rPr>
                <w:sz w:val="4"/>
                <w:szCs w:val="4"/>
                <w:color w:val="auto"/>
              </w:rPr>
            </w:pPr>
          </w:p>
        </w:tc>
        <w:tc>
          <w:tcPr>
            <w:tcW w:w="1080" w:type="dxa"/>
            <w:vAlign w:val="bottom"/>
            <w:tcBorders>
              <w:bottom w:val="single" w:sz="8" w:color="auto"/>
              <w:right w:val="single" w:sz="8" w:color="auto"/>
            </w:tcBorders>
          </w:tcPr>
          <w:p>
            <w:pPr>
              <w:spacing w:after="0"/>
              <w:rPr>
                <w:sz w:val="4"/>
                <w:szCs w:val="4"/>
                <w:color w:val="auto"/>
              </w:rPr>
            </w:pPr>
          </w:p>
        </w:tc>
      </w:tr>
      <w:tr>
        <w:trPr>
          <w:trHeight w:val="223"/>
        </w:trPr>
        <w:tc>
          <w:tcPr>
            <w:tcW w:w="1060" w:type="dxa"/>
            <w:vAlign w:val="bottom"/>
            <w:tcBorders>
              <w:left w:val="single" w:sz="8" w:color="auto"/>
              <w:bottom w:val="single" w:sz="8" w:color="auto"/>
              <w:right w:val="single" w:sz="8" w:color="auto"/>
            </w:tcBorders>
          </w:tcPr>
          <w:p>
            <w:pPr>
              <w:ind w:left="20"/>
              <w:spacing w:after="0" w:line="223" w:lineRule="exact"/>
              <w:rPr>
                <w:sz w:val="20"/>
                <w:szCs w:val="20"/>
                <w:color w:val="auto"/>
              </w:rPr>
            </w:pPr>
            <w:r>
              <w:rPr>
                <w:rFonts w:ascii="Arial" w:cs="Arial" w:eastAsia="Arial" w:hAnsi="Arial"/>
                <w:sz w:val="20"/>
                <w:szCs w:val="20"/>
                <w:color w:val="auto"/>
              </w:rPr>
              <w:t>[†]</w:t>
            </w:r>
          </w:p>
        </w:tc>
        <w:tc>
          <w:tcPr>
            <w:tcW w:w="920" w:type="dxa"/>
            <w:vAlign w:val="bottom"/>
            <w:tcBorders>
              <w:bottom w:val="single" w:sz="8" w:color="auto"/>
              <w:right w:val="single" w:sz="8" w:color="auto"/>
            </w:tcBorders>
          </w:tcPr>
          <w:p>
            <w:pPr>
              <w:spacing w:after="0" w:line="223" w:lineRule="exact"/>
              <w:rPr>
                <w:sz w:val="20"/>
                <w:szCs w:val="20"/>
                <w:color w:val="auto"/>
              </w:rPr>
            </w:pPr>
            <w:r>
              <w:rPr>
                <w:rFonts w:ascii="Arial" w:cs="Arial" w:eastAsia="Arial" w:hAnsi="Arial"/>
                <w:sz w:val="20"/>
                <w:szCs w:val="20"/>
                <w:color w:val="auto"/>
              </w:rPr>
              <w:t>[†]</w:t>
            </w:r>
          </w:p>
        </w:tc>
        <w:tc>
          <w:tcPr>
            <w:tcW w:w="2420" w:type="dxa"/>
            <w:vAlign w:val="bottom"/>
            <w:tcBorders>
              <w:bottom w:val="single" w:sz="8" w:color="auto"/>
              <w:right w:val="single" w:sz="8" w:color="auto"/>
            </w:tcBorders>
          </w:tcPr>
          <w:p>
            <w:pPr>
              <w:spacing w:after="0" w:line="223" w:lineRule="exact"/>
              <w:rPr>
                <w:sz w:val="20"/>
                <w:szCs w:val="20"/>
                <w:color w:val="auto"/>
              </w:rPr>
            </w:pPr>
            <w:r>
              <w:rPr>
                <w:rFonts w:ascii="Arial" w:cs="Arial" w:eastAsia="Arial" w:hAnsi="Arial"/>
                <w:sz w:val="20"/>
                <w:szCs w:val="20"/>
                <w:color w:val="auto"/>
              </w:rPr>
              <w:t>[†]</w:t>
            </w:r>
          </w:p>
        </w:tc>
        <w:tc>
          <w:tcPr>
            <w:tcW w:w="1160" w:type="dxa"/>
            <w:vAlign w:val="bottom"/>
            <w:tcBorders>
              <w:bottom w:val="single" w:sz="8" w:color="auto"/>
              <w:right w:val="single" w:sz="8" w:color="auto"/>
            </w:tcBorders>
          </w:tcPr>
          <w:p>
            <w:pPr>
              <w:spacing w:after="0" w:line="223" w:lineRule="exact"/>
              <w:rPr>
                <w:sz w:val="20"/>
                <w:szCs w:val="20"/>
                <w:color w:val="auto"/>
              </w:rPr>
            </w:pPr>
            <w:r>
              <w:rPr>
                <w:rFonts w:ascii="Arial" w:cs="Arial" w:eastAsia="Arial" w:hAnsi="Arial"/>
                <w:sz w:val="20"/>
                <w:szCs w:val="20"/>
                <w:color w:val="auto"/>
              </w:rPr>
              <w:t>[†]</w:t>
            </w:r>
          </w:p>
        </w:tc>
        <w:tc>
          <w:tcPr>
            <w:tcW w:w="1340" w:type="dxa"/>
            <w:vAlign w:val="bottom"/>
            <w:tcBorders>
              <w:bottom w:val="single" w:sz="8" w:color="auto"/>
              <w:right w:val="single" w:sz="8" w:color="auto"/>
            </w:tcBorders>
          </w:tcPr>
          <w:p>
            <w:pPr>
              <w:spacing w:after="0" w:line="223" w:lineRule="exact"/>
              <w:rPr>
                <w:sz w:val="20"/>
                <w:szCs w:val="20"/>
                <w:color w:val="auto"/>
              </w:rPr>
            </w:pPr>
            <w:r>
              <w:rPr>
                <w:rFonts w:ascii="Arial" w:cs="Arial" w:eastAsia="Arial" w:hAnsi="Arial"/>
                <w:sz w:val="20"/>
                <w:szCs w:val="20"/>
                <w:color w:val="auto"/>
              </w:rPr>
              <w:t>[†]</w:t>
            </w:r>
          </w:p>
        </w:tc>
        <w:tc>
          <w:tcPr>
            <w:tcW w:w="600" w:type="dxa"/>
            <w:vAlign w:val="bottom"/>
            <w:tcBorders>
              <w:bottom w:val="single" w:sz="8" w:color="auto"/>
              <w:right w:val="single" w:sz="8" w:color="auto"/>
            </w:tcBorders>
          </w:tcPr>
          <w:p>
            <w:pPr>
              <w:spacing w:after="0"/>
              <w:rPr>
                <w:sz w:val="19"/>
                <w:szCs w:val="19"/>
                <w:color w:val="auto"/>
              </w:rPr>
            </w:pPr>
          </w:p>
        </w:tc>
        <w:tc>
          <w:tcPr>
            <w:tcW w:w="1340" w:type="dxa"/>
            <w:vAlign w:val="bottom"/>
            <w:tcBorders>
              <w:bottom w:val="single" w:sz="8" w:color="auto"/>
              <w:right w:val="single" w:sz="8" w:color="auto"/>
            </w:tcBorders>
          </w:tcPr>
          <w:p>
            <w:pPr>
              <w:spacing w:after="0"/>
              <w:rPr>
                <w:sz w:val="19"/>
                <w:szCs w:val="19"/>
                <w:color w:val="auto"/>
              </w:rPr>
            </w:pPr>
          </w:p>
        </w:tc>
        <w:tc>
          <w:tcPr>
            <w:tcW w:w="740" w:type="dxa"/>
            <w:vAlign w:val="bottom"/>
            <w:tcBorders>
              <w:bottom w:val="single" w:sz="8" w:color="auto"/>
              <w:right w:val="single" w:sz="8" w:color="auto"/>
            </w:tcBorders>
          </w:tcPr>
          <w:p>
            <w:pPr>
              <w:spacing w:after="0"/>
              <w:rPr>
                <w:sz w:val="19"/>
                <w:szCs w:val="19"/>
                <w:color w:val="auto"/>
              </w:rPr>
            </w:pPr>
          </w:p>
        </w:tc>
        <w:tc>
          <w:tcPr>
            <w:tcW w:w="760" w:type="dxa"/>
            <w:vAlign w:val="bottom"/>
            <w:tcBorders>
              <w:bottom w:val="single" w:sz="8" w:color="auto"/>
              <w:right w:val="single" w:sz="8" w:color="auto"/>
            </w:tcBorders>
          </w:tcPr>
          <w:p>
            <w:pPr>
              <w:spacing w:after="0"/>
              <w:rPr>
                <w:sz w:val="19"/>
                <w:szCs w:val="19"/>
                <w:color w:val="auto"/>
              </w:rPr>
            </w:pPr>
          </w:p>
        </w:tc>
        <w:tc>
          <w:tcPr>
            <w:tcW w:w="1080" w:type="dxa"/>
            <w:vAlign w:val="bottom"/>
            <w:tcBorders>
              <w:bottom w:val="single" w:sz="8" w:color="auto"/>
              <w:right w:val="single" w:sz="8" w:color="auto"/>
            </w:tcBorders>
          </w:tcPr>
          <w:p>
            <w:pPr>
              <w:spacing w:after="0" w:line="223" w:lineRule="exact"/>
              <w:rPr>
                <w:sz w:val="20"/>
                <w:szCs w:val="20"/>
                <w:color w:val="auto"/>
              </w:rPr>
            </w:pPr>
            <w:r>
              <w:rPr>
                <w:rFonts w:ascii="Arial" w:cs="Arial" w:eastAsia="Arial" w:hAnsi="Arial"/>
                <w:sz w:val="20"/>
                <w:szCs w:val="20"/>
                <w:color w:val="auto"/>
              </w:rPr>
              <w:t>[†]</w:t>
            </w:r>
          </w:p>
        </w:tc>
      </w:tr>
    </w:tbl>
    <w:p>
      <w:pPr>
        <w:spacing w:after="0" w:line="200" w:lineRule="exact"/>
        <w:rPr>
          <w:sz w:val="20"/>
          <w:szCs w:val="20"/>
          <w:color w:val="auto"/>
        </w:rPr>
      </w:pPr>
    </w:p>
    <w:p>
      <w:pPr>
        <w:spacing w:after="0" w:line="294" w:lineRule="exact"/>
        <w:rPr>
          <w:sz w:val="20"/>
          <w:szCs w:val="20"/>
          <w:color w:val="auto"/>
        </w:rPr>
      </w:pPr>
    </w:p>
    <w:p>
      <w:pPr>
        <w:ind w:right="40" w:firstLine="8"/>
        <w:spacing w:after="0" w:line="253" w:lineRule="auto"/>
        <w:tabs>
          <w:tab w:leader="none" w:pos="204" w:val="left"/>
        </w:tabs>
        <w:numPr>
          <w:ilvl w:val="0"/>
          <w:numId w:val="177"/>
        </w:numPr>
        <w:rPr>
          <w:rFonts w:ascii="Arial" w:cs="Arial" w:eastAsia="Arial" w:hAnsi="Arial"/>
          <w:sz w:val="14"/>
          <w:szCs w:val="14"/>
          <w:color w:val="auto"/>
        </w:rPr>
      </w:pPr>
      <w:r>
        <w:rPr>
          <w:rFonts w:ascii="Arial" w:cs="Arial" w:eastAsia="Arial" w:hAnsi="Arial"/>
          <w:sz w:val="14"/>
          <w:szCs w:val="14"/>
          <w:color w:val="auto"/>
        </w:rPr>
        <w:t>DESIGNATES PORTIONS OF THIS DOCUMENT THAT HAVE BEEN OMITTED PURSUANT TO A REQUEST FOR CONFIDENTIAL TREATMENT FILED SEPARATELY WITH THE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40640</wp:posOffset>
            </wp:positionV>
            <wp:extent cx="7289165"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6" w:right="239" w:bottom="1440" w:gutter="0" w:footer="0" w:header="0"/>
        </w:sectPr>
      </w:pPr>
    </w:p>
    <w:bookmarkStart w:id="127" w:name="page128"/>
    <w:bookmarkEnd w:id="127"/>
    <w:p>
      <w:pPr>
        <w:spacing w:after="0"/>
        <w:rPr>
          <w:sz w:val="20"/>
          <w:szCs w:val="20"/>
          <w:color w:val="auto"/>
        </w:rPr>
      </w:pPr>
      <w:r>
        <w:rPr>
          <w:rFonts w:ascii="Arial" w:cs="Arial" w:eastAsia="Arial" w:hAnsi="Arial"/>
          <w:sz w:val="20"/>
          <w:szCs w:val="20"/>
          <w:b w:val="1"/>
          <w:bCs w:val="1"/>
          <w:color w:val="auto"/>
        </w:rPr>
        <w:t>Seller Schedule 4.3(f)</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Section 1. Material Restrictions; Third Party Payments</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color w:val="auto"/>
        </w:rPr>
        <w:t>[†]</w:t>
      </w:r>
    </w:p>
    <w:p>
      <w:pPr>
        <w:spacing w:after="0" w:line="349" w:lineRule="exact"/>
        <w:rPr>
          <w:sz w:val="20"/>
          <w:szCs w:val="20"/>
          <w:color w:val="auto"/>
        </w:rPr>
      </w:pPr>
    </w:p>
    <w:p>
      <w:pPr>
        <w:ind w:firstLine="8"/>
        <w:spacing w:after="0" w:line="253" w:lineRule="auto"/>
        <w:tabs>
          <w:tab w:leader="none" w:pos="204" w:val="left"/>
        </w:tabs>
        <w:numPr>
          <w:ilvl w:val="0"/>
          <w:numId w:val="178"/>
        </w:numPr>
        <w:rPr>
          <w:rFonts w:ascii="Arial" w:cs="Arial" w:eastAsia="Arial" w:hAnsi="Arial"/>
          <w:sz w:val="14"/>
          <w:szCs w:val="14"/>
          <w:color w:val="auto"/>
        </w:rPr>
      </w:pPr>
      <w:r>
        <w:rPr>
          <w:rFonts w:ascii="Arial" w:cs="Arial" w:eastAsia="Arial" w:hAnsi="Arial"/>
          <w:sz w:val="14"/>
          <w:szCs w:val="14"/>
          <w:color w:val="auto"/>
        </w:rPr>
        <w:t>DESIGNATES PORTIONS OF THIS DOCUMENT THAT HAVE BEEN OMITTED PURSUANT TO A REQUEST FOR CONFIDENTIAL TREATMENT FILED SEPARATELY WITH THE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40640</wp:posOffset>
            </wp:positionV>
            <wp:extent cx="7289165"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346" w:right="279" w:bottom="1440" w:gutter="0" w:footer="0" w:header="0"/>
        </w:sectPr>
      </w:pPr>
    </w:p>
    <w:bookmarkStart w:id="128" w:name="page129"/>
    <w:bookmarkEnd w:id="128"/>
    <w:p>
      <w:pPr>
        <w:jc w:val="center"/>
        <w:ind w:right="-31"/>
        <w:spacing w:after="0"/>
        <w:rPr>
          <w:sz w:val="20"/>
          <w:szCs w:val="20"/>
          <w:color w:val="auto"/>
        </w:rPr>
      </w:pPr>
      <w:r>
        <w:rPr>
          <w:rFonts w:ascii="Arial" w:cs="Arial" w:eastAsia="Arial" w:hAnsi="Arial"/>
          <w:sz w:val="22"/>
          <w:szCs w:val="22"/>
          <w:u w:val="single" w:color="auto"/>
          <w:color w:val="auto"/>
        </w:rPr>
        <w:t>Exhibit B</w:t>
      </w:r>
    </w:p>
    <w:p>
      <w:pPr>
        <w:spacing w:after="0" w:line="206" w:lineRule="exact"/>
        <w:rPr>
          <w:sz w:val="20"/>
          <w:szCs w:val="20"/>
          <w:color w:val="auto"/>
        </w:rPr>
      </w:pPr>
    </w:p>
    <w:p>
      <w:pPr>
        <w:jc w:val="center"/>
        <w:ind w:right="-31"/>
        <w:spacing w:after="0"/>
        <w:rPr>
          <w:sz w:val="20"/>
          <w:szCs w:val="20"/>
          <w:color w:val="auto"/>
        </w:rPr>
      </w:pPr>
      <w:r>
        <w:rPr>
          <w:rFonts w:ascii="Arial" w:cs="Arial" w:eastAsia="Arial" w:hAnsi="Arial"/>
          <w:sz w:val="22"/>
          <w:szCs w:val="22"/>
          <w:color w:val="auto"/>
        </w:rPr>
        <w:t>Form of Payoff Letter</w:t>
      </w:r>
    </w:p>
    <w:p>
      <w:pPr>
        <w:spacing w:after="0" w:line="200" w:lineRule="exact"/>
        <w:rPr>
          <w:sz w:val="20"/>
          <w:szCs w:val="20"/>
          <w:color w:val="auto"/>
        </w:rPr>
      </w:pPr>
    </w:p>
    <w:p>
      <w:pPr>
        <w:spacing w:after="0" w:line="374" w:lineRule="exact"/>
        <w:rPr>
          <w:sz w:val="20"/>
          <w:szCs w:val="20"/>
          <w:color w:val="auto"/>
        </w:rPr>
      </w:pPr>
    </w:p>
    <w:p>
      <w:pPr>
        <w:ind w:left="-8" w:firstLine="8"/>
        <w:spacing w:after="0" w:line="253" w:lineRule="auto"/>
        <w:tabs>
          <w:tab w:leader="none" w:pos="196" w:val="left"/>
        </w:tabs>
        <w:numPr>
          <w:ilvl w:val="0"/>
          <w:numId w:val="179"/>
        </w:numPr>
        <w:rPr>
          <w:rFonts w:ascii="Arial" w:cs="Arial" w:eastAsia="Arial" w:hAnsi="Arial"/>
          <w:sz w:val="14"/>
          <w:szCs w:val="14"/>
          <w:color w:val="auto"/>
        </w:rPr>
      </w:pPr>
      <w:r>
        <w:rPr>
          <w:rFonts w:ascii="Arial" w:cs="Arial" w:eastAsia="Arial" w:hAnsi="Arial"/>
          <w:sz w:val="14"/>
          <w:szCs w:val="14"/>
          <w:color w:val="auto"/>
        </w:rPr>
        <w:t>DESIGNATES PORTIONS OF THIS DOCUMENT THAT HAVE BEEN OMITTED PURSUANT TO A REQUEST FOR CONFIDENTIAL TREATMENT FILED SEPARATELY WITH THE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40640</wp:posOffset>
            </wp:positionV>
            <wp:extent cx="7289165"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72"/>
          </w:cols>
          <w:pgMar w:left="248" w:top="334" w:right="279" w:bottom="1440" w:gutter="0" w:footer="0" w:header="0"/>
        </w:sectPr>
      </w:pPr>
    </w:p>
    <w:bookmarkStart w:id="129" w:name="page130"/>
    <w:bookmarkEnd w:id="129"/>
    <w:p>
      <w:pPr>
        <w:spacing w:after="0"/>
        <w:rPr>
          <w:sz w:val="20"/>
          <w:szCs w:val="20"/>
          <w:color w:val="auto"/>
        </w:rPr>
      </w:pPr>
      <w:r>
        <w:rPr>
          <w:rFonts w:ascii="Arial" w:cs="Arial" w:eastAsia="Arial" w:hAnsi="Arial"/>
          <w:sz w:val="20"/>
          <w:szCs w:val="20"/>
          <w:color w:val="auto"/>
        </w:rPr>
        <w:t>[DATE]</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color w:val="auto"/>
        </w:rPr>
        <w:t>1</w:t>
      </w:r>
      <w:r>
        <w:rPr>
          <w:rFonts w:ascii="Arial" w:cs="Arial" w:eastAsia="Arial" w:hAnsi="Arial"/>
          <w:sz w:val="16"/>
          <w:szCs w:val="16"/>
          <w:color w:val="auto"/>
        </w:rPr>
        <w:t>st</w:t>
      </w:r>
      <w:r>
        <w:rPr>
          <w:rFonts w:ascii="Arial" w:cs="Arial" w:eastAsia="Arial" w:hAnsi="Arial"/>
          <w:sz w:val="20"/>
          <w:szCs w:val="20"/>
          <w:color w:val="auto"/>
        </w:rPr>
        <w:t xml:space="preserve"> Order Pharmaceuticals Inc.</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color w:val="auto"/>
        </w:rPr>
        <w:t>[Address]</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color w:val="auto"/>
        </w:rPr>
        <w:t>[Address]</w:t>
      </w:r>
    </w:p>
    <w:p>
      <w:pPr>
        <w:spacing w:after="0" w:line="216" w:lineRule="exact"/>
        <w:rPr>
          <w:sz w:val="20"/>
          <w:szCs w:val="20"/>
          <w:color w:val="auto"/>
        </w:rPr>
      </w:pPr>
    </w:p>
    <w:p>
      <w:pPr>
        <w:spacing w:after="0"/>
        <w:tabs>
          <w:tab w:leader="none" w:pos="1360" w:val="left"/>
        </w:tabs>
        <w:rPr>
          <w:sz w:val="20"/>
          <w:szCs w:val="20"/>
          <w:color w:val="auto"/>
        </w:rPr>
      </w:pPr>
      <w:r>
        <w:rPr>
          <w:rFonts w:ascii="Arial" w:cs="Arial" w:eastAsia="Arial" w:hAnsi="Arial"/>
          <w:sz w:val="20"/>
          <w:szCs w:val="20"/>
          <w:color w:val="auto"/>
        </w:rPr>
        <w:t>Attn: [</w:t>
      </w:r>
      <w:r>
        <w:rPr>
          <w:sz w:val="20"/>
          <w:szCs w:val="20"/>
          <w:color w:val="auto"/>
        </w:rPr>
        <w:tab/>
      </w:r>
      <w:r>
        <w:rPr>
          <w:rFonts w:ascii="Arial" w:cs="Arial" w:eastAsia="Arial" w:hAnsi="Arial"/>
          <w:sz w:val="20"/>
          <w:szCs w:val="20"/>
          <w:color w:val="auto"/>
        </w:rPr>
        <w:t>]</w:t>
      </w:r>
    </w:p>
    <w:p>
      <w:pPr>
        <w:spacing w:after="0" w:line="200" w:lineRule="exact"/>
        <w:rPr>
          <w:sz w:val="20"/>
          <w:szCs w:val="20"/>
          <w:color w:val="auto"/>
        </w:rPr>
      </w:pPr>
    </w:p>
    <w:p>
      <w:pPr>
        <w:spacing w:after="0" w:line="232" w:lineRule="exact"/>
        <w:rPr>
          <w:sz w:val="20"/>
          <w:szCs w:val="20"/>
          <w:color w:val="auto"/>
        </w:rPr>
      </w:pPr>
    </w:p>
    <w:p>
      <w:pPr>
        <w:ind w:left="860"/>
        <w:spacing w:after="0"/>
        <w:rPr>
          <w:sz w:val="20"/>
          <w:szCs w:val="20"/>
          <w:color w:val="auto"/>
        </w:rPr>
      </w:pPr>
      <w:r>
        <w:rPr>
          <w:rFonts w:ascii="Arial" w:cs="Arial" w:eastAsia="Arial" w:hAnsi="Arial"/>
          <w:sz w:val="20"/>
          <w:szCs w:val="20"/>
          <w:color w:val="auto"/>
        </w:rPr>
        <w:t>Re: Pay-Off Letter</w:t>
      </w:r>
    </w:p>
    <w:p>
      <w:pPr>
        <w:spacing w:after="0" w:line="200" w:lineRule="exact"/>
        <w:rPr>
          <w:sz w:val="20"/>
          <w:szCs w:val="20"/>
          <w:color w:val="auto"/>
        </w:rPr>
      </w:pPr>
    </w:p>
    <w:p>
      <w:pPr>
        <w:spacing w:after="0" w:line="232" w:lineRule="exact"/>
        <w:rPr>
          <w:sz w:val="20"/>
          <w:szCs w:val="20"/>
          <w:color w:val="auto"/>
        </w:rPr>
      </w:pPr>
    </w:p>
    <w:p>
      <w:pPr>
        <w:ind w:left="860"/>
        <w:spacing w:after="0"/>
        <w:tabs>
          <w:tab w:leader="none" w:pos="2180" w:val="left"/>
        </w:tabs>
        <w:rPr>
          <w:sz w:val="20"/>
          <w:szCs w:val="20"/>
          <w:color w:val="auto"/>
        </w:rPr>
      </w:pPr>
      <w:r>
        <w:rPr>
          <w:rFonts w:ascii="Arial" w:cs="Arial" w:eastAsia="Arial" w:hAnsi="Arial"/>
          <w:sz w:val="20"/>
          <w:szCs w:val="20"/>
          <w:color w:val="auto"/>
        </w:rPr>
        <w:t>Dear [</w:t>
      </w:r>
      <w:r>
        <w:rPr>
          <w:sz w:val="20"/>
          <w:szCs w:val="20"/>
          <w:color w:val="auto"/>
        </w:rPr>
        <w:tab/>
      </w:r>
      <w:r>
        <w:rPr>
          <w:rFonts w:ascii="Arial" w:cs="Arial" w:eastAsia="Arial" w:hAnsi="Arial"/>
          <w:sz w:val="20"/>
          <w:szCs w:val="20"/>
          <w:color w:val="auto"/>
        </w:rPr>
        <w:t>]:</w:t>
      </w:r>
    </w:p>
    <w:p>
      <w:pPr>
        <w:spacing w:after="0" w:line="216" w:lineRule="exact"/>
        <w:rPr>
          <w:sz w:val="20"/>
          <w:szCs w:val="20"/>
          <w:color w:val="auto"/>
        </w:rPr>
      </w:pPr>
    </w:p>
    <w:p>
      <w:pPr>
        <w:ind w:left="860"/>
        <w:spacing w:after="0"/>
        <w:rPr>
          <w:sz w:val="20"/>
          <w:szCs w:val="20"/>
          <w:color w:val="auto"/>
        </w:rPr>
      </w:pPr>
      <w:r>
        <w:rPr>
          <w:rFonts w:ascii="Arial" w:cs="Arial" w:eastAsia="Arial" w:hAnsi="Arial"/>
          <w:sz w:val="18"/>
          <w:szCs w:val="18"/>
          <w:color w:val="auto"/>
        </w:rPr>
        <w:t>Reference is made to the Loan Agreement dated as of [•] ([as the same may from time to time have been amended, restated, or</w:t>
      </w:r>
    </w:p>
    <w:p>
      <w:pPr>
        <w:spacing w:after="0" w:line="39" w:lineRule="exact"/>
        <w:rPr>
          <w:sz w:val="20"/>
          <w:szCs w:val="20"/>
          <w:color w:val="auto"/>
        </w:rPr>
      </w:pPr>
    </w:p>
    <w:p>
      <w:pPr>
        <w:spacing w:after="0"/>
        <w:rPr>
          <w:sz w:val="20"/>
          <w:szCs w:val="20"/>
          <w:color w:val="auto"/>
        </w:rPr>
      </w:pPr>
      <w:r>
        <w:rPr>
          <w:rFonts w:ascii="Arial" w:cs="Arial" w:eastAsia="Arial" w:hAnsi="Arial"/>
          <w:sz w:val="19"/>
          <w:szCs w:val="19"/>
          <w:color w:val="auto"/>
        </w:rPr>
        <w:t>otherwise modified,] the “</w:t>
      </w:r>
      <w:r>
        <w:rPr>
          <w:rFonts w:ascii="Arial" w:cs="Arial" w:eastAsia="Arial" w:hAnsi="Arial"/>
          <w:sz w:val="19"/>
          <w:szCs w:val="19"/>
          <w:b w:val="1"/>
          <w:bCs w:val="1"/>
          <w:color w:val="auto"/>
        </w:rPr>
        <w:t>Loan Agreement</w:t>
      </w:r>
      <w:r>
        <w:rPr>
          <w:rFonts w:ascii="Arial" w:cs="Arial" w:eastAsia="Arial" w:hAnsi="Arial"/>
          <w:sz w:val="19"/>
          <w:szCs w:val="19"/>
          <w:color w:val="auto"/>
        </w:rPr>
        <w:t>”), the Promissory Note dated as of as of [•] ([as the same may from time to time have been</w:t>
      </w:r>
    </w:p>
    <w:p>
      <w:pPr>
        <w:spacing w:after="0" w:line="11" w:lineRule="exact"/>
        <w:rPr>
          <w:sz w:val="20"/>
          <w:szCs w:val="20"/>
          <w:color w:val="auto"/>
        </w:rPr>
      </w:pPr>
    </w:p>
    <w:p>
      <w:pPr>
        <w:spacing w:after="0"/>
        <w:rPr>
          <w:sz w:val="20"/>
          <w:szCs w:val="20"/>
          <w:color w:val="auto"/>
        </w:rPr>
      </w:pPr>
      <w:r>
        <w:rPr>
          <w:rFonts w:ascii="Arial" w:cs="Arial" w:eastAsia="Arial" w:hAnsi="Arial"/>
          <w:sz w:val="18"/>
          <w:szCs w:val="18"/>
          <w:color w:val="auto"/>
        </w:rPr>
        <w:t>amended, restated, or otherwise modified,] the “</w:t>
      </w:r>
      <w:r>
        <w:rPr>
          <w:rFonts w:ascii="Arial" w:cs="Arial" w:eastAsia="Arial" w:hAnsi="Arial"/>
          <w:sz w:val="18"/>
          <w:szCs w:val="18"/>
          <w:b w:val="1"/>
          <w:bCs w:val="1"/>
          <w:color w:val="auto"/>
        </w:rPr>
        <w:t>Note</w:t>
      </w:r>
      <w:r>
        <w:rPr>
          <w:rFonts w:ascii="Arial" w:cs="Arial" w:eastAsia="Arial" w:hAnsi="Arial"/>
          <w:sz w:val="18"/>
          <w:szCs w:val="18"/>
          <w:color w:val="auto"/>
        </w:rPr>
        <w:t>”), and any related loan documents (together with the Loan Agreement and the Note, the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Loan Documents</w:t>
      </w:r>
      <w:r>
        <w:rPr>
          <w:rFonts w:ascii="Arial" w:cs="Arial" w:eastAsia="Arial" w:hAnsi="Arial"/>
          <w:sz w:val="18"/>
          <w:szCs w:val="18"/>
          <w:color w:val="auto"/>
        </w:rPr>
        <w:t>”), in each case by and among 1st Order Pharmaceuticals, Inc., a Delaware corporation (the “</w:t>
      </w:r>
      <w:r>
        <w:rPr>
          <w:rFonts w:ascii="Arial" w:cs="Arial" w:eastAsia="Arial" w:hAnsi="Arial"/>
          <w:sz w:val="18"/>
          <w:szCs w:val="18"/>
          <w:b w:val="1"/>
          <w:bCs w:val="1"/>
          <w:color w:val="auto"/>
        </w:rPr>
        <w:t>Borrower</w:t>
      </w:r>
      <w:r>
        <w:rPr>
          <w:rFonts w:ascii="Arial" w:cs="Arial" w:eastAsia="Arial" w:hAnsi="Arial"/>
          <w:sz w:val="18"/>
          <w:szCs w:val="18"/>
          <w:color w:val="auto"/>
        </w:rPr>
        <w:t>”) and [•] (the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Lender[s]</w:t>
      </w:r>
      <w:r>
        <w:rPr>
          <w:rFonts w:ascii="Arial" w:cs="Arial" w:eastAsia="Arial" w:hAnsi="Arial"/>
          <w:sz w:val="18"/>
          <w:szCs w:val="18"/>
          <w:color w:val="auto"/>
        </w:rPr>
        <w:t>”), and the loans contemplated thereby (the “</w:t>
      </w:r>
      <w:r>
        <w:rPr>
          <w:rFonts w:ascii="Arial" w:cs="Arial" w:eastAsia="Arial" w:hAnsi="Arial"/>
          <w:sz w:val="18"/>
          <w:szCs w:val="18"/>
          <w:b w:val="1"/>
          <w:bCs w:val="1"/>
          <w:color w:val="auto"/>
        </w:rPr>
        <w:t>Loans</w:t>
      </w:r>
      <w:r>
        <w:rPr>
          <w:rFonts w:ascii="Arial" w:cs="Arial" w:eastAsia="Arial" w:hAnsi="Arial"/>
          <w:sz w:val="18"/>
          <w:szCs w:val="18"/>
          <w:color w:val="auto"/>
        </w:rPr>
        <w:t>”). Capitalized terms used and not defined in this letter shall have the respective</w:t>
      </w:r>
    </w:p>
    <w:p>
      <w:pPr>
        <w:spacing w:after="0" w:line="23" w:lineRule="exact"/>
        <w:rPr>
          <w:sz w:val="20"/>
          <w:szCs w:val="20"/>
          <w:color w:val="auto"/>
        </w:rPr>
      </w:pPr>
    </w:p>
    <w:p>
      <w:pPr>
        <w:spacing w:after="0"/>
        <w:rPr>
          <w:sz w:val="20"/>
          <w:szCs w:val="20"/>
          <w:color w:val="auto"/>
        </w:rPr>
      </w:pPr>
      <w:r>
        <w:rPr>
          <w:rFonts w:ascii="Arial" w:cs="Arial" w:eastAsia="Arial" w:hAnsi="Arial"/>
          <w:sz w:val="20"/>
          <w:szCs w:val="20"/>
          <w:color w:val="auto"/>
        </w:rPr>
        <w:t>meanings given them in the Loan Agreement.</w:t>
      </w:r>
    </w:p>
    <w:p>
      <w:pPr>
        <w:spacing w:after="0" w:line="200" w:lineRule="exact"/>
        <w:rPr>
          <w:sz w:val="20"/>
          <w:szCs w:val="20"/>
          <w:color w:val="auto"/>
        </w:rPr>
      </w:pPr>
    </w:p>
    <w:p>
      <w:pPr>
        <w:ind w:right="40" w:firstLine="846"/>
        <w:spacing w:after="0" w:line="263" w:lineRule="auto"/>
        <w:rPr>
          <w:sz w:val="20"/>
          <w:szCs w:val="20"/>
          <w:color w:val="auto"/>
        </w:rPr>
      </w:pPr>
      <w:r>
        <w:rPr>
          <w:rFonts w:ascii="Arial" w:cs="Arial" w:eastAsia="Arial" w:hAnsi="Arial"/>
          <w:sz w:val="19"/>
          <w:szCs w:val="19"/>
          <w:color w:val="auto"/>
        </w:rPr>
        <w:t>Borrower has entered into that certain Asset Purchase Agreement by and among Borrower and Xenon Pharmaceuticals Inc., a corporation continued under the federal laws of Canada (“</w:t>
      </w:r>
      <w:r>
        <w:rPr>
          <w:rFonts w:ascii="Arial" w:cs="Arial" w:eastAsia="Arial" w:hAnsi="Arial"/>
          <w:sz w:val="19"/>
          <w:szCs w:val="19"/>
          <w:b w:val="1"/>
          <w:bCs w:val="1"/>
          <w:color w:val="auto"/>
        </w:rPr>
        <w:t>Xenon</w:t>
      </w:r>
      <w:r>
        <w:rPr>
          <w:rFonts w:ascii="Arial" w:cs="Arial" w:eastAsia="Arial" w:hAnsi="Arial"/>
          <w:sz w:val="19"/>
          <w:szCs w:val="19"/>
          <w:color w:val="auto"/>
        </w:rPr>
        <w:t>”), dated [•] (the “</w:t>
      </w:r>
      <w:r>
        <w:rPr>
          <w:rFonts w:ascii="Arial" w:cs="Arial" w:eastAsia="Arial" w:hAnsi="Arial"/>
          <w:sz w:val="19"/>
          <w:szCs w:val="19"/>
          <w:b w:val="1"/>
          <w:bCs w:val="1"/>
          <w:color w:val="auto"/>
        </w:rPr>
        <w:t>Asset Purchase Agreement</w:t>
      </w:r>
      <w:r>
        <w:rPr>
          <w:rFonts w:ascii="Arial" w:cs="Arial" w:eastAsia="Arial" w:hAnsi="Arial"/>
          <w:sz w:val="19"/>
          <w:szCs w:val="19"/>
          <w:color w:val="auto"/>
        </w:rPr>
        <w:t>”). Pursuant to the terms of the Asset Purchase Agreement, Borrower has agreed to sell to Xenon, and Xenon has agreed to purchase from Borrower, all of Borrower’s right, title and interest in and to the Purchased Assets (as defined in the Asset Purchase Agreement).</w:t>
      </w:r>
    </w:p>
    <w:p>
      <w:pPr>
        <w:spacing w:after="0" w:line="177" w:lineRule="exact"/>
        <w:rPr>
          <w:sz w:val="20"/>
          <w:szCs w:val="20"/>
          <w:color w:val="auto"/>
        </w:rPr>
      </w:pPr>
    </w:p>
    <w:p>
      <w:pPr>
        <w:ind w:left="860"/>
        <w:spacing w:after="0"/>
        <w:rPr>
          <w:sz w:val="20"/>
          <w:szCs w:val="20"/>
          <w:color w:val="auto"/>
        </w:rPr>
      </w:pPr>
      <w:r>
        <w:rPr>
          <w:rFonts w:ascii="Arial" w:cs="Arial" w:eastAsia="Arial" w:hAnsi="Arial"/>
          <w:sz w:val="18"/>
          <w:szCs w:val="18"/>
          <w:color w:val="auto"/>
        </w:rPr>
        <w:t>Borrower has advised Lender that, in connection with the Asset Purchase Agreement, Xenon intends to repay all amounts due and</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owing by Borrower under the Loan Documents and has requested that Lender provide Borrower with appropriate pay-off amounts for the</w:t>
      </w:r>
    </w:p>
    <w:p>
      <w:pPr>
        <w:spacing w:after="0" w:line="22" w:lineRule="exact"/>
        <w:rPr>
          <w:sz w:val="20"/>
          <w:szCs w:val="20"/>
          <w:color w:val="auto"/>
        </w:rPr>
      </w:pPr>
    </w:p>
    <w:p>
      <w:pPr>
        <w:spacing w:after="0"/>
        <w:rPr>
          <w:sz w:val="20"/>
          <w:szCs w:val="20"/>
          <w:color w:val="auto"/>
        </w:rPr>
      </w:pPr>
      <w:r>
        <w:rPr>
          <w:rFonts w:ascii="Arial" w:cs="Arial" w:eastAsia="Arial" w:hAnsi="Arial"/>
          <w:sz w:val="20"/>
          <w:szCs w:val="20"/>
          <w:color w:val="auto"/>
        </w:rPr>
        <w:t>principal, interest, and other amounts owing by Borrower to Lender under the Loan Documents (such amounts, collectively, the</w:t>
      </w: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Obligations</w:t>
      </w:r>
      <w:r>
        <w:rPr>
          <w:rFonts w:ascii="Arial" w:cs="Arial" w:eastAsia="Arial" w:hAnsi="Arial"/>
          <w:sz w:val="18"/>
          <w:szCs w:val="18"/>
          <w:color w:val="auto"/>
        </w:rPr>
        <w:t>”). The pay-off amounts for Borrower as of April [•], 2017 (the “</w:t>
      </w:r>
      <w:r>
        <w:rPr>
          <w:rFonts w:ascii="Arial" w:cs="Arial" w:eastAsia="Arial" w:hAnsi="Arial"/>
          <w:sz w:val="18"/>
          <w:szCs w:val="18"/>
          <w:b w:val="1"/>
          <w:bCs w:val="1"/>
          <w:color w:val="auto"/>
        </w:rPr>
        <w:t>Computation Date</w:t>
      </w:r>
      <w:r>
        <w:rPr>
          <w:rFonts w:ascii="Arial" w:cs="Arial" w:eastAsia="Arial" w:hAnsi="Arial"/>
          <w:sz w:val="18"/>
          <w:szCs w:val="18"/>
          <w:color w:val="auto"/>
        </w:rPr>
        <w:t>”) under the Loan Documents are as follows</w:t>
      </w:r>
    </w:p>
    <w:p>
      <w:pPr>
        <w:spacing w:after="0" w:line="23" w:lineRule="exact"/>
        <w:rPr>
          <w:sz w:val="20"/>
          <w:szCs w:val="20"/>
          <w:color w:val="auto"/>
        </w:rPr>
      </w:pPr>
    </w:p>
    <w:p>
      <w:pPr>
        <w:spacing w:after="0"/>
        <w:rPr>
          <w:sz w:val="20"/>
          <w:szCs w:val="20"/>
          <w:color w:val="auto"/>
        </w:rPr>
      </w:pPr>
      <w:r>
        <w:rPr>
          <w:rFonts w:ascii="Arial" w:cs="Arial" w:eastAsia="Arial" w:hAnsi="Arial"/>
          <w:sz w:val="19"/>
          <w:szCs w:val="19"/>
          <w:color w:val="auto"/>
        </w:rPr>
        <w:t>(collectively, together with any additional interest accruing after the Computation Date that must be repaid by Borrower, the “</w:t>
      </w:r>
      <w:r>
        <w:rPr>
          <w:rFonts w:ascii="Arial" w:cs="Arial" w:eastAsia="Arial" w:hAnsi="Arial"/>
          <w:sz w:val="19"/>
          <w:szCs w:val="19"/>
          <w:b w:val="1"/>
          <w:bCs w:val="1"/>
          <w:color w:val="auto"/>
        </w:rPr>
        <w:t>Pay-Off</w:t>
      </w:r>
    </w:p>
    <w:p>
      <w:pPr>
        <w:spacing w:after="0" w:line="1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Amount</w:t>
      </w:r>
      <w:r>
        <w:rPr>
          <w:rFonts w:ascii="Arial" w:cs="Arial" w:eastAsia="Arial" w:hAnsi="Arial"/>
          <w:sz w:val="20"/>
          <w:szCs w:val="20"/>
          <w:color w:val="auto"/>
        </w:rPr>
        <w:t>”):</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4260" w:type="dxa"/>
            <w:vAlign w:val="bottom"/>
          </w:tcPr>
          <w:p>
            <w:pPr>
              <w:spacing w:after="0"/>
              <w:rPr>
                <w:sz w:val="20"/>
                <w:szCs w:val="20"/>
                <w:color w:val="auto"/>
              </w:rPr>
            </w:pPr>
            <w:r>
              <w:rPr>
                <w:rFonts w:ascii="Arial" w:cs="Arial" w:eastAsia="Arial" w:hAnsi="Arial"/>
                <w:sz w:val="20"/>
                <w:szCs w:val="20"/>
                <w:color w:val="auto"/>
              </w:rPr>
              <w:t>Principal:</w:t>
            </w:r>
          </w:p>
        </w:tc>
        <w:tc>
          <w:tcPr>
            <w:tcW w:w="3120" w:type="dxa"/>
            <w:vAlign w:val="bottom"/>
          </w:tcPr>
          <w:p>
            <w:pPr>
              <w:jc w:val="right"/>
              <w:ind w:right="361"/>
              <w:spacing w:after="0"/>
              <w:rPr>
                <w:sz w:val="20"/>
                <w:szCs w:val="20"/>
                <w:color w:val="auto"/>
              </w:rPr>
            </w:pPr>
            <w:r>
              <w:rPr>
                <w:rFonts w:ascii="Arial" w:cs="Arial" w:eastAsia="Arial" w:hAnsi="Arial"/>
                <w:sz w:val="20"/>
                <w:szCs w:val="20"/>
                <w:color w:val="auto"/>
              </w:rPr>
              <w:t>$[</w:t>
            </w:r>
          </w:p>
        </w:tc>
        <w:tc>
          <w:tcPr>
            <w:tcW w:w="500" w:type="dxa"/>
            <w:vAlign w:val="bottom"/>
          </w:tcPr>
          <w:p>
            <w:pPr>
              <w:jc w:val="right"/>
              <w:spacing w:after="0"/>
              <w:rPr>
                <w:sz w:val="20"/>
                <w:szCs w:val="20"/>
                <w:color w:val="auto"/>
              </w:rPr>
            </w:pPr>
            <w:r>
              <w:rPr>
                <w:rFonts w:ascii="Arial" w:cs="Arial" w:eastAsia="Arial" w:hAnsi="Arial"/>
                <w:sz w:val="20"/>
                <w:szCs w:val="20"/>
                <w:color w:val="auto"/>
              </w:rPr>
              <w:t>]</w:t>
            </w:r>
          </w:p>
        </w:tc>
      </w:tr>
      <w:tr>
        <w:trPr>
          <w:trHeight w:val="446"/>
        </w:trPr>
        <w:tc>
          <w:tcPr>
            <w:tcW w:w="4260" w:type="dxa"/>
            <w:vAlign w:val="bottom"/>
          </w:tcPr>
          <w:p>
            <w:pPr>
              <w:spacing w:after="0"/>
              <w:rPr>
                <w:sz w:val="20"/>
                <w:szCs w:val="20"/>
                <w:color w:val="auto"/>
              </w:rPr>
            </w:pPr>
            <w:r>
              <w:rPr>
                <w:rFonts w:ascii="Arial" w:cs="Arial" w:eastAsia="Arial" w:hAnsi="Arial"/>
                <w:sz w:val="20"/>
                <w:szCs w:val="20"/>
                <w:color w:val="auto"/>
              </w:rPr>
              <w:t>Interest:</w:t>
            </w:r>
          </w:p>
        </w:tc>
        <w:tc>
          <w:tcPr>
            <w:tcW w:w="3120" w:type="dxa"/>
            <w:vAlign w:val="bottom"/>
          </w:tcPr>
          <w:p>
            <w:pPr>
              <w:jc w:val="right"/>
              <w:ind w:right="361"/>
              <w:spacing w:after="0"/>
              <w:rPr>
                <w:sz w:val="20"/>
                <w:szCs w:val="20"/>
                <w:color w:val="auto"/>
              </w:rPr>
            </w:pPr>
            <w:r>
              <w:rPr>
                <w:rFonts w:ascii="Arial" w:cs="Arial" w:eastAsia="Arial" w:hAnsi="Arial"/>
                <w:sz w:val="20"/>
                <w:szCs w:val="20"/>
                <w:color w:val="auto"/>
              </w:rPr>
              <w:t>$[</w:t>
            </w:r>
          </w:p>
        </w:tc>
        <w:tc>
          <w:tcPr>
            <w:tcW w:w="500" w:type="dxa"/>
            <w:vAlign w:val="bottom"/>
          </w:tcPr>
          <w:p>
            <w:pPr>
              <w:jc w:val="right"/>
              <w:spacing w:after="0"/>
              <w:rPr>
                <w:sz w:val="20"/>
                <w:szCs w:val="20"/>
                <w:color w:val="auto"/>
              </w:rPr>
            </w:pPr>
            <w:r>
              <w:rPr>
                <w:rFonts w:ascii="Arial" w:cs="Arial" w:eastAsia="Arial" w:hAnsi="Arial"/>
                <w:sz w:val="20"/>
                <w:szCs w:val="20"/>
                <w:color w:val="auto"/>
              </w:rPr>
              <w:t>]</w:t>
            </w:r>
          </w:p>
        </w:tc>
      </w:tr>
      <w:tr>
        <w:trPr>
          <w:trHeight w:val="446"/>
        </w:trPr>
        <w:tc>
          <w:tcPr>
            <w:tcW w:w="4260" w:type="dxa"/>
            <w:vAlign w:val="bottom"/>
          </w:tcPr>
          <w:p>
            <w:pPr>
              <w:spacing w:after="0"/>
              <w:rPr>
                <w:sz w:val="20"/>
                <w:szCs w:val="20"/>
                <w:color w:val="auto"/>
              </w:rPr>
            </w:pPr>
            <w:r>
              <w:rPr>
                <w:rFonts w:ascii="Arial" w:cs="Arial" w:eastAsia="Arial" w:hAnsi="Arial"/>
                <w:sz w:val="20"/>
                <w:szCs w:val="20"/>
                <w:color w:val="auto"/>
              </w:rPr>
              <w:t>Fees:</w:t>
            </w:r>
          </w:p>
        </w:tc>
        <w:tc>
          <w:tcPr>
            <w:tcW w:w="3120" w:type="dxa"/>
            <w:vAlign w:val="bottom"/>
          </w:tcPr>
          <w:p>
            <w:pPr>
              <w:jc w:val="right"/>
              <w:ind w:right="361"/>
              <w:spacing w:after="0"/>
              <w:rPr>
                <w:sz w:val="20"/>
                <w:szCs w:val="20"/>
                <w:color w:val="auto"/>
              </w:rPr>
            </w:pPr>
            <w:r>
              <w:rPr>
                <w:rFonts w:ascii="Arial" w:cs="Arial" w:eastAsia="Arial" w:hAnsi="Arial"/>
                <w:sz w:val="20"/>
                <w:szCs w:val="20"/>
                <w:color w:val="auto"/>
              </w:rPr>
              <w:t>$[</w:t>
            </w:r>
          </w:p>
        </w:tc>
        <w:tc>
          <w:tcPr>
            <w:tcW w:w="500" w:type="dxa"/>
            <w:vAlign w:val="bottom"/>
          </w:tcPr>
          <w:p>
            <w:pPr>
              <w:jc w:val="right"/>
              <w:spacing w:after="0"/>
              <w:rPr>
                <w:sz w:val="20"/>
                <w:szCs w:val="20"/>
                <w:color w:val="auto"/>
              </w:rPr>
            </w:pPr>
            <w:r>
              <w:rPr>
                <w:rFonts w:ascii="Arial" w:cs="Arial" w:eastAsia="Arial" w:hAnsi="Arial"/>
                <w:sz w:val="20"/>
                <w:szCs w:val="20"/>
                <w:color w:val="auto"/>
              </w:rPr>
              <w:t>]</w:t>
            </w:r>
          </w:p>
        </w:tc>
      </w:tr>
      <w:tr>
        <w:trPr>
          <w:trHeight w:val="446"/>
        </w:trPr>
        <w:tc>
          <w:tcPr>
            <w:tcW w:w="4260" w:type="dxa"/>
            <w:vAlign w:val="bottom"/>
          </w:tcPr>
          <w:p>
            <w:pPr>
              <w:spacing w:after="0"/>
              <w:rPr>
                <w:sz w:val="20"/>
                <w:szCs w:val="20"/>
                <w:color w:val="auto"/>
              </w:rPr>
            </w:pPr>
            <w:r>
              <w:rPr>
                <w:rFonts w:ascii="Arial" w:cs="Arial" w:eastAsia="Arial" w:hAnsi="Arial"/>
                <w:sz w:val="20"/>
                <w:szCs w:val="20"/>
                <w:color w:val="auto"/>
              </w:rPr>
              <w:t>Total Amount Owing:</w:t>
            </w:r>
          </w:p>
        </w:tc>
        <w:tc>
          <w:tcPr>
            <w:tcW w:w="3120" w:type="dxa"/>
            <w:vAlign w:val="bottom"/>
          </w:tcPr>
          <w:p>
            <w:pPr>
              <w:jc w:val="right"/>
              <w:ind w:right="361"/>
              <w:spacing w:after="0"/>
              <w:rPr>
                <w:sz w:val="20"/>
                <w:szCs w:val="20"/>
                <w:color w:val="auto"/>
              </w:rPr>
            </w:pPr>
            <w:r>
              <w:rPr>
                <w:rFonts w:ascii="Arial" w:cs="Arial" w:eastAsia="Arial" w:hAnsi="Arial"/>
                <w:sz w:val="20"/>
                <w:szCs w:val="20"/>
                <w:color w:val="auto"/>
              </w:rPr>
              <w:t>$[</w:t>
            </w:r>
          </w:p>
        </w:tc>
        <w:tc>
          <w:tcPr>
            <w:tcW w:w="500" w:type="dxa"/>
            <w:vAlign w:val="bottom"/>
          </w:tcPr>
          <w:p>
            <w:pPr>
              <w:jc w:val="right"/>
              <w:spacing w:after="0"/>
              <w:rPr>
                <w:sz w:val="20"/>
                <w:szCs w:val="20"/>
                <w:color w:val="auto"/>
              </w:rPr>
            </w:pPr>
            <w:r>
              <w:rPr>
                <w:rFonts w:ascii="Arial" w:cs="Arial" w:eastAsia="Arial" w:hAnsi="Arial"/>
                <w:sz w:val="20"/>
                <w:szCs w:val="20"/>
                <w:color w:val="auto"/>
              </w:rPr>
              <w:t>]</w:t>
            </w:r>
          </w:p>
        </w:tc>
      </w:tr>
    </w:tbl>
    <w:p>
      <w:pPr>
        <w:spacing w:after="0" w:line="193" w:lineRule="exact"/>
        <w:rPr>
          <w:sz w:val="20"/>
          <w:szCs w:val="20"/>
          <w:color w:val="auto"/>
        </w:rPr>
      </w:pPr>
    </w:p>
    <w:p>
      <w:pPr>
        <w:ind w:firstLine="8"/>
        <w:spacing w:after="0" w:line="253" w:lineRule="auto"/>
        <w:tabs>
          <w:tab w:leader="none" w:pos="204" w:val="left"/>
        </w:tabs>
        <w:numPr>
          <w:ilvl w:val="0"/>
          <w:numId w:val="180"/>
        </w:numPr>
        <w:rPr>
          <w:rFonts w:ascii="Arial" w:cs="Arial" w:eastAsia="Arial" w:hAnsi="Arial"/>
          <w:sz w:val="14"/>
          <w:szCs w:val="14"/>
          <w:color w:val="auto"/>
        </w:rPr>
      </w:pPr>
      <w:r>
        <w:rPr>
          <w:rFonts w:ascii="Arial" w:cs="Arial" w:eastAsia="Arial" w:hAnsi="Arial"/>
          <w:sz w:val="14"/>
          <w:szCs w:val="14"/>
          <w:color w:val="auto"/>
        </w:rPr>
        <w:t>DESIGNATES PORTIONS OF THIS DOCUMENT THAT HAVE BEEN OMITTED PURSUANT TO A REQUEST FOR CONFIDENTIAL TREATMENT FILED SEPARATELY WITH THE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40640</wp:posOffset>
            </wp:positionV>
            <wp:extent cx="7289165"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568" w:right="279" w:bottom="1440" w:gutter="0" w:footer="0" w:header="0"/>
        </w:sectPr>
      </w:pPr>
    </w:p>
    <w:bookmarkStart w:id="130" w:name="page131"/>
    <w:bookmarkEnd w:id="130"/>
    <w:p>
      <w:pPr>
        <w:ind w:right="20" w:firstLine="846"/>
        <w:spacing w:after="0" w:line="244" w:lineRule="auto"/>
        <w:rPr>
          <w:sz w:val="20"/>
          <w:szCs w:val="20"/>
          <w:color w:val="auto"/>
        </w:rPr>
      </w:pPr>
      <w:r>
        <w:rPr>
          <w:rFonts w:ascii="Arial" w:cs="Arial" w:eastAsia="Arial" w:hAnsi="Arial"/>
          <w:sz w:val="20"/>
          <w:szCs w:val="20"/>
          <w:color w:val="auto"/>
        </w:rPr>
        <w:t>From and after the Computation Date and until 5:00 pm Pacific time on the date of the Lender[‘s] receipt of the Pay-Off Amount, interest shall continue to accrue on the unpaid principal amount at the rate set forth in the Loan Documents. The per diem accrual of interest on the unpaid principal amount is $[ ]. Upon request of Borrower, the Lender[s] shall provide Borrower with a revised figure for the amount of interest to be paid as a part of the Pay-Off Amount. The foregoing accrued interest amount assumes no change in the operative interest rates after the date hereof.</w:t>
      </w:r>
    </w:p>
    <w:p>
      <w:pPr>
        <w:spacing w:after="0" w:line="195" w:lineRule="exact"/>
        <w:rPr>
          <w:sz w:val="20"/>
          <w:szCs w:val="20"/>
          <w:color w:val="auto"/>
        </w:rPr>
      </w:pPr>
    </w:p>
    <w:p>
      <w:pPr>
        <w:ind w:right="380" w:firstLine="846"/>
        <w:spacing w:after="0" w:line="287" w:lineRule="auto"/>
        <w:rPr>
          <w:sz w:val="20"/>
          <w:szCs w:val="20"/>
          <w:color w:val="auto"/>
        </w:rPr>
      </w:pPr>
      <w:r>
        <w:rPr>
          <w:rFonts w:ascii="Arial" w:cs="Arial" w:eastAsia="Arial" w:hAnsi="Arial"/>
          <w:sz w:val="19"/>
          <w:szCs w:val="19"/>
          <w:color w:val="auto"/>
        </w:rPr>
        <w:t>The Borrower shall pay or cause to be paid to the Lender[s] the Pay-Off Amount, at the Borrower’s cost and expense, by federal funds wire transfer the Pay-Off Amount (in immediately available funds) as follows (the “</w:t>
      </w:r>
      <w:r>
        <w:rPr>
          <w:rFonts w:ascii="Arial" w:cs="Arial" w:eastAsia="Arial" w:hAnsi="Arial"/>
          <w:sz w:val="19"/>
          <w:szCs w:val="19"/>
          <w:b w:val="1"/>
          <w:bCs w:val="1"/>
          <w:color w:val="auto"/>
        </w:rPr>
        <w:t>Release Condition</w:t>
      </w:r>
      <w:r>
        <w:rPr>
          <w:rFonts w:ascii="Arial" w:cs="Arial" w:eastAsia="Arial" w:hAnsi="Arial"/>
          <w:sz w:val="19"/>
          <w:szCs w:val="19"/>
          <w:color w:val="auto"/>
        </w:rPr>
        <w:t>”):</w:t>
      </w:r>
    </w:p>
    <w:p>
      <w:pPr>
        <w:sectPr>
          <w:pgSz w:w="11900" w:h="16838" w:orient="portrait"/>
          <w:cols w:equalWidth="0" w:num="1">
            <w:col w:w="11400"/>
          </w:cols>
          <w:pgMar w:left="240" w:top="568" w:right="259" w:bottom="1440" w:gutter="0" w:footer="0" w:header="0"/>
        </w:sectPr>
      </w:pPr>
    </w:p>
    <w:p>
      <w:pPr>
        <w:spacing w:after="0" w:line="153" w:lineRule="exact"/>
        <w:rPr>
          <w:sz w:val="20"/>
          <w:szCs w:val="20"/>
          <w:color w:val="auto"/>
        </w:rPr>
      </w:pPr>
    </w:p>
    <w:p>
      <w:pPr>
        <w:spacing w:after="0"/>
        <w:rPr>
          <w:sz w:val="20"/>
          <w:szCs w:val="20"/>
          <w:color w:val="auto"/>
        </w:rPr>
      </w:pPr>
      <w:r>
        <w:rPr>
          <w:rFonts w:ascii="Arial" w:cs="Arial" w:eastAsia="Arial" w:hAnsi="Arial"/>
          <w:sz w:val="19"/>
          <w:szCs w:val="19"/>
          <w:color w:val="auto"/>
        </w:rPr>
        <w:t>[LENDER’S NAME AND LENDER’S ADDRESS]</w:t>
      </w:r>
    </w:p>
    <w:p>
      <w:pPr>
        <w:spacing w:after="0" w:line="20" w:lineRule="exact"/>
        <w:rPr>
          <w:sz w:val="20"/>
          <w:szCs w:val="20"/>
          <w:color w:val="auto"/>
        </w:rPr>
      </w:pPr>
      <w:r>
        <w:rPr>
          <w:sz w:val="20"/>
          <w:szCs w:val="20"/>
          <w:color w:val="auto"/>
        </w:rPr>
        <w:br w:type="column"/>
      </w:r>
    </w:p>
    <w:p>
      <w:pPr>
        <w:spacing w:after="0" w:line="133" w:lineRule="exact"/>
        <w:rPr>
          <w:sz w:val="20"/>
          <w:szCs w:val="20"/>
          <w:color w:val="auto"/>
        </w:rPr>
      </w:pPr>
    </w:p>
    <w:p>
      <w:pPr>
        <w:jc w:val="center"/>
        <w:ind w:right="2320"/>
        <w:spacing w:after="0"/>
        <w:rPr>
          <w:sz w:val="20"/>
          <w:szCs w:val="20"/>
          <w:color w:val="auto"/>
        </w:rPr>
      </w:pPr>
      <w:r>
        <w:rPr>
          <w:rFonts w:ascii="Arial" w:cs="Arial" w:eastAsia="Arial" w:hAnsi="Arial"/>
          <w:sz w:val="20"/>
          <w:szCs w:val="20"/>
          <w:color w:val="auto"/>
        </w:rPr>
        <w:t>ABA No.: [ABA NUMBER]</w:t>
      </w:r>
    </w:p>
    <w:p>
      <w:pPr>
        <w:spacing w:after="0" w:line="200" w:lineRule="exact"/>
        <w:rPr>
          <w:sz w:val="20"/>
          <w:szCs w:val="20"/>
          <w:color w:val="auto"/>
        </w:rPr>
      </w:pPr>
    </w:p>
    <w:p>
      <w:pPr>
        <w:sectPr>
          <w:pgSz w:w="11900" w:h="16838" w:orient="portrait"/>
          <w:cols w:equalWidth="0" w:num="2">
            <w:col w:w="6040" w:space="720"/>
            <w:col w:w="4640"/>
          </w:cols>
          <w:pgMar w:left="240" w:top="568" w:right="259" w:bottom="1440" w:gutter="0" w:footer="0" w:header="0"/>
          <w:type w:val="continuous"/>
        </w:sectPr>
      </w:pPr>
    </w:p>
    <w:p>
      <w:pPr>
        <w:spacing w:after="0" w:line="16" w:lineRule="exact"/>
        <w:rPr>
          <w:sz w:val="20"/>
          <w:szCs w:val="20"/>
          <w:color w:val="auto"/>
        </w:rPr>
      </w:pPr>
    </w:p>
    <w:p>
      <w:pPr>
        <w:spacing w:after="0"/>
        <w:rPr>
          <w:sz w:val="20"/>
          <w:szCs w:val="20"/>
          <w:color w:val="auto"/>
        </w:rPr>
      </w:pPr>
      <w:r>
        <w:rPr>
          <w:rFonts w:ascii="Arial" w:cs="Arial" w:eastAsia="Arial" w:hAnsi="Arial"/>
          <w:sz w:val="19"/>
          <w:szCs w:val="19"/>
          <w:color w:val="auto"/>
        </w:rPr>
        <w:t>For credit to: 1</w:t>
      </w:r>
      <w:r>
        <w:rPr>
          <w:rFonts w:ascii="Arial" w:cs="Arial" w:eastAsia="Arial" w:hAnsi="Arial"/>
          <w:sz w:val="15"/>
          <w:szCs w:val="15"/>
          <w:color w:val="auto"/>
        </w:rPr>
        <w:t>ST</w:t>
      </w:r>
      <w:r>
        <w:rPr>
          <w:rFonts w:ascii="Arial" w:cs="Arial" w:eastAsia="Arial" w:hAnsi="Arial"/>
          <w:sz w:val="19"/>
          <w:szCs w:val="19"/>
          <w:color w:val="auto"/>
        </w:rPr>
        <w:t xml:space="preserve"> ORDER PHARMACEUTICALS, INC.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Re: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20"/>
          <w:szCs w:val="20"/>
          <w:color w:val="auto"/>
        </w:rPr>
        <w:t>]</w:t>
      </w:r>
    </w:p>
    <w:p>
      <w:pPr>
        <w:spacing w:after="0" w:line="200" w:lineRule="exact"/>
        <w:rPr>
          <w:sz w:val="20"/>
          <w:szCs w:val="20"/>
          <w:color w:val="auto"/>
        </w:rPr>
      </w:pPr>
    </w:p>
    <w:p>
      <w:pPr>
        <w:sectPr>
          <w:pgSz w:w="11900" w:h="16838" w:orient="portrait"/>
          <w:cols w:equalWidth="0" w:num="3">
            <w:col w:w="6040" w:space="720"/>
            <w:col w:w="1100" w:space="720"/>
            <w:col w:w="2820"/>
          </w:cols>
          <w:pgMar w:left="240" w:top="568" w:right="259" w:bottom="1440" w:gutter="0" w:footer="0" w:header="0"/>
          <w:type w:val="continuous"/>
        </w:sectPr>
      </w:pPr>
    </w:p>
    <w:p>
      <w:pPr>
        <w:spacing w:after="0" w:line="16" w:lineRule="exact"/>
        <w:rPr>
          <w:sz w:val="20"/>
          <w:szCs w:val="20"/>
          <w:color w:val="auto"/>
        </w:rPr>
      </w:pPr>
    </w:p>
    <w:p>
      <w:pPr>
        <w:spacing w:after="0"/>
        <w:rPr>
          <w:sz w:val="20"/>
          <w:szCs w:val="20"/>
          <w:color w:val="auto"/>
        </w:rPr>
      </w:pPr>
      <w:r>
        <w:rPr>
          <w:rFonts w:ascii="Arial" w:cs="Arial" w:eastAsia="Arial" w:hAnsi="Arial"/>
          <w:sz w:val="19"/>
          <w:szCs w:val="19"/>
          <w:color w:val="auto"/>
        </w:rPr>
        <w:t>Account No.: [ACCOUNT NUMBER]</w:t>
      </w:r>
    </w:p>
    <w:p>
      <w:pPr>
        <w:sectPr>
          <w:pgSz w:w="11900" w:h="16838" w:orient="portrait"/>
          <w:cols w:equalWidth="0" w:num="1">
            <w:col w:w="11400"/>
          </w:cols>
          <w:pgMar w:left="240" w:top="568" w:right="259" w:bottom="1440" w:gutter="0" w:footer="0" w:header="0"/>
          <w:type w:val="continuous"/>
        </w:sectPr>
      </w:pPr>
    </w:p>
    <w:p>
      <w:pPr>
        <w:spacing w:after="0" w:line="227" w:lineRule="exact"/>
        <w:rPr>
          <w:sz w:val="20"/>
          <w:szCs w:val="20"/>
          <w:color w:val="auto"/>
        </w:rPr>
      </w:pPr>
    </w:p>
    <w:p>
      <w:pPr>
        <w:ind w:right="20" w:firstLine="846"/>
        <w:spacing w:after="0" w:line="256" w:lineRule="auto"/>
        <w:rPr>
          <w:sz w:val="20"/>
          <w:szCs w:val="20"/>
          <w:color w:val="auto"/>
        </w:rPr>
      </w:pPr>
      <w:r>
        <w:rPr>
          <w:rFonts w:ascii="Arial" w:cs="Arial" w:eastAsia="Arial" w:hAnsi="Arial"/>
          <w:sz w:val="19"/>
          <w:szCs w:val="19"/>
          <w:color w:val="auto"/>
        </w:rPr>
        <w:t>Upon the occurrence of the Release Condition, (a) the Loans shall be paid in full and all other indebtedness of the Borrower under the Loan Documents shall be satisfied in full, (b) any commitments under the Loan Documents shall be terminated, and the Lender[s] shall have no further obligation to make any Loans or any other obligations, duties or responsibilities in connection with the Loan Documents, (c) all the security interests, mortgages, liens, pledges, charges and other encumbrances in favor of the Lender[s] to secure the Obligations shall be automatically released with no further action on the Borrower’s part, (d) all guaranties supporting the Loan Documents shall be released with no further action on the Borrower’s part, (e) all of the other respective obligations of each of the Borrower, or any of their subsidiaries or affiliates under the Loan Documents shall be released with no further action on the Borrower’s part and (f) the Loan Documents shall be terminated, canceled and of no further force and effect; provided that, the Borrower shall remain liable for any other provisions of the Loan Documents which by their terms survive the payment of the Loans.</w:t>
      </w:r>
    </w:p>
    <w:p>
      <w:pPr>
        <w:spacing w:after="0" w:line="185" w:lineRule="exact"/>
        <w:rPr>
          <w:sz w:val="20"/>
          <w:szCs w:val="20"/>
          <w:color w:val="auto"/>
        </w:rPr>
      </w:pPr>
    </w:p>
    <w:p>
      <w:pPr>
        <w:ind w:right="180" w:firstLine="846"/>
        <w:spacing w:after="0" w:line="304" w:lineRule="auto"/>
        <w:rPr>
          <w:sz w:val="20"/>
          <w:szCs w:val="20"/>
          <w:color w:val="auto"/>
        </w:rPr>
      </w:pPr>
      <w:r>
        <w:rPr>
          <w:rFonts w:ascii="Arial" w:cs="Arial" w:eastAsia="Arial" w:hAnsi="Arial"/>
          <w:sz w:val="16"/>
          <w:szCs w:val="16"/>
          <w:color w:val="auto"/>
        </w:rPr>
        <w:t>In consideration of the payment in full of the Obligations and upon the occurrence of the Release Condition, the Lender[s], hereby agree[s] to promptly deliver to the Borrower, in each case at the expense of the Borrower, the following: (a) [all certificates delivered to the Lender[s] representing stock pledged by the Borrower in favor of the Lender[s]under the Loan Documents together with related stock powers delivered to the Lender[s],] (b) all chattel paper and other instruments or documents delivered to the Lender pursuant to the Loan Documents,</w:t>
      </w:r>
    </w:p>
    <w:p>
      <w:pPr>
        <w:spacing w:after="0" w:line="2" w:lineRule="exact"/>
        <w:rPr>
          <w:sz w:val="20"/>
          <w:szCs w:val="20"/>
          <w:color w:val="auto"/>
        </w:rPr>
      </w:pPr>
    </w:p>
    <w:p>
      <w:pPr>
        <w:ind w:right="60" w:firstLine="8"/>
        <w:spacing w:after="0" w:line="276" w:lineRule="auto"/>
        <w:tabs>
          <w:tab w:leader="none" w:pos="269" w:val="left"/>
        </w:tabs>
        <w:numPr>
          <w:ilvl w:val="0"/>
          <w:numId w:val="181"/>
        </w:numPr>
        <w:rPr>
          <w:rFonts w:ascii="Arial" w:cs="Arial" w:eastAsia="Arial" w:hAnsi="Arial"/>
          <w:sz w:val="18"/>
          <w:szCs w:val="18"/>
          <w:color w:val="auto"/>
        </w:rPr>
      </w:pPr>
      <w:r>
        <w:rPr>
          <w:rFonts w:ascii="Arial" w:cs="Arial" w:eastAsia="Arial" w:hAnsi="Arial"/>
          <w:sz w:val="18"/>
          <w:szCs w:val="18"/>
          <w:color w:val="auto"/>
        </w:rPr>
        <w:t>Uniform Commercial Code releases and/or terminations and other terminations and intellectual property releases in form acceptable for recording, terminating all of the Lenders’ liens and security interests in the collateral, (d) releases, discharges and satisfactions of all mortgages in favor of the Lender[s]in form and substance satisfactory to the Borrower, (e) all other collateral in the actual physical possession of the Lender[s] and (f) reassignments of all assignments in favor of the Lender[s] in form and substance satisfactory to the Borrower.</w:t>
      </w:r>
    </w:p>
    <w:p>
      <w:pPr>
        <w:spacing w:after="0" w:line="166" w:lineRule="exact"/>
        <w:rPr>
          <w:sz w:val="20"/>
          <w:szCs w:val="20"/>
          <w:color w:val="auto"/>
        </w:rPr>
      </w:pPr>
    </w:p>
    <w:p>
      <w:pPr>
        <w:ind w:firstLine="846"/>
        <w:spacing w:after="0" w:line="244" w:lineRule="auto"/>
        <w:rPr>
          <w:sz w:val="20"/>
          <w:szCs w:val="20"/>
          <w:color w:val="auto"/>
        </w:rPr>
      </w:pPr>
      <w:r>
        <w:rPr>
          <w:rFonts w:ascii="Arial" w:cs="Arial" w:eastAsia="Arial" w:hAnsi="Arial"/>
          <w:sz w:val="20"/>
          <w:szCs w:val="20"/>
          <w:color w:val="auto"/>
        </w:rPr>
        <w:t>The Lender[s] agree[s] that the occurrence of the Release Condition constitutes payment in full of all of the liabilities and obligations of the Borrower and its respective affiliates, directors, managers, officers, members, stockholders, successors and assigns (collectively, the “</w:t>
      </w:r>
      <w:r>
        <w:rPr>
          <w:rFonts w:ascii="Arial" w:cs="Arial" w:eastAsia="Arial" w:hAnsi="Arial"/>
          <w:sz w:val="20"/>
          <w:szCs w:val="20"/>
          <w:b w:val="1"/>
          <w:bCs w:val="1"/>
          <w:color w:val="auto"/>
        </w:rPr>
        <w:t>Released Parties</w:t>
      </w:r>
      <w:r>
        <w:rPr>
          <w:rFonts w:ascii="Arial" w:cs="Arial" w:eastAsia="Arial" w:hAnsi="Arial"/>
          <w:sz w:val="20"/>
          <w:szCs w:val="20"/>
          <w:color w:val="auto"/>
        </w:rPr>
        <w:t>”) to the Lender[s], including any and all fees, expenses, reimbursements and other liabilities and obligations on behalf of Borrower or any of its affiliates on or prior to the date hereof. The Lender[s] further waive[s] any notice requirements under the Loan Documents, including Section 5(e) of the Loan Agreement.</w:t>
      </w:r>
    </w:p>
    <w:p>
      <w:pPr>
        <w:spacing w:after="0" w:line="19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w:t>
      </w:r>
    </w:p>
    <w:p>
      <w:pPr>
        <w:spacing w:after="0" w:line="5" w:lineRule="exact"/>
        <w:rPr>
          <w:sz w:val="20"/>
          <w:szCs w:val="20"/>
          <w:color w:val="auto"/>
        </w:rPr>
      </w:pPr>
    </w:p>
    <w:p>
      <w:pPr>
        <w:ind w:right="20" w:firstLine="8"/>
        <w:spacing w:after="0" w:line="237" w:lineRule="auto"/>
        <w:tabs>
          <w:tab w:leader="none" w:pos="204" w:val="left"/>
        </w:tabs>
        <w:numPr>
          <w:ilvl w:val="0"/>
          <w:numId w:val="182"/>
        </w:numPr>
        <w:rPr>
          <w:rFonts w:ascii="Arial" w:cs="Arial" w:eastAsia="Arial" w:hAnsi="Arial"/>
          <w:sz w:val="14"/>
          <w:szCs w:val="14"/>
          <w:color w:val="auto"/>
        </w:rPr>
      </w:pPr>
      <w:r>
        <w:rPr>
          <w:rFonts w:ascii="Arial" w:cs="Arial" w:eastAsia="Arial" w:hAnsi="Arial"/>
          <w:sz w:val="14"/>
          <w:szCs w:val="14"/>
          <w:color w:val="auto"/>
        </w:rPr>
        <w:t>DESIGNATES PORTIONS OF THIS DOCUMENT THAT HAVE BEEN OMITTED PURSUANT TO A REQUEST FOR CONFIDENTIAL TREATMENT FILED SEPARATELY WITH THE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46990</wp:posOffset>
            </wp:positionV>
            <wp:extent cx="7289165"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68" w:right="259" w:bottom="1440" w:gutter="0" w:footer="0" w:header="0"/>
          <w:type w:val="continuous"/>
        </w:sectPr>
      </w:pPr>
    </w:p>
    <w:bookmarkStart w:id="131" w:name="page132"/>
    <w:bookmarkEnd w:id="131"/>
    <w:p>
      <w:pPr>
        <w:ind w:right="100" w:firstLine="846"/>
        <w:spacing w:after="0" w:line="250" w:lineRule="auto"/>
        <w:rPr>
          <w:sz w:val="20"/>
          <w:szCs w:val="20"/>
          <w:color w:val="auto"/>
        </w:rPr>
      </w:pPr>
      <w:r>
        <w:rPr>
          <w:rFonts w:ascii="Arial" w:cs="Arial" w:eastAsia="Arial" w:hAnsi="Arial"/>
          <w:sz w:val="20"/>
          <w:szCs w:val="20"/>
          <w:color w:val="auto"/>
        </w:rPr>
        <w:t>Upon the occurrence of the Release Condition the Lender[s] and any affiliates of the Lender[s] knowingly and voluntarily waive[s], remise[s], release[s] and forever discharge[s] each of the Released Parties from any and all liabilities and obligations in respect of the Loans and the Loan Documents, whether known or unknown and whether absolute or contingent.</w:t>
      </w:r>
    </w:p>
    <w:p>
      <w:pPr>
        <w:spacing w:after="0" w:line="186" w:lineRule="exact"/>
        <w:rPr>
          <w:sz w:val="20"/>
          <w:szCs w:val="20"/>
          <w:color w:val="auto"/>
        </w:rPr>
      </w:pPr>
    </w:p>
    <w:p>
      <w:pPr>
        <w:ind w:right="80" w:firstLine="846"/>
        <w:spacing w:after="0" w:line="282" w:lineRule="auto"/>
        <w:rPr>
          <w:sz w:val="20"/>
          <w:szCs w:val="20"/>
          <w:color w:val="auto"/>
        </w:rPr>
      </w:pPr>
      <w:r>
        <w:rPr>
          <w:rFonts w:ascii="Arial" w:cs="Arial" w:eastAsia="Arial" w:hAnsi="Arial"/>
          <w:sz w:val="18"/>
          <w:szCs w:val="18"/>
          <w:color w:val="auto"/>
        </w:rPr>
        <w:t>Upon the occurrence of the Release Condition, the Lender[s] agree[s] to procure, deliver or execute and deliver to the Borrower, from time to time, all further releases, termination statements, certificates, instruments and documents, each in form and substance satisfactory to the Borrower, and take any other actions, as may be reasonably requested by the Borrower or which are required to evidence the consummation of the payoff contemplated hereby, in each case at the expense of the Borrower (including attorneys’ fees and expenses).</w:t>
      </w:r>
    </w:p>
    <w:p>
      <w:pPr>
        <w:spacing w:after="0" w:line="162" w:lineRule="exact"/>
        <w:rPr>
          <w:sz w:val="20"/>
          <w:szCs w:val="20"/>
          <w:color w:val="auto"/>
        </w:rPr>
      </w:pPr>
    </w:p>
    <w:p>
      <w:pPr>
        <w:ind w:right="220" w:firstLine="846"/>
        <w:spacing w:after="0" w:line="250" w:lineRule="auto"/>
        <w:rPr>
          <w:sz w:val="20"/>
          <w:szCs w:val="20"/>
          <w:color w:val="auto"/>
        </w:rPr>
      </w:pPr>
      <w:r>
        <w:rPr>
          <w:rFonts w:ascii="Arial" w:cs="Arial" w:eastAsia="Arial" w:hAnsi="Arial"/>
          <w:sz w:val="20"/>
          <w:szCs w:val="20"/>
          <w:color w:val="auto"/>
        </w:rPr>
        <w:t>Upon the occurrence of the Release Condition, the Lender[s] hereby authorize[s] the Borrower, or any other party on behalf of the Borrower, to prepare and file termination statements, intellectual property releases and other instruments and documents evidencing the consummation of the payoff contemplated hereby and the aforementioned termination and release.</w:t>
      </w:r>
    </w:p>
    <w:p>
      <w:pPr>
        <w:spacing w:after="0" w:line="186" w:lineRule="exact"/>
        <w:rPr>
          <w:sz w:val="20"/>
          <w:szCs w:val="20"/>
          <w:color w:val="auto"/>
        </w:rPr>
      </w:pPr>
    </w:p>
    <w:p>
      <w:pPr>
        <w:ind w:right="40" w:firstLine="846"/>
        <w:spacing w:after="0" w:line="260" w:lineRule="auto"/>
        <w:rPr>
          <w:sz w:val="20"/>
          <w:szCs w:val="20"/>
          <w:color w:val="auto"/>
        </w:rPr>
      </w:pPr>
      <w:r>
        <w:rPr>
          <w:rFonts w:ascii="Arial" w:cs="Arial" w:eastAsia="Arial" w:hAnsi="Arial"/>
          <w:sz w:val="20"/>
          <w:szCs w:val="20"/>
          <w:color w:val="auto"/>
        </w:rPr>
        <w:t>This letter may be executed in multiple counterparts and by facsimile signature, each of which shall be deemed an original and all of which together shall constitute one instrument.</w:t>
      </w:r>
    </w:p>
    <w:p>
      <w:pPr>
        <w:spacing w:after="0" w:line="200" w:lineRule="exact"/>
        <w:rPr>
          <w:sz w:val="20"/>
          <w:szCs w:val="20"/>
          <w:color w:val="auto"/>
        </w:rPr>
      </w:pPr>
    </w:p>
    <w:p>
      <w:pPr>
        <w:spacing w:after="0" w:line="296"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Signature page follows</w:t>
      </w:r>
      <w:r>
        <w:rPr>
          <w:rFonts w:ascii="Arial" w:cs="Arial" w:eastAsia="Arial" w:hAnsi="Arial"/>
          <w:sz w:val="22"/>
          <w:szCs w:val="22"/>
          <w:color w:val="auto"/>
        </w:rPr>
        <w:t>]</w:t>
      </w:r>
    </w:p>
    <w:p>
      <w:pPr>
        <w:spacing w:after="0" w:line="200" w:lineRule="exact"/>
        <w:rPr>
          <w:sz w:val="20"/>
          <w:szCs w:val="20"/>
          <w:color w:val="auto"/>
        </w:rPr>
      </w:pPr>
    </w:p>
    <w:p>
      <w:pPr>
        <w:spacing w:after="0" w:line="236"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3</w:t>
      </w:r>
    </w:p>
    <w:p>
      <w:pPr>
        <w:spacing w:after="0" w:line="5" w:lineRule="exact"/>
        <w:rPr>
          <w:sz w:val="20"/>
          <w:szCs w:val="20"/>
          <w:color w:val="auto"/>
        </w:rPr>
      </w:pPr>
    </w:p>
    <w:p>
      <w:pPr>
        <w:ind w:firstLine="8"/>
        <w:spacing w:after="0" w:line="237" w:lineRule="auto"/>
        <w:tabs>
          <w:tab w:leader="none" w:pos="204" w:val="left"/>
        </w:tabs>
        <w:numPr>
          <w:ilvl w:val="0"/>
          <w:numId w:val="183"/>
        </w:numPr>
        <w:rPr>
          <w:rFonts w:ascii="Arial" w:cs="Arial" w:eastAsia="Arial" w:hAnsi="Arial"/>
          <w:sz w:val="14"/>
          <w:szCs w:val="14"/>
          <w:color w:val="auto"/>
        </w:rPr>
      </w:pPr>
      <w:r>
        <w:rPr>
          <w:rFonts w:ascii="Arial" w:cs="Arial" w:eastAsia="Arial" w:hAnsi="Arial"/>
          <w:sz w:val="14"/>
          <w:szCs w:val="14"/>
          <w:color w:val="auto"/>
        </w:rPr>
        <w:t>DESIGNATES PORTIONS OF THIS DOCUMENT THAT HAVE BEEN OMITTED PURSUANT TO A REQUEST FOR CONFIDENTIAL TREATMENT FILED SEPARATELY WITH THE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46990</wp:posOffset>
            </wp:positionV>
            <wp:extent cx="7289165"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568" w:right="279" w:bottom="1440" w:gutter="0" w:footer="0" w:header="0"/>
        </w:sectPr>
      </w:pPr>
    </w:p>
    <w:bookmarkStart w:id="132" w:name="page133"/>
    <w:bookmarkEnd w:id="132"/>
    <w:p>
      <w:pPr>
        <w:spacing w:after="0"/>
        <w:rPr>
          <w:sz w:val="20"/>
          <w:szCs w:val="20"/>
          <w:color w:val="auto"/>
        </w:rPr>
      </w:pPr>
      <w:r>
        <w:rPr>
          <w:rFonts w:ascii="Arial" w:cs="Arial" w:eastAsia="Arial" w:hAnsi="Arial"/>
          <w:sz w:val="20"/>
          <w:szCs w:val="20"/>
          <w:color w:val="auto"/>
        </w:rPr>
        <w:t>Very truly yours,</w:t>
      </w:r>
    </w:p>
    <w:p>
      <w:pPr>
        <w:spacing w:after="0" w:line="205" w:lineRule="exact"/>
        <w:rPr>
          <w:sz w:val="20"/>
          <w:szCs w:val="20"/>
          <w:color w:val="auto"/>
        </w:rPr>
      </w:pPr>
    </w:p>
    <w:p>
      <w:pPr>
        <w:ind w:left="61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LENDER NAME</w:t>
      </w:r>
      <w:r>
        <w:rPr>
          <w:rFonts w:ascii="Arial" w:cs="Arial" w:eastAsia="Arial" w:hAnsi="Arial"/>
          <w:sz w:val="22"/>
          <w:szCs w:val="22"/>
          <w:color w:val="auto"/>
        </w:rPr>
        <w:t>]</w:t>
      </w:r>
    </w:p>
    <w:p>
      <w:pPr>
        <w:spacing w:after="0" w:line="212" w:lineRule="exact"/>
        <w:rPr>
          <w:sz w:val="20"/>
          <w:szCs w:val="20"/>
          <w:color w:val="auto"/>
        </w:rPr>
      </w:pPr>
    </w:p>
    <w:p>
      <w:pPr>
        <w:ind w:left="6160"/>
        <w:spacing w:after="0"/>
        <w:rPr>
          <w:sz w:val="20"/>
          <w:szCs w:val="20"/>
          <w:color w:val="auto"/>
        </w:rPr>
      </w:pPr>
      <w:r>
        <w:rPr>
          <w:rFonts w:ascii="Arial" w:cs="Arial" w:eastAsia="Arial" w:hAnsi="Arial"/>
          <w:sz w:val="22"/>
          <w:szCs w:val="22"/>
          <w:color w:val="auto"/>
        </w:rPr>
        <w:t>By</w:t>
      </w:r>
    </w:p>
    <w:p>
      <w:pPr>
        <w:spacing w:after="0" w:line="98" w:lineRule="exact"/>
        <w:rPr>
          <w:sz w:val="20"/>
          <w:szCs w:val="20"/>
          <w:color w:val="auto"/>
        </w:rPr>
      </w:pPr>
    </w:p>
    <w:p>
      <w:pPr>
        <w:ind w:left="6160"/>
        <w:spacing w:after="0"/>
        <w:rPr>
          <w:sz w:val="20"/>
          <w:szCs w:val="20"/>
          <w:color w:val="auto"/>
        </w:rPr>
      </w:pPr>
      <w:r>
        <w:rPr>
          <w:rFonts w:ascii="Arial" w:cs="Arial" w:eastAsia="Arial" w:hAnsi="Arial"/>
          <w:sz w:val="22"/>
          <w:szCs w:val="22"/>
          <w:color w:val="auto"/>
        </w:rPr>
        <w:t>Name:</w:t>
      </w:r>
    </w:p>
    <w:p>
      <w:pPr>
        <w:spacing w:after="0" w:line="98" w:lineRule="exact"/>
        <w:rPr>
          <w:sz w:val="20"/>
          <w:szCs w:val="20"/>
          <w:color w:val="auto"/>
        </w:rPr>
      </w:pPr>
    </w:p>
    <w:p>
      <w:pPr>
        <w:ind w:left="6160"/>
        <w:spacing w:after="0"/>
        <w:rPr>
          <w:sz w:val="20"/>
          <w:szCs w:val="20"/>
          <w:color w:val="auto"/>
        </w:rPr>
      </w:pPr>
      <w:r>
        <w:rPr>
          <w:rFonts w:ascii="Arial" w:cs="Arial" w:eastAsia="Arial" w:hAnsi="Arial"/>
          <w:sz w:val="22"/>
          <w:szCs w:val="22"/>
          <w:color w:val="auto"/>
        </w:rPr>
        <w:t>Title:</w:t>
      </w:r>
    </w:p>
    <w:p>
      <w:pPr>
        <w:spacing w:after="0" w:line="211" w:lineRule="exact"/>
        <w:rPr>
          <w:sz w:val="20"/>
          <w:szCs w:val="20"/>
          <w:color w:val="auto"/>
        </w:rPr>
      </w:pPr>
    </w:p>
    <w:p>
      <w:pPr>
        <w:spacing w:after="0"/>
        <w:rPr>
          <w:sz w:val="20"/>
          <w:szCs w:val="20"/>
          <w:color w:val="auto"/>
        </w:rPr>
      </w:pPr>
      <w:r>
        <w:rPr>
          <w:rFonts w:ascii="Arial" w:cs="Arial" w:eastAsia="Arial" w:hAnsi="Arial"/>
          <w:sz w:val="20"/>
          <w:szCs w:val="20"/>
          <w:color w:val="auto"/>
        </w:rPr>
        <w:t>ACKNOWLEDGED AND CONSENTED TO BY:</w:t>
      </w:r>
    </w:p>
    <w:p>
      <w:pPr>
        <w:spacing w:after="0" w:line="205" w:lineRule="exact"/>
        <w:rPr>
          <w:sz w:val="20"/>
          <w:szCs w:val="20"/>
          <w:color w:val="auto"/>
        </w:rPr>
      </w:pPr>
    </w:p>
    <w:p>
      <w:pPr>
        <w:ind w:left="6160"/>
        <w:spacing w:after="0"/>
        <w:rPr>
          <w:sz w:val="20"/>
          <w:szCs w:val="20"/>
          <w:color w:val="auto"/>
        </w:rPr>
      </w:pPr>
      <w:r>
        <w:rPr>
          <w:rFonts w:ascii="Arial" w:cs="Arial" w:eastAsia="Arial" w:hAnsi="Arial"/>
          <w:sz w:val="22"/>
          <w:szCs w:val="22"/>
          <w:b w:val="1"/>
          <w:bCs w:val="1"/>
          <w:color w:val="auto"/>
        </w:rPr>
        <w:t>1</w:t>
      </w:r>
      <w:r>
        <w:rPr>
          <w:rFonts w:ascii="Arial" w:cs="Arial" w:eastAsia="Arial" w:hAnsi="Arial"/>
          <w:sz w:val="18"/>
          <w:szCs w:val="18"/>
          <w:b w:val="1"/>
          <w:bCs w:val="1"/>
          <w:color w:val="auto"/>
        </w:rPr>
        <w:t>ST</w:t>
      </w:r>
      <w:r>
        <w:rPr>
          <w:rFonts w:ascii="Arial" w:cs="Arial" w:eastAsia="Arial" w:hAnsi="Arial"/>
          <w:sz w:val="22"/>
          <w:szCs w:val="22"/>
          <w:b w:val="1"/>
          <w:bCs w:val="1"/>
          <w:color w:val="auto"/>
        </w:rPr>
        <w:t xml:space="preserve"> ORDER PHARMACEUTICALS, INC.</w:t>
      </w:r>
    </w:p>
    <w:p>
      <w:pPr>
        <w:spacing w:after="0" w:line="212" w:lineRule="exact"/>
        <w:rPr>
          <w:sz w:val="20"/>
          <w:szCs w:val="20"/>
          <w:color w:val="auto"/>
        </w:rPr>
      </w:pPr>
    </w:p>
    <w:p>
      <w:pPr>
        <w:ind w:left="6160"/>
        <w:spacing w:after="0"/>
        <w:rPr>
          <w:sz w:val="20"/>
          <w:szCs w:val="20"/>
          <w:color w:val="auto"/>
        </w:rPr>
      </w:pPr>
      <w:r>
        <w:rPr>
          <w:rFonts w:ascii="Arial" w:cs="Arial" w:eastAsia="Arial" w:hAnsi="Arial"/>
          <w:sz w:val="22"/>
          <w:szCs w:val="22"/>
          <w:color w:val="auto"/>
        </w:rPr>
        <w:t>By</w:t>
      </w:r>
    </w:p>
    <w:p>
      <w:pPr>
        <w:spacing w:after="0" w:line="98" w:lineRule="exact"/>
        <w:rPr>
          <w:sz w:val="20"/>
          <w:szCs w:val="20"/>
          <w:color w:val="auto"/>
        </w:rPr>
      </w:pPr>
    </w:p>
    <w:p>
      <w:pPr>
        <w:ind w:left="6160"/>
        <w:spacing w:after="0"/>
        <w:rPr>
          <w:sz w:val="20"/>
          <w:szCs w:val="20"/>
          <w:color w:val="auto"/>
        </w:rPr>
      </w:pPr>
      <w:r>
        <w:rPr>
          <w:rFonts w:ascii="Arial" w:cs="Arial" w:eastAsia="Arial" w:hAnsi="Arial"/>
          <w:sz w:val="22"/>
          <w:szCs w:val="22"/>
          <w:color w:val="auto"/>
        </w:rPr>
        <w:t>Name:</w:t>
      </w:r>
    </w:p>
    <w:p>
      <w:pPr>
        <w:spacing w:after="0" w:line="98" w:lineRule="exact"/>
        <w:rPr>
          <w:sz w:val="20"/>
          <w:szCs w:val="20"/>
          <w:color w:val="auto"/>
        </w:rPr>
      </w:pPr>
    </w:p>
    <w:p>
      <w:pPr>
        <w:ind w:left="6160"/>
        <w:spacing w:after="0"/>
        <w:rPr>
          <w:sz w:val="20"/>
          <w:szCs w:val="20"/>
          <w:color w:val="auto"/>
        </w:rPr>
      </w:pPr>
      <w:r>
        <w:rPr>
          <w:rFonts w:ascii="Arial" w:cs="Arial" w:eastAsia="Arial" w:hAnsi="Arial"/>
          <w:sz w:val="22"/>
          <w:szCs w:val="22"/>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39"/>
        <w:spacing w:after="0"/>
        <w:rPr>
          <w:sz w:val="20"/>
          <w:szCs w:val="20"/>
          <w:color w:val="auto"/>
        </w:rPr>
      </w:pPr>
      <w:r>
        <w:rPr>
          <w:rFonts w:ascii="Arial" w:cs="Arial" w:eastAsia="Arial" w:hAnsi="Arial"/>
          <w:sz w:val="20"/>
          <w:szCs w:val="20"/>
          <w:i w:val="1"/>
          <w:iCs w:val="1"/>
          <w:color w:val="auto"/>
        </w:rPr>
        <w:t>Signature page to Pay-Off Letter</w:t>
      </w:r>
    </w:p>
    <w:p>
      <w:pPr>
        <w:spacing w:after="0" w:line="227" w:lineRule="exact"/>
        <w:rPr>
          <w:sz w:val="20"/>
          <w:szCs w:val="20"/>
          <w:color w:val="auto"/>
        </w:rPr>
      </w:pPr>
    </w:p>
    <w:p>
      <w:pPr>
        <w:ind w:firstLine="8"/>
        <w:spacing w:after="0" w:line="253" w:lineRule="auto"/>
        <w:tabs>
          <w:tab w:leader="none" w:pos="204" w:val="left"/>
        </w:tabs>
        <w:numPr>
          <w:ilvl w:val="0"/>
          <w:numId w:val="184"/>
        </w:numPr>
        <w:rPr>
          <w:rFonts w:ascii="Arial" w:cs="Arial" w:eastAsia="Arial" w:hAnsi="Arial"/>
          <w:sz w:val="14"/>
          <w:szCs w:val="14"/>
          <w:color w:val="auto"/>
        </w:rPr>
      </w:pPr>
      <w:r>
        <w:rPr>
          <w:rFonts w:ascii="Arial" w:cs="Arial" w:eastAsia="Arial" w:hAnsi="Arial"/>
          <w:sz w:val="14"/>
          <w:szCs w:val="14"/>
          <w:color w:val="auto"/>
        </w:rPr>
        <w:t>DESIGNATES PORTIONS OF THIS DOCUMENT THAT HAVE BEEN OMITTED PURSUANT TO A REQUEST FOR CONFIDENTIAL TREATMENT FILED SEPARATELY WITH THE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40640</wp:posOffset>
            </wp:positionV>
            <wp:extent cx="7289165"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568" w:right="279" w:bottom="1440" w:gutter="0" w:footer="0" w:header="0"/>
        </w:sectPr>
      </w:pPr>
    </w:p>
    <w:bookmarkStart w:id="133" w:name="page134"/>
    <w:bookmarkEnd w:id="133"/>
    <w:p>
      <w:pPr>
        <w:jc w:val="center"/>
        <w:ind w:right="-39"/>
        <w:spacing w:after="0"/>
        <w:rPr>
          <w:sz w:val="20"/>
          <w:szCs w:val="20"/>
          <w:color w:val="auto"/>
        </w:rPr>
      </w:pPr>
      <w:r>
        <w:rPr>
          <w:rFonts w:ascii="Arial" w:cs="Arial" w:eastAsia="Arial" w:hAnsi="Arial"/>
          <w:sz w:val="22"/>
          <w:szCs w:val="22"/>
          <w:b w:val="1"/>
          <w:bCs w:val="1"/>
          <w:u w:val="single" w:color="auto"/>
          <w:color w:val="auto"/>
        </w:rPr>
        <w:t>SCHEDULES TO ASSET PURCHASE AGREEMENT</w:t>
      </w: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Schedule 1.59 – Transferred Technology</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VRX621698 Study Reports and Raw Data</w:t>
      </w:r>
    </w:p>
    <w:p>
      <w:pPr>
        <w:spacing w:after="0" w:line="2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ELECTRONIC FILES</w:t>
      </w:r>
    </w:p>
    <w:p>
      <w:pPr>
        <w:spacing w:after="0" w:line="105" w:lineRule="exact"/>
        <w:rPr>
          <w:sz w:val="20"/>
          <w:szCs w:val="20"/>
          <w:color w:val="auto"/>
        </w:rPr>
      </w:pPr>
    </w:p>
    <w:p>
      <w:pPr>
        <w:ind w:left="20"/>
        <w:spacing w:after="0"/>
        <w:rPr>
          <w:sz w:val="20"/>
          <w:szCs w:val="20"/>
          <w:color w:val="auto"/>
        </w:rPr>
      </w:pPr>
      <w:r>
        <w:rPr>
          <w:rFonts w:ascii="Arial" w:cs="Arial" w:eastAsia="Arial" w:hAnsi="Arial"/>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-143510</wp:posOffset>
            </wp:positionV>
            <wp:extent cx="7246620" cy="587438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46620" cy="5874385"/>
                    </a:xfrm>
                    <a:prstGeom prst="rect">
                      <a:avLst/>
                    </a:prstGeom>
                    <a:noFill/>
                  </pic:spPr>
                </pic:pic>
              </a:graphicData>
            </a:graphic>
          </wp:anchor>
        </w:drawing>
      </w:r>
    </w:p>
    <w:p>
      <w:pPr>
        <w:ind w:left="20"/>
        <w:spacing w:after="0"/>
        <w:rPr>
          <w:sz w:val="20"/>
          <w:szCs w:val="20"/>
          <w:color w:val="auto"/>
        </w:rPr>
      </w:pPr>
      <w:r>
        <w:rPr>
          <w:rFonts w:ascii="Arial" w:cs="Arial" w:eastAsia="Arial" w:hAnsi="Arial"/>
          <w:sz w:val="20"/>
          <w:szCs w:val="20"/>
          <w:color w:val="auto"/>
        </w:rPr>
        <w:t>[†]</w:t>
      </w:r>
    </w:p>
    <w:p>
      <w:pPr>
        <w:spacing w:after="0" w:line="13" w:lineRule="exact"/>
        <w:rPr>
          <w:sz w:val="20"/>
          <w:szCs w:val="20"/>
          <w:color w:val="auto"/>
        </w:rPr>
      </w:pPr>
    </w:p>
    <w:p>
      <w:pPr>
        <w:ind w:left="20"/>
        <w:spacing w:after="0"/>
        <w:rPr>
          <w:sz w:val="20"/>
          <w:szCs w:val="20"/>
          <w:color w:val="auto"/>
        </w:rPr>
      </w:pPr>
      <w:r>
        <w:rPr>
          <w:rFonts w:ascii="Arial" w:cs="Arial" w:eastAsia="Arial" w:hAnsi="Arial"/>
          <w:sz w:val="20"/>
          <w:szCs w:val="20"/>
          <w:color w:val="auto"/>
        </w:rPr>
        <w:t>[†]</w:t>
      </w:r>
    </w:p>
    <w:p>
      <w:pPr>
        <w:spacing w:after="0" w:line="13" w:lineRule="exact"/>
        <w:rPr>
          <w:sz w:val="20"/>
          <w:szCs w:val="20"/>
          <w:color w:val="auto"/>
        </w:rPr>
      </w:pPr>
    </w:p>
    <w:p>
      <w:pPr>
        <w:ind w:left="20"/>
        <w:spacing w:after="0"/>
        <w:rPr>
          <w:sz w:val="20"/>
          <w:szCs w:val="20"/>
          <w:color w:val="auto"/>
        </w:rPr>
      </w:pPr>
      <w:r>
        <w:rPr>
          <w:rFonts w:ascii="Arial" w:cs="Arial" w:eastAsia="Arial" w:hAnsi="Arial"/>
          <w:sz w:val="20"/>
          <w:szCs w:val="20"/>
          <w:color w:val="auto"/>
        </w:rPr>
        <w:t>[†]</w:t>
      </w:r>
    </w:p>
    <w:p>
      <w:pPr>
        <w:spacing w:after="0" w:line="13" w:lineRule="exact"/>
        <w:rPr>
          <w:sz w:val="20"/>
          <w:szCs w:val="20"/>
          <w:color w:val="auto"/>
        </w:rPr>
      </w:pPr>
    </w:p>
    <w:p>
      <w:pPr>
        <w:ind w:left="20"/>
        <w:spacing w:after="0"/>
        <w:rPr>
          <w:sz w:val="20"/>
          <w:szCs w:val="20"/>
          <w:color w:val="auto"/>
        </w:rPr>
      </w:pPr>
      <w:r>
        <w:rPr>
          <w:rFonts w:ascii="Arial" w:cs="Arial" w:eastAsia="Arial" w:hAnsi="Arial"/>
          <w:sz w:val="20"/>
          <w:szCs w:val="20"/>
          <w:color w:val="auto"/>
        </w:rPr>
        <w:t>[†]</w:t>
      </w:r>
    </w:p>
    <w:p>
      <w:pPr>
        <w:spacing w:after="0" w:line="13" w:lineRule="exact"/>
        <w:rPr>
          <w:sz w:val="20"/>
          <w:szCs w:val="20"/>
          <w:color w:val="auto"/>
        </w:rPr>
      </w:pPr>
    </w:p>
    <w:p>
      <w:pPr>
        <w:ind w:left="20"/>
        <w:spacing w:after="0"/>
        <w:rPr>
          <w:sz w:val="20"/>
          <w:szCs w:val="20"/>
          <w:color w:val="auto"/>
        </w:rPr>
      </w:pPr>
      <w:r>
        <w:rPr>
          <w:rFonts w:ascii="Arial" w:cs="Arial" w:eastAsia="Arial" w:hAnsi="Arial"/>
          <w:sz w:val="20"/>
          <w:szCs w:val="20"/>
          <w:color w:val="auto"/>
        </w:rPr>
        <w:t>[†]</w:t>
      </w:r>
    </w:p>
    <w:p>
      <w:pPr>
        <w:spacing w:after="0" w:line="13" w:lineRule="exact"/>
        <w:rPr>
          <w:sz w:val="20"/>
          <w:szCs w:val="20"/>
          <w:color w:val="auto"/>
        </w:rPr>
      </w:pPr>
    </w:p>
    <w:p>
      <w:pPr>
        <w:ind w:left="20"/>
        <w:spacing w:after="0"/>
        <w:rPr>
          <w:sz w:val="20"/>
          <w:szCs w:val="20"/>
          <w:color w:val="auto"/>
        </w:rPr>
      </w:pPr>
      <w:r>
        <w:rPr>
          <w:rFonts w:ascii="Arial" w:cs="Arial" w:eastAsia="Arial" w:hAnsi="Arial"/>
          <w:sz w:val="20"/>
          <w:szCs w:val="20"/>
          <w:color w:val="auto"/>
        </w:rPr>
        <w:t>[†]</w:t>
      </w:r>
    </w:p>
    <w:p>
      <w:pPr>
        <w:spacing w:after="0" w:line="13" w:lineRule="exact"/>
        <w:rPr>
          <w:sz w:val="20"/>
          <w:szCs w:val="20"/>
          <w:color w:val="auto"/>
        </w:rPr>
      </w:pPr>
    </w:p>
    <w:p>
      <w:pPr>
        <w:ind w:left="20"/>
        <w:spacing w:after="0"/>
        <w:rPr>
          <w:sz w:val="20"/>
          <w:szCs w:val="20"/>
          <w:color w:val="auto"/>
        </w:rPr>
      </w:pPr>
      <w:r>
        <w:rPr>
          <w:rFonts w:ascii="Arial" w:cs="Arial" w:eastAsia="Arial" w:hAnsi="Arial"/>
          <w:sz w:val="20"/>
          <w:szCs w:val="20"/>
          <w:color w:val="auto"/>
        </w:rPr>
        <w:t>[†]</w:t>
      </w:r>
    </w:p>
    <w:p>
      <w:pPr>
        <w:spacing w:after="0" w:line="13" w:lineRule="exact"/>
        <w:rPr>
          <w:sz w:val="20"/>
          <w:szCs w:val="20"/>
          <w:color w:val="auto"/>
        </w:rPr>
      </w:pPr>
    </w:p>
    <w:p>
      <w:pPr>
        <w:ind w:left="20"/>
        <w:spacing w:after="0"/>
        <w:rPr>
          <w:sz w:val="20"/>
          <w:szCs w:val="20"/>
          <w:color w:val="auto"/>
        </w:rPr>
      </w:pPr>
      <w:r>
        <w:rPr>
          <w:rFonts w:ascii="Arial" w:cs="Arial" w:eastAsia="Arial" w:hAnsi="Arial"/>
          <w:sz w:val="20"/>
          <w:szCs w:val="20"/>
          <w:color w:val="auto"/>
        </w:rPr>
        <w:t>[†]</w:t>
      </w:r>
    </w:p>
    <w:p>
      <w:pPr>
        <w:spacing w:after="0" w:line="13" w:lineRule="exact"/>
        <w:rPr>
          <w:sz w:val="20"/>
          <w:szCs w:val="20"/>
          <w:color w:val="auto"/>
        </w:rPr>
      </w:pPr>
    </w:p>
    <w:p>
      <w:pPr>
        <w:ind w:left="20"/>
        <w:spacing w:after="0"/>
        <w:rPr>
          <w:sz w:val="20"/>
          <w:szCs w:val="20"/>
          <w:color w:val="auto"/>
        </w:rPr>
      </w:pPr>
      <w:r>
        <w:rPr>
          <w:rFonts w:ascii="Arial" w:cs="Arial" w:eastAsia="Arial" w:hAnsi="Arial"/>
          <w:sz w:val="20"/>
          <w:szCs w:val="20"/>
          <w:color w:val="auto"/>
        </w:rPr>
        <w:t>[†]</w:t>
      </w:r>
    </w:p>
    <w:p>
      <w:pPr>
        <w:spacing w:after="0" w:line="13" w:lineRule="exact"/>
        <w:rPr>
          <w:sz w:val="20"/>
          <w:szCs w:val="20"/>
          <w:color w:val="auto"/>
        </w:rPr>
      </w:pPr>
    </w:p>
    <w:p>
      <w:pPr>
        <w:ind w:left="20"/>
        <w:spacing w:after="0"/>
        <w:rPr>
          <w:sz w:val="20"/>
          <w:szCs w:val="20"/>
          <w:color w:val="auto"/>
        </w:rPr>
      </w:pPr>
      <w:r>
        <w:rPr>
          <w:rFonts w:ascii="Arial" w:cs="Arial" w:eastAsia="Arial" w:hAnsi="Arial"/>
          <w:sz w:val="20"/>
          <w:szCs w:val="20"/>
          <w:color w:val="auto"/>
        </w:rPr>
        <w:t>[†]</w:t>
      </w:r>
    </w:p>
    <w:p>
      <w:pPr>
        <w:spacing w:after="0" w:line="13" w:lineRule="exact"/>
        <w:rPr>
          <w:sz w:val="20"/>
          <w:szCs w:val="20"/>
          <w:color w:val="auto"/>
        </w:rPr>
      </w:pPr>
    </w:p>
    <w:p>
      <w:pPr>
        <w:ind w:left="20"/>
        <w:spacing w:after="0"/>
        <w:rPr>
          <w:sz w:val="20"/>
          <w:szCs w:val="20"/>
          <w:color w:val="auto"/>
        </w:rPr>
      </w:pPr>
      <w:r>
        <w:rPr>
          <w:rFonts w:ascii="Arial" w:cs="Arial" w:eastAsia="Arial" w:hAnsi="Arial"/>
          <w:sz w:val="20"/>
          <w:szCs w:val="20"/>
          <w:color w:val="auto"/>
        </w:rPr>
        <w:t>[†]</w:t>
      </w:r>
    </w:p>
    <w:p>
      <w:pPr>
        <w:spacing w:after="0" w:line="13" w:lineRule="exact"/>
        <w:rPr>
          <w:sz w:val="20"/>
          <w:szCs w:val="20"/>
          <w:color w:val="auto"/>
        </w:rPr>
      </w:pPr>
    </w:p>
    <w:p>
      <w:pPr>
        <w:ind w:left="20"/>
        <w:spacing w:after="0"/>
        <w:rPr>
          <w:sz w:val="20"/>
          <w:szCs w:val="20"/>
          <w:color w:val="auto"/>
        </w:rPr>
      </w:pPr>
      <w:r>
        <w:rPr>
          <w:rFonts w:ascii="Arial" w:cs="Arial" w:eastAsia="Arial" w:hAnsi="Arial"/>
          <w:sz w:val="20"/>
          <w:szCs w:val="20"/>
          <w:color w:val="auto"/>
        </w:rPr>
        <w:t>[†]</w:t>
      </w:r>
    </w:p>
    <w:p>
      <w:pPr>
        <w:spacing w:after="0" w:line="13" w:lineRule="exact"/>
        <w:rPr>
          <w:sz w:val="20"/>
          <w:szCs w:val="20"/>
          <w:color w:val="auto"/>
        </w:rPr>
      </w:pPr>
    </w:p>
    <w:p>
      <w:pPr>
        <w:ind w:left="20"/>
        <w:spacing w:after="0"/>
        <w:rPr>
          <w:sz w:val="20"/>
          <w:szCs w:val="20"/>
          <w:color w:val="auto"/>
        </w:rPr>
      </w:pPr>
      <w:r>
        <w:rPr>
          <w:rFonts w:ascii="Arial" w:cs="Arial" w:eastAsia="Arial" w:hAnsi="Arial"/>
          <w:sz w:val="20"/>
          <w:szCs w:val="20"/>
          <w:color w:val="auto"/>
        </w:rPr>
        <w:t>[†]</w:t>
      </w:r>
    </w:p>
    <w:p>
      <w:pPr>
        <w:spacing w:after="0" w:line="13" w:lineRule="exact"/>
        <w:rPr>
          <w:sz w:val="20"/>
          <w:szCs w:val="20"/>
          <w:color w:val="auto"/>
        </w:rPr>
      </w:pPr>
    </w:p>
    <w:p>
      <w:pPr>
        <w:ind w:left="20"/>
        <w:spacing w:after="0"/>
        <w:rPr>
          <w:sz w:val="20"/>
          <w:szCs w:val="20"/>
          <w:color w:val="auto"/>
        </w:rPr>
      </w:pPr>
      <w:r>
        <w:rPr>
          <w:rFonts w:ascii="Arial" w:cs="Arial" w:eastAsia="Arial" w:hAnsi="Arial"/>
          <w:sz w:val="20"/>
          <w:szCs w:val="20"/>
          <w:color w:val="auto"/>
        </w:rPr>
        <w:t>[†]</w:t>
      </w:r>
    </w:p>
    <w:p>
      <w:pPr>
        <w:spacing w:after="0" w:line="13" w:lineRule="exact"/>
        <w:rPr>
          <w:sz w:val="20"/>
          <w:szCs w:val="20"/>
          <w:color w:val="auto"/>
        </w:rPr>
      </w:pPr>
    </w:p>
    <w:p>
      <w:pPr>
        <w:ind w:left="20"/>
        <w:spacing w:after="0"/>
        <w:rPr>
          <w:sz w:val="20"/>
          <w:szCs w:val="20"/>
          <w:color w:val="auto"/>
        </w:rPr>
      </w:pPr>
      <w:r>
        <w:rPr>
          <w:rFonts w:ascii="Arial" w:cs="Arial" w:eastAsia="Arial" w:hAnsi="Arial"/>
          <w:sz w:val="20"/>
          <w:szCs w:val="20"/>
          <w:color w:val="auto"/>
        </w:rPr>
        <w:t>[†]</w:t>
      </w:r>
    </w:p>
    <w:p>
      <w:pPr>
        <w:spacing w:after="0" w:line="13" w:lineRule="exact"/>
        <w:rPr>
          <w:sz w:val="20"/>
          <w:szCs w:val="20"/>
          <w:color w:val="auto"/>
        </w:rPr>
      </w:pPr>
    </w:p>
    <w:p>
      <w:pPr>
        <w:ind w:left="20"/>
        <w:spacing w:after="0"/>
        <w:rPr>
          <w:sz w:val="20"/>
          <w:szCs w:val="20"/>
          <w:color w:val="auto"/>
        </w:rPr>
      </w:pPr>
      <w:r>
        <w:rPr>
          <w:rFonts w:ascii="Arial" w:cs="Arial" w:eastAsia="Arial" w:hAnsi="Arial"/>
          <w:sz w:val="20"/>
          <w:szCs w:val="20"/>
          <w:color w:val="auto"/>
        </w:rPr>
        <w:t>[†]</w:t>
      </w:r>
    </w:p>
    <w:p>
      <w:pPr>
        <w:spacing w:after="0" w:line="13" w:lineRule="exact"/>
        <w:rPr>
          <w:sz w:val="20"/>
          <w:szCs w:val="20"/>
          <w:color w:val="auto"/>
        </w:rPr>
      </w:pPr>
    </w:p>
    <w:p>
      <w:pPr>
        <w:ind w:left="20"/>
        <w:spacing w:after="0"/>
        <w:rPr>
          <w:sz w:val="20"/>
          <w:szCs w:val="20"/>
          <w:color w:val="auto"/>
        </w:rPr>
      </w:pPr>
      <w:r>
        <w:rPr>
          <w:rFonts w:ascii="Arial" w:cs="Arial" w:eastAsia="Arial" w:hAnsi="Arial"/>
          <w:sz w:val="20"/>
          <w:szCs w:val="20"/>
          <w:color w:val="auto"/>
        </w:rPr>
        <w:t>[†]</w:t>
      </w:r>
    </w:p>
    <w:p>
      <w:pPr>
        <w:spacing w:after="0" w:line="13" w:lineRule="exact"/>
        <w:rPr>
          <w:sz w:val="20"/>
          <w:szCs w:val="20"/>
          <w:color w:val="auto"/>
        </w:rPr>
      </w:pPr>
    </w:p>
    <w:p>
      <w:pPr>
        <w:ind w:left="20"/>
        <w:spacing w:after="0"/>
        <w:rPr>
          <w:sz w:val="20"/>
          <w:szCs w:val="20"/>
          <w:color w:val="auto"/>
        </w:rPr>
      </w:pPr>
      <w:r>
        <w:rPr>
          <w:rFonts w:ascii="Arial" w:cs="Arial" w:eastAsia="Arial" w:hAnsi="Arial"/>
          <w:sz w:val="20"/>
          <w:szCs w:val="20"/>
          <w:color w:val="auto"/>
        </w:rPr>
        <w:t>[†]</w:t>
      </w:r>
    </w:p>
    <w:p>
      <w:pPr>
        <w:spacing w:after="0" w:line="13" w:lineRule="exact"/>
        <w:rPr>
          <w:sz w:val="20"/>
          <w:szCs w:val="20"/>
          <w:color w:val="auto"/>
        </w:rPr>
      </w:pPr>
    </w:p>
    <w:p>
      <w:pPr>
        <w:ind w:left="20"/>
        <w:spacing w:after="0"/>
        <w:rPr>
          <w:sz w:val="20"/>
          <w:szCs w:val="20"/>
          <w:color w:val="auto"/>
        </w:rPr>
      </w:pPr>
      <w:r>
        <w:rPr>
          <w:rFonts w:ascii="Arial" w:cs="Arial" w:eastAsia="Arial" w:hAnsi="Arial"/>
          <w:sz w:val="20"/>
          <w:szCs w:val="20"/>
          <w:color w:val="auto"/>
        </w:rPr>
        <w:t>[†]</w:t>
      </w:r>
    </w:p>
    <w:p>
      <w:pPr>
        <w:spacing w:after="0" w:line="13" w:lineRule="exact"/>
        <w:rPr>
          <w:sz w:val="20"/>
          <w:szCs w:val="20"/>
          <w:color w:val="auto"/>
        </w:rPr>
      </w:pPr>
    </w:p>
    <w:p>
      <w:pPr>
        <w:ind w:left="20"/>
        <w:spacing w:after="0"/>
        <w:rPr>
          <w:sz w:val="20"/>
          <w:szCs w:val="20"/>
          <w:color w:val="auto"/>
        </w:rPr>
      </w:pPr>
      <w:r>
        <w:rPr>
          <w:rFonts w:ascii="Arial" w:cs="Arial" w:eastAsia="Arial" w:hAnsi="Arial"/>
          <w:sz w:val="20"/>
          <w:szCs w:val="20"/>
          <w:color w:val="auto"/>
        </w:rPr>
        <w:t>[†]</w:t>
      </w:r>
    </w:p>
    <w:p>
      <w:pPr>
        <w:spacing w:after="0" w:line="13" w:lineRule="exact"/>
        <w:rPr>
          <w:sz w:val="20"/>
          <w:szCs w:val="20"/>
          <w:color w:val="auto"/>
        </w:rPr>
      </w:pPr>
    </w:p>
    <w:p>
      <w:pPr>
        <w:ind w:left="20"/>
        <w:spacing w:after="0"/>
        <w:rPr>
          <w:sz w:val="20"/>
          <w:szCs w:val="20"/>
          <w:color w:val="auto"/>
        </w:rPr>
      </w:pPr>
      <w:r>
        <w:rPr>
          <w:rFonts w:ascii="Arial" w:cs="Arial" w:eastAsia="Arial" w:hAnsi="Arial"/>
          <w:sz w:val="20"/>
          <w:szCs w:val="20"/>
          <w:color w:val="auto"/>
        </w:rPr>
        <w:t>[†]</w:t>
      </w:r>
    </w:p>
    <w:p>
      <w:pPr>
        <w:spacing w:after="0" w:line="13" w:lineRule="exact"/>
        <w:rPr>
          <w:sz w:val="20"/>
          <w:szCs w:val="20"/>
          <w:color w:val="auto"/>
        </w:rPr>
      </w:pPr>
    </w:p>
    <w:p>
      <w:pPr>
        <w:ind w:left="20"/>
        <w:spacing w:after="0"/>
        <w:rPr>
          <w:sz w:val="20"/>
          <w:szCs w:val="20"/>
          <w:color w:val="auto"/>
        </w:rPr>
      </w:pPr>
      <w:r>
        <w:rPr>
          <w:rFonts w:ascii="Arial" w:cs="Arial" w:eastAsia="Arial" w:hAnsi="Arial"/>
          <w:sz w:val="20"/>
          <w:szCs w:val="20"/>
          <w:color w:val="auto"/>
        </w:rPr>
        <w:t>[†]</w:t>
      </w:r>
    </w:p>
    <w:p>
      <w:pPr>
        <w:spacing w:after="0" w:line="13" w:lineRule="exact"/>
        <w:rPr>
          <w:sz w:val="20"/>
          <w:szCs w:val="20"/>
          <w:color w:val="auto"/>
        </w:rPr>
      </w:pPr>
    </w:p>
    <w:p>
      <w:pPr>
        <w:ind w:left="20"/>
        <w:spacing w:after="0"/>
        <w:rPr>
          <w:sz w:val="20"/>
          <w:szCs w:val="20"/>
          <w:color w:val="auto"/>
        </w:rPr>
      </w:pPr>
      <w:r>
        <w:rPr>
          <w:rFonts w:ascii="Arial" w:cs="Arial" w:eastAsia="Arial" w:hAnsi="Arial"/>
          <w:sz w:val="20"/>
          <w:szCs w:val="20"/>
          <w:color w:val="auto"/>
        </w:rPr>
        <w:t>[†]</w:t>
      </w:r>
    </w:p>
    <w:p>
      <w:pPr>
        <w:spacing w:after="0" w:line="13" w:lineRule="exact"/>
        <w:rPr>
          <w:sz w:val="20"/>
          <w:szCs w:val="20"/>
          <w:color w:val="auto"/>
        </w:rPr>
      </w:pPr>
    </w:p>
    <w:p>
      <w:pPr>
        <w:ind w:left="20"/>
        <w:spacing w:after="0"/>
        <w:rPr>
          <w:sz w:val="20"/>
          <w:szCs w:val="20"/>
          <w:color w:val="auto"/>
        </w:rPr>
      </w:pPr>
      <w:r>
        <w:rPr>
          <w:rFonts w:ascii="Arial" w:cs="Arial" w:eastAsia="Arial" w:hAnsi="Arial"/>
          <w:sz w:val="20"/>
          <w:szCs w:val="20"/>
          <w:color w:val="auto"/>
        </w:rPr>
        <w:t>[†]</w:t>
      </w:r>
    </w:p>
    <w:p>
      <w:pPr>
        <w:spacing w:after="0" w:line="13" w:lineRule="exact"/>
        <w:rPr>
          <w:sz w:val="20"/>
          <w:szCs w:val="20"/>
          <w:color w:val="auto"/>
        </w:rPr>
      </w:pPr>
    </w:p>
    <w:p>
      <w:pPr>
        <w:ind w:left="20"/>
        <w:spacing w:after="0"/>
        <w:rPr>
          <w:sz w:val="20"/>
          <w:szCs w:val="20"/>
          <w:color w:val="auto"/>
        </w:rPr>
      </w:pPr>
      <w:r>
        <w:rPr>
          <w:rFonts w:ascii="Arial" w:cs="Arial" w:eastAsia="Arial" w:hAnsi="Arial"/>
          <w:sz w:val="20"/>
          <w:szCs w:val="20"/>
          <w:color w:val="auto"/>
        </w:rPr>
        <w:t>[†]</w:t>
      </w:r>
    </w:p>
    <w:p>
      <w:pPr>
        <w:spacing w:after="0" w:line="13" w:lineRule="exact"/>
        <w:rPr>
          <w:sz w:val="20"/>
          <w:szCs w:val="20"/>
          <w:color w:val="auto"/>
        </w:rPr>
      </w:pPr>
    </w:p>
    <w:p>
      <w:pPr>
        <w:ind w:left="20"/>
        <w:spacing w:after="0"/>
        <w:rPr>
          <w:sz w:val="20"/>
          <w:szCs w:val="20"/>
          <w:color w:val="auto"/>
        </w:rPr>
      </w:pPr>
      <w:r>
        <w:rPr>
          <w:rFonts w:ascii="Arial" w:cs="Arial" w:eastAsia="Arial" w:hAnsi="Arial"/>
          <w:sz w:val="20"/>
          <w:szCs w:val="20"/>
          <w:color w:val="auto"/>
        </w:rPr>
        <w:t>[†]</w:t>
      </w:r>
    </w:p>
    <w:p>
      <w:pPr>
        <w:spacing w:after="0" w:line="13" w:lineRule="exact"/>
        <w:rPr>
          <w:sz w:val="20"/>
          <w:szCs w:val="20"/>
          <w:color w:val="auto"/>
        </w:rPr>
      </w:pPr>
    </w:p>
    <w:p>
      <w:pPr>
        <w:ind w:left="20"/>
        <w:spacing w:after="0"/>
        <w:rPr>
          <w:sz w:val="20"/>
          <w:szCs w:val="20"/>
          <w:color w:val="auto"/>
        </w:rPr>
      </w:pPr>
      <w:r>
        <w:rPr>
          <w:rFonts w:ascii="Arial" w:cs="Arial" w:eastAsia="Arial" w:hAnsi="Arial"/>
          <w:sz w:val="20"/>
          <w:szCs w:val="20"/>
          <w:color w:val="auto"/>
        </w:rPr>
        <w:t>[†]</w:t>
      </w:r>
    </w:p>
    <w:p>
      <w:pPr>
        <w:spacing w:after="0" w:line="13" w:lineRule="exact"/>
        <w:rPr>
          <w:sz w:val="20"/>
          <w:szCs w:val="20"/>
          <w:color w:val="auto"/>
        </w:rPr>
      </w:pPr>
    </w:p>
    <w:p>
      <w:pPr>
        <w:ind w:left="20"/>
        <w:spacing w:after="0"/>
        <w:rPr>
          <w:sz w:val="20"/>
          <w:szCs w:val="20"/>
          <w:color w:val="auto"/>
        </w:rPr>
      </w:pPr>
      <w:r>
        <w:rPr>
          <w:rFonts w:ascii="Arial" w:cs="Arial" w:eastAsia="Arial" w:hAnsi="Arial"/>
          <w:sz w:val="20"/>
          <w:szCs w:val="20"/>
          <w:color w:val="auto"/>
        </w:rPr>
        <w:t>[†]</w:t>
      </w:r>
    </w:p>
    <w:p>
      <w:pPr>
        <w:spacing w:after="0" w:line="13" w:lineRule="exact"/>
        <w:rPr>
          <w:sz w:val="20"/>
          <w:szCs w:val="20"/>
          <w:color w:val="auto"/>
        </w:rPr>
      </w:pPr>
    </w:p>
    <w:p>
      <w:pPr>
        <w:ind w:left="20"/>
        <w:spacing w:after="0"/>
        <w:rPr>
          <w:sz w:val="20"/>
          <w:szCs w:val="20"/>
          <w:color w:val="auto"/>
        </w:rPr>
      </w:pPr>
      <w:r>
        <w:rPr>
          <w:rFonts w:ascii="Arial" w:cs="Arial" w:eastAsia="Arial" w:hAnsi="Arial"/>
          <w:sz w:val="20"/>
          <w:szCs w:val="20"/>
          <w:color w:val="auto"/>
        </w:rPr>
        <w:t>[†]</w:t>
      </w:r>
    </w:p>
    <w:p>
      <w:pPr>
        <w:spacing w:after="0" w:line="13" w:lineRule="exact"/>
        <w:rPr>
          <w:sz w:val="20"/>
          <w:szCs w:val="20"/>
          <w:color w:val="auto"/>
        </w:rPr>
      </w:pPr>
    </w:p>
    <w:p>
      <w:pPr>
        <w:ind w:left="20"/>
        <w:spacing w:after="0"/>
        <w:rPr>
          <w:sz w:val="20"/>
          <w:szCs w:val="20"/>
          <w:color w:val="auto"/>
        </w:rPr>
      </w:pPr>
      <w:r>
        <w:rPr>
          <w:rFonts w:ascii="Arial" w:cs="Arial" w:eastAsia="Arial" w:hAnsi="Arial"/>
          <w:sz w:val="20"/>
          <w:szCs w:val="20"/>
          <w:color w:val="auto"/>
        </w:rPr>
        <w:t>[†]</w:t>
      </w:r>
    </w:p>
    <w:p>
      <w:pPr>
        <w:spacing w:after="0" w:line="13" w:lineRule="exact"/>
        <w:rPr>
          <w:sz w:val="20"/>
          <w:szCs w:val="20"/>
          <w:color w:val="auto"/>
        </w:rPr>
      </w:pPr>
    </w:p>
    <w:p>
      <w:pPr>
        <w:ind w:left="20"/>
        <w:spacing w:after="0"/>
        <w:rPr>
          <w:sz w:val="20"/>
          <w:szCs w:val="20"/>
          <w:color w:val="auto"/>
        </w:rPr>
      </w:pPr>
      <w:r>
        <w:rPr>
          <w:rFonts w:ascii="Arial" w:cs="Arial" w:eastAsia="Arial" w:hAnsi="Arial"/>
          <w:sz w:val="20"/>
          <w:szCs w:val="20"/>
          <w:color w:val="auto"/>
        </w:rPr>
        <w:t>[†]</w:t>
      </w:r>
    </w:p>
    <w:p>
      <w:pPr>
        <w:spacing w:after="0" w:line="13" w:lineRule="exact"/>
        <w:rPr>
          <w:sz w:val="20"/>
          <w:szCs w:val="20"/>
          <w:color w:val="auto"/>
        </w:rPr>
      </w:pPr>
    </w:p>
    <w:p>
      <w:pPr>
        <w:ind w:left="20"/>
        <w:spacing w:after="0"/>
        <w:rPr>
          <w:sz w:val="20"/>
          <w:szCs w:val="20"/>
          <w:color w:val="auto"/>
        </w:rPr>
      </w:pPr>
      <w:r>
        <w:rPr>
          <w:rFonts w:ascii="Arial" w:cs="Arial" w:eastAsia="Arial" w:hAnsi="Arial"/>
          <w:sz w:val="20"/>
          <w:szCs w:val="20"/>
          <w:color w:val="auto"/>
        </w:rPr>
        <w:t>[†]</w:t>
      </w:r>
    </w:p>
    <w:p>
      <w:pPr>
        <w:spacing w:after="0" w:line="13" w:lineRule="exact"/>
        <w:rPr>
          <w:sz w:val="20"/>
          <w:szCs w:val="20"/>
          <w:color w:val="auto"/>
        </w:rPr>
      </w:pPr>
    </w:p>
    <w:p>
      <w:pPr>
        <w:ind w:left="20"/>
        <w:spacing w:after="0"/>
        <w:rPr>
          <w:sz w:val="20"/>
          <w:szCs w:val="20"/>
          <w:color w:val="auto"/>
        </w:rPr>
      </w:pPr>
      <w:r>
        <w:rPr>
          <w:rFonts w:ascii="Arial" w:cs="Arial" w:eastAsia="Arial" w:hAnsi="Arial"/>
          <w:sz w:val="20"/>
          <w:szCs w:val="20"/>
          <w:color w:val="auto"/>
        </w:rPr>
        <w:t>[†]</w:t>
      </w:r>
    </w:p>
    <w:p>
      <w:pPr>
        <w:spacing w:after="0" w:line="13" w:lineRule="exact"/>
        <w:rPr>
          <w:sz w:val="20"/>
          <w:szCs w:val="20"/>
          <w:color w:val="auto"/>
        </w:rPr>
      </w:pPr>
    </w:p>
    <w:p>
      <w:pPr>
        <w:ind w:left="20"/>
        <w:spacing w:after="0"/>
        <w:rPr>
          <w:sz w:val="20"/>
          <w:szCs w:val="20"/>
          <w:color w:val="auto"/>
        </w:rPr>
      </w:pPr>
      <w:r>
        <w:rPr>
          <w:rFonts w:ascii="Arial" w:cs="Arial" w:eastAsia="Arial" w:hAnsi="Arial"/>
          <w:sz w:val="20"/>
          <w:szCs w:val="20"/>
          <w:color w:val="auto"/>
        </w:rPr>
        <w:t>[†]</w:t>
      </w:r>
    </w:p>
    <w:p>
      <w:pPr>
        <w:spacing w:after="0" w:line="13" w:lineRule="exact"/>
        <w:rPr>
          <w:sz w:val="20"/>
          <w:szCs w:val="20"/>
          <w:color w:val="auto"/>
        </w:rPr>
      </w:pPr>
    </w:p>
    <w:p>
      <w:pPr>
        <w:ind w:left="20"/>
        <w:spacing w:after="0"/>
        <w:rPr>
          <w:sz w:val="20"/>
          <w:szCs w:val="20"/>
          <w:color w:val="auto"/>
        </w:rPr>
      </w:pPr>
      <w:r>
        <w:rPr>
          <w:rFonts w:ascii="Arial" w:cs="Arial" w:eastAsia="Arial" w:hAnsi="Arial"/>
          <w:sz w:val="20"/>
          <w:szCs w:val="20"/>
          <w:color w:val="auto"/>
        </w:rPr>
        <w:t>[†]</w:t>
      </w:r>
    </w:p>
    <w:p>
      <w:pPr>
        <w:spacing w:after="0" w:line="13" w:lineRule="exact"/>
        <w:rPr>
          <w:sz w:val="20"/>
          <w:szCs w:val="20"/>
          <w:color w:val="auto"/>
        </w:rPr>
      </w:pPr>
    </w:p>
    <w:p>
      <w:pPr>
        <w:ind w:left="20"/>
        <w:spacing w:after="0"/>
        <w:rPr>
          <w:sz w:val="20"/>
          <w:szCs w:val="20"/>
          <w:color w:val="auto"/>
        </w:rPr>
      </w:pPr>
      <w:r>
        <w:rPr>
          <w:rFonts w:ascii="Arial" w:cs="Arial" w:eastAsia="Arial" w:hAnsi="Arial"/>
          <w:sz w:val="20"/>
          <w:szCs w:val="20"/>
          <w:color w:val="auto"/>
        </w:rPr>
        <w:t>[†]</w:t>
      </w:r>
    </w:p>
    <w:p>
      <w:pPr>
        <w:spacing w:after="0" w:line="13" w:lineRule="exact"/>
        <w:rPr>
          <w:sz w:val="20"/>
          <w:szCs w:val="20"/>
          <w:color w:val="auto"/>
        </w:rPr>
      </w:pPr>
    </w:p>
    <w:p>
      <w:pPr>
        <w:ind w:left="20"/>
        <w:spacing w:after="0"/>
        <w:rPr>
          <w:sz w:val="20"/>
          <w:szCs w:val="20"/>
          <w:color w:val="auto"/>
        </w:rPr>
      </w:pPr>
      <w:r>
        <w:rPr>
          <w:rFonts w:ascii="Arial" w:cs="Arial" w:eastAsia="Arial" w:hAnsi="Arial"/>
          <w:sz w:val="20"/>
          <w:szCs w:val="20"/>
          <w:color w:val="auto"/>
        </w:rPr>
        <w:t>[†]</w:t>
      </w:r>
    </w:p>
    <w:p>
      <w:pPr>
        <w:spacing w:after="0" w:line="220" w:lineRule="exact"/>
        <w:rPr>
          <w:sz w:val="20"/>
          <w:szCs w:val="20"/>
          <w:color w:val="auto"/>
        </w:rPr>
      </w:pPr>
    </w:p>
    <w:p>
      <w:pPr>
        <w:ind w:firstLine="8"/>
        <w:spacing w:after="0" w:line="253" w:lineRule="auto"/>
        <w:tabs>
          <w:tab w:leader="none" w:pos="204" w:val="left"/>
        </w:tabs>
        <w:numPr>
          <w:ilvl w:val="0"/>
          <w:numId w:val="185"/>
        </w:numPr>
        <w:rPr>
          <w:rFonts w:ascii="Arial" w:cs="Arial" w:eastAsia="Arial" w:hAnsi="Arial"/>
          <w:sz w:val="14"/>
          <w:szCs w:val="14"/>
          <w:color w:val="auto"/>
        </w:rPr>
      </w:pPr>
      <w:r>
        <w:rPr>
          <w:rFonts w:ascii="Arial" w:cs="Arial" w:eastAsia="Arial" w:hAnsi="Arial"/>
          <w:sz w:val="14"/>
          <w:szCs w:val="14"/>
          <w:color w:val="auto"/>
        </w:rPr>
        <w:t>DESIGNATES PORTIONS OF THIS DOCUMENT THAT HAVE BEEN OMITTED PURSUANT TO A REQUEST FOR CONFIDENTIAL TREATMENT FILED SEPARATELY WITH THE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40640</wp:posOffset>
            </wp:positionV>
            <wp:extent cx="7289165"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342" w:right="279" w:bottom="1440" w:gutter="0" w:footer="0" w:header="0"/>
        </w:sectPr>
      </w:pPr>
    </w:p>
    <w:bookmarkStart w:id="134" w:name="page135"/>
    <w:bookmarkEnd w:id="134"/>
    <w:p>
      <w:pPr>
        <w:ind w:left="12"/>
        <w:spacing w:after="0"/>
        <w:rPr>
          <w:sz w:val="20"/>
          <w:szCs w:val="20"/>
          <w:color w:val="auto"/>
        </w:rPr>
      </w:pPr>
      <w:r>
        <w:rPr>
          <w:rFonts w:ascii="Arial" w:cs="Arial" w:eastAsia="Arial" w:hAnsi="Arial"/>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-143510</wp:posOffset>
            </wp:positionV>
            <wp:extent cx="7246620" cy="710946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46620" cy="7109460"/>
                    </a:xfrm>
                    <a:prstGeom prst="rect">
                      <a:avLst/>
                    </a:prstGeom>
                    <a:noFill/>
                  </pic:spPr>
                </pic:pic>
              </a:graphicData>
            </a:graphic>
          </wp:anchor>
        </w:drawing>
      </w:r>
    </w:p>
    <w:p>
      <w:pPr>
        <w:ind w:left="12"/>
        <w:spacing w:after="0"/>
        <w:rPr>
          <w:sz w:val="20"/>
          <w:szCs w:val="20"/>
          <w:color w:val="auto"/>
        </w:rPr>
      </w:pPr>
      <w:r>
        <w:rPr>
          <w:rFonts w:ascii="Arial" w:cs="Arial" w:eastAsia="Arial" w:hAnsi="Arial"/>
          <w:sz w:val="20"/>
          <w:szCs w:val="20"/>
          <w:color w:val="auto"/>
        </w:rPr>
        <w:t>[†]</w:t>
      </w:r>
    </w:p>
    <w:p>
      <w:pPr>
        <w:spacing w:after="0" w:line="13" w:lineRule="exact"/>
        <w:rPr>
          <w:sz w:val="20"/>
          <w:szCs w:val="20"/>
          <w:color w:val="auto"/>
        </w:rPr>
      </w:pPr>
    </w:p>
    <w:p>
      <w:pPr>
        <w:ind w:left="12"/>
        <w:spacing w:after="0"/>
        <w:rPr>
          <w:sz w:val="20"/>
          <w:szCs w:val="20"/>
          <w:color w:val="auto"/>
        </w:rPr>
      </w:pPr>
      <w:r>
        <w:rPr>
          <w:rFonts w:ascii="Arial" w:cs="Arial" w:eastAsia="Arial" w:hAnsi="Arial"/>
          <w:sz w:val="20"/>
          <w:szCs w:val="20"/>
          <w:color w:val="auto"/>
        </w:rPr>
        <w:t>[†]</w:t>
      </w:r>
    </w:p>
    <w:p>
      <w:pPr>
        <w:spacing w:after="0" w:line="13" w:lineRule="exact"/>
        <w:rPr>
          <w:sz w:val="20"/>
          <w:szCs w:val="20"/>
          <w:color w:val="auto"/>
        </w:rPr>
      </w:pPr>
    </w:p>
    <w:p>
      <w:pPr>
        <w:ind w:left="12"/>
        <w:spacing w:after="0"/>
        <w:rPr>
          <w:sz w:val="20"/>
          <w:szCs w:val="20"/>
          <w:color w:val="auto"/>
        </w:rPr>
      </w:pPr>
      <w:r>
        <w:rPr>
          <w:rFonts w:ascii="Arial" w:cs="Arial" w:eastAsia="Arial" w:hAnsi="Arial"/>
          <w:sz w:val="20"/>
          <w:szCs w:val="20"/>
          <w:color w:val="auto"/>
        </w:rPr>
        <w:t>[†]</w:t>
      </w:r>
    </w:p>
    <w:p>
      <w:pPr>
        <w:spacing w:after="0" w:line="13" w:lineRule="exact"/>
        <w:rPr>
          <w:sz w:val="20"/>
          <w:szCs w:val="20"/>
          <w:color w:val="auto"/>
        </w:rPr>
      </w:pPr>
    </w:p>
    <w:p>
      <w:pPr>
        <w:ind w:left="12"/>
        <w:spacing w:after="0"/>
        <w:rPr>
          <w:sz w:val="20"/>
          <w:szCs w:val="20"/>
          <w:color w:val="auto"/>
        </w:rPr>
      </w:pPr>
      <w:r>
        <w:rPr>
          <w:rFonts w:ascii="Arial" w:cs="Arial" w:eastAsia="Arial" w:hAnsi="Arial"/>
          <w:sz w:val="20"/>
          <w:szCs w:val="20"/>
          <w:color w:val="auto"/>
        </w:rPr>
        <w:t>[†]</w:t>
      </w:r>
    </w:p>
    <w:p>
      <w:pPr>
        <w:spacing w:after="0" w:line="13" w:lineRule="exact"/>
        <w:rPr>
          <w:sz w:val="20"/>
          <w:szCs w:val="20"/>
          <w:color w:val="auto"/>
        </w:rPr>
      </w:pPr>
    </w:p>
    <w:p>
      <w:pPr>
        <w:ind w:left="12"/>
        <w:spacing w:after="0"/>
        <w:rPr>
          <w:sz w:val="20"/>
          <w:szCs w:val="20"/>
          <w:color w:val="auto"/>
        </w:rPr>
      </w:pPr>
      <w:r>
        <w:rPr>
          <w:rFonts w:ascii="Arial" w:cs="Arial" w:eastAsia="Arial" w:hAnsi="Arial"/>
          <w:sz w:val="20"/>
          <w:szCs w:val="20"/>
          <w:color w:val="auto"/>
        </w:rPr>
        <w:t>[†]</w:t>
      </w:r>
    </w:p>
    <w:p>
      <w:pPr>
        <w:spacing w:after="0" w:line="13" w:lineRule="exact"/>
        <w:rPr>
          <w:sz w:val="20"/>
          <w:szCs w:val="20"/>
          <w:color w:val="auto"/>
        </w:rPr>
      </w:pPr>
    </w:p>
    <w:p>
      <w:pPr>
        <w:ind w:left="12"/>
        <w:spacing w:after="0"/>
        <w:rPr>
          <w:sz w:val="20"/>
          <w:szCs w:val="20"/>
          <w:color w:val="auto"/>
        </w:rPr>
      </w:pPr>
      <w:r>
        <w:rPr>
          <w:rFonts w:ascii="Arial" w:cs="Arial" w:eastAsia="Arial" w:hAnsi="Arial"/>
          <w:sz w:val="20"/>
          <w:szCs w:val="20"/>
          <w:color w:val="auto"/>
        </w:rPr>
        <w:t>[†]</w:t>
      </w:r>
    </w:p>
    <w:p>
      <w:pPr>
        <w:spacing w:after="0" w:line="13" w:lineRule="exact"/>
        <w:rPr>
          <w:sz w:val="20"/>
          <w:szCs w:val="20"/>
          <w:color w:val="auto"/>
        </w:rPr>
      </w:pPr>
    </w:p>
    <w:p>
      <w:pPr>
        <w:ind w:left="12"/>
        <w:spacing w:after="0"/>
        <w:rPr>
          <w:sz w:val="20"/>
          <w:szCs w:val="20"/>
          <w:color w:val="auto"/>
        </w:rPr>
      </w:pPr>
      <w:r>
        <w:rPr>
          <w:rFonts w:ascii="Arial" w:cs="Arial" w:eastAsia="Arial" w:hAnsi="Arial"/>
          <w:sz w:val="20"/>
          <w:szCs w:val="20"/>
          <w:color w:val="auto"/>
        </w:rPr>
        <w:t>[†]</w:t>
      </w:r>
    </w:p>
    <w:p>
      <w:pPr>
        <w:spacing w:after="0" w:line="13" w:lineRule="exact"/>
        <w:rPr>
          <w:sz w:val="20"/>
          <w:szCs w:val="20"/>
          <w:color w:val="auto"/>
        </w:rPr>
      </w:pPr>
    </w:p>
    <w:p>
      <w:pPr>
        <w:ind w:left="12"/>
        <w:spacing w:after="0"/>
        <w:rPr>
          <w:sz w:val="20"/>
          <w:szCs w:val="20"/>
          <w:color w:val="auto"/>
        </w:rPr>
      </w:pPr>
      <w:r>
        <w:rPr>
          <w:rFonts w:ascii="Arial" w:cs="Arial" w:eastAsia="Arial" w:hAnsi="Arial"/>
          <w:sz w:val="20"/>
          <w:szCs w:val="20"/>
          <w:color w:val="auto"/>
        </w:rPr>
        <w:t>[†]</w:t>
      </w:r>
    </w:p>
    <w:p>
      <w:pPr>
        <w:spacing w:after="0" w:line="13" w:lineRule="exact"/>
        <w:rPr>
          <w:sz w:val="20"/>
          <w:szCs w:val="20"/>
          <w:color w:val="auto"/>
        </w:rPr>
      </w:pPr>
    </w:p>
    <w:p>
      <w:pPr>
        <w:ind w:left="12"/>
        <w:spacing w:after="0"/>
        <w:rPr>
          <w:sz w:val="20"/>
          <w:szCs w:val="20"/>
          <w:color w:val="auto"/>
        </w:rPr>
      </w:pPr>
      <w:r>
        <w:rPr>
          <w:rFonts w:ascii="Arial" w:cs="Arial" w:eastAsia="Arial" w:hAnsi="Arial"/>
          <w:sz w:val="20"/>
          <w:szCs w:val="20"/>
          <w:color w:val="auto"/>
        </w:rPr>
        <w:t>[†]</w:t>
      </w:r>
    </w:p>
    <w:p>
      <w:pPr>
        <w:spacing w:after="0" w:line="13" w:lineRule="exact"/>
        <w:rPr>
          <w:sz w:val="20"/>
          <w:szCs w:val="20"/>
          <w:color w:val="auto"/>
        </w:rPr>
      </w:pPr>
    </w:p>
    <w:p>
      <w:pPr>
        <w:ind w:left="12"/>
        <w:spacing w:after="0"/>
        <w:rPr>
          <w:sz w:val="20"/>
          <w:szCs w:val="20"/>
          <w:color w:val="auto"/>
        </w:rPr>
      </w:pPr>
      <w:r>
        <w:rPr>
          <w:rFonts w:ascii="Arial" w:cs="Arial" w:eastAsia="Arial" w:hAnsi="Arial"/>
          <w:sz w:val="20"/>
          <w:szCs w:val="20"/>
          <w:color w:val="auto"/>
        </w:rPr>
        <w:t>[†]</w:t>
      </w:r>
    </w:p>
    <w:p>
      <w:pPr>
        <w:spacing w:after="0" w:line="13" w:lineRule="exact"/>
        <w:rPr>
          <w:sz w:val="20"/>
          <w:szCs w:val="20"/>
          <w:color w:val="auto"/>
        </w:rPr>
      </w:pPr>
    </w:p>
    <w:p>
      <w:pPr>
        <w:ind w:left="12"/>
        <w:spacing w:after="0"/>
        <w:rPr>
          <w:sz w:val="20"/>
          <w:szCs w:val="20"/>
          <w:color w:val="auto"/>
        </w:rPr>
      </w:pPr>
      <w:r>
        <w:rPr>
          <w:rFonts w:ascii="Arial" w:cs="Arial" w:eastAsia="Arial" w:hAnsi="Arial"/>
          <w:sz w:val="20"/>
          <w:szCs w:val="20"/>
          <w:color w:val="auto"/>
        </w:rPr>
        <w:t>[†]</w:t>
      </w:r>
    </w:p>
    <w:p>
      <w:pPr>
        <w:spacing w:after="0" w:line="13" w:lineRule="exact"/>
        <w:rPr>
          <w:sz w:val="20"/>
          <w:szCs w:val="20"/>
          <w:color w:val="auto"/>
        </w:rPr>
      </w:pPr>
    </w:p>
    <w:p>
      <w:pPr>
        <w:ind w:left="12"/>
        <w:spacing w:after="0"/>
        <w:rPr>
          <w:sz w:val="20"/>
          <w:szCs w:val="20"/>
          <w:color w:val="auto"/>
        </w:rPr>
      </w:pPr>
      <w:r>
        <w:rPr>
          <w:rFonts w:ascii="Arial" w:cs="Arial" w:eastAsia="Arial" w:hAnsi="Arial"/>
          <w:sz w:val="20"/>
          <w:szCs w:val="20"/>
          <w:color w:val="auto"/>
        </w:rPr>
        <w:t>[†]</w:t>
      </w:r>
    </w:p>
    <w:p>
      <w:pPr>
        <w:spacing w:after="0" w:line="13" w:lineRule="exact"/>
        <w:rPr>
          <w:sz w:val="20"/>
          <w:szCs w:val="20"/>
          <w:color w:val="auto"/>
        </w:rPr>
      </w:pPr>
    </w:p>
    <w:p>
      <w:pPr>
        <w:ind w:left="12"/>
        <w:spacing w:after="0"/>
        <w:rPr>
          <w:sz w:val="20"/>
          <w:szCs w:val="20"/>
          <w:color w:val="auto"/>
        </w:rPr>
      </w:pPr>
      <w:r>
        <w:rPr>
          <w:rFonts w:ascii="Arial" w:cs="Arial" w:eastAsia="Arial" w:hAnsi="Arial"/>
          <w:sz w:val="20"/>
          <w:szCs w:val="20"/>
          <w:color w:val="auto"/>
        </w:rPr>
        <w:t>[†]</w:t>
      </w:r>
    </w:p>
    <w:p>
      <w:pPr>
        <w:spacing w:after="0" w:line="13" w:lineRule="exact"/>
        <w:rPr>
          <w:sz w:val="20"/>
          <w:szCs w:val="20"/>
          <w:color w:val="auto"/>
        </w:rPr>
      </w:pPr>
    </w:p>
    <w:p>
      <w:pPr>
        <w:ind w:left="12"/>
        <w:spacing w:after="0"/>
        <w:rPr>
          <w:sz w:val="20"/>
          <w:szCs w:val="20"/>
          <w:color w:val="auto"/>
        </w:rPr>
      </w:pPr>
      <w:r>
        <w:rPr>
          <w:rFonts w:ascii="Arial" w:cs="Arial" w:eastAsia="Arial" w:hAnsi="Arial"/>
          <w:sz w:val="20"/>
          <w:szCs w:val="20"/>
          <w:color w:val="auto"/>
        </w:rPr>
        <w:t>[†]</w:t>
      </w:r>
    </w:p>
    <w:p>
      <w:pPr>
        <w:spacing w:after="0" w:line="13" w:lineRule="exact"/>
        <w:rPr>
          <w:sz w:val="20"/>
          <w:szCs w:val="20"/>
          <w:color w:val="auto"/>
        </w:rPr>
      </w:pPr>
    </w:p>
    <w:p>
      <w:pPr>
        <w:ind w:left="12"/>
        <w:spacing w:after="0"/>
        <w:rPr>
          <w:sz w:val="20"/>
          <w:szCs w:val="20"/>
          <w:color w:val="auto"/>
        </w:rPr>
      </w:pPr>
      <w:r>
        <w:rPr>
          <w:rFonts w:ascii="Arial" w:cs="Arial" w:eastAsia="Arial" w:hAnsi="Arial"/>
          <w:sz w:val="20"/>
          <w:szCs w:val="20"/>
          <w:color w:val="auto"/>
        </w:rPr>
        <w:t>[†]</w:t>
      </w:r>
    </w:p>
    <w:p>
      <w:pPr>
        <w:spacing w:after="0" w:line="13" w:lineRule="exact"/>
        <w:rPr>
          <w:sz w:val="20"/>
          <w:szCs w:val="20"/>
          <w:color w:val="auto"/>
        </w:rPr>
      </w:pPr>
    </w:p>
    <w:p>
      <w:pPr>
        <w:ind w:left="12"/>
        <w:spacing w:after="0"/>
        <w:rPr>
          <w:sz w:val="20"/>
          <w:szCs w:val="20"/>
          <w:color w:val="auto"/>
        </w:rPr>
      </w:pPr>
      <w:r>
        <w:rPr>
          <w:rFonts w:ascii="Arial" w:cs="Arial" w:eastAsia="Arial" w:hAnsi="Arial"/>
          <w:sz w:val="20"/>
          <w:szCs w:val="20"/>
          <w:color w:val="auto"/>
        </w:rPr>
        <w:t>[†]</w:t>
      </w:r>
    </w:p>
    <w:p>
      <w:pPr>
        <w:spacing w:after="0" w:line="13" w:lineRule="exact"/>
        <w:rPr>
          <w:sz w:val="20"/>
          <w:szCs w:val="20"/>
          <w:color w:val="auto"/>
        </w:rPr>
      </w:pPr>
    </w:p>
    <w:p>
      <w:pPr>
        <w:ind w:left="12"/>
        <w:spacing w:after="0"/>
        <w:rPr>
          <w:sz w:val="20"/>
          <w:szCs w:val="20"/>
          <w:color w:val="auto"/>
        </w:rPr>
      </w:pPr>
      <w:r>
        <w:rPr>
          <w:rFonts w:ascii="Arial" w:cs="Arial" w:eastAsia="Arial" w:hAnsi="Arial"/>
          <w:sz w:val="20"/>
          <w:szCs w:val="20"/>
          <w:color w:val="auto"/>
        </w:rPr>
        <w:t>[†]</w:t>
      </w:r>
    </w:p>
    <w:p>
      <w:pPr>
        <w:spacing w:after="0" w:line="13" w:lineRule="exact"/>
        <w:rPr>
          <w:sz w:val="20"/>
          <w:szCs w:val="20"/>
          <w:color w:val="auto"/>
        </w:rPr>
      </w:pPr>
    </w:p>
    <w:p>
      <w:pPr>
        <w:ind w:left="12"/>
        <w:spacing w:after="0"/>
        <w:rPr>
          <w:sz w:val="20"/>
          <w:szCs w:val="20"/>
          <w:color w:val="auto"/>
        </w:rPr>
      </w:pPr>
      <w:r>
        <w:rPr>
          <w:rFonts w:ascii="Arial" w:cs="Arial" w:eastAsia="Arial" w:hAnsi="Arial"/>
          <w:sz w:val="20"/>
          <w:szCs w:val="20"/>
          <w:color w:val="auto"/>
        </w:rPr>
        <w:t>[†]</w:t>
      </w:r>
    </w:p>
    <w:p>
      <w:pPr>
        <w:spacing w:after="0" w:line="13" w:lineRule="exact"/>
        <w:rPr>
          <w:sz w:val="20"/>
          <w:szCs w:val="20"/>
          <w:color w:val="auto"/>
        </w:rPr>
      </w:pPr>
    </w:p>
    <w:p>
      <w:pPr>
        <w:ind w:left="12"/>
        <w:spacing w:after="0"/>
        <w:rPr>
          <w:sz w:val="20"/>
          <w:szCs w:val="20"/>
          <w:color w:val="auto"/>
        </w:rPr>
      </w:pPr>
      <w:r>
        <w:rPr>
          <w:rFonts w:ascii="Arial" w:cs="Arial" w:eastAsia="Arial" w:hAnsi="Arial"/>
          <w:sz w:val="20"/>
          <w:szCs w:val="20"/>
          <w:color w:val="auto"/>
        </w:rPr>
        <w:t>[†]</w:t>
      </w:r>
    </w:p>
    <w:p>
      <w:pPr>
        <w:spacing w:after="0" w:line="13" w:lineRule="exact"/>
        <w:rPr>
          <w:sz w:val="20"/>
          <w:szCs w:val="20"/>
          <w:color w:val="auto"/>
        </w:rPr>
      </w:pPr>
    </w:p>
    <w:p>
      <w:pPr>
        <w:ind w:left="12"/>
        <w:spacing w:after="0"/>
        <w:rPr>
          <w:sz w:val="20"/>
          <w:szCs w:val="20"/>
          <w:color w:val="auto"/>
        </w:rPr>
      </w:pPr>
      <w:r>
        <w:rPr>
          <w:rFonts w:ascii="Arial" w:cs="Arial" w:eastAsia="Arial" w:hAnsi="Arial"/>
          <w:sz w:val="20"/>
          <w:szCs w:val="20"/>
          <w:color w:val="auto"/>
        </w:rPr>
        <w:t>[†]</w:t>
      </w:r>
    </w:p>
    <w:p>
      <w:pPr>
        <w:spacing w:after="0" w:line="13" w:lineRule="exact"/>
        <w:rPr>
          <w:sz w:val="20"/>
          <w:szCs w:val="20"/>
          <w:color w:val="auto"/>
        </w:rPr>
      </w:pPr>
    </w:p>
    <w:p>
      <w:pPr>
        <w:ind w:left="12"/>
        <w:spacing w:after="0"/>
        <w:rPr>
          <w:sz w:val="20"/>
          <w:szCs w:val="20"/>
          <w:color w:val="auto"/>
        </w:rPr>
      </w:pPr>
      <w:r>
        <w:rPr>
          <w:rFonts w:ascii="Arial" w:cs="Arial" w:eastAsia="Arial" w:hAnsi="Arial"/>
          <w:sz w:val="20"/>
          <w:szCs w:val="20"/>
          <w:color w:val="auto"/>
        </w:rPr>
        <w:t>[†]</w:t>
      </w:r>
    </w:p>
    <w:p>
      <w:pPr>
        <w:spacing w:after="0" w:line="13" w:lineRule="exact"/>
        <w:rPr>
          <w:sz w:val="20"/>
          <w:szCs w:val="20"/>
          <w:color w:val="auto"/>
        </w:rPr>
      </w:pPr>
    </w:p>
    <w:p>
      <w:pPr>
        <w:ind w:left="12"/>
        <w:spacing w:after="0"/>
        <w:rPr>
          <w:sz w:val="20"/>
          <w:szCs w:val="20"/>
          <w:color w:val="auto"/>
        </w:rPr>
      </w:pPr>
      <w:r>
        <w:rPr>
          <w:rFonts w:ascii="Arial" w:cs="Arial" w:eastAsia="Arial" w:hAnsi="Arial"/>
          <w:sz w:val="20"/>
          <w:szCs w:val="20"/>
          <w:color w:val="auto"/>
        </w:rPr>
        <w:t>[†]</w:t>
      </w:r>
    </w:p>
    <w:p>
      <w:pPr>
        <w:spacing w:after="0" w:line="13" w:lineRule="exact"/>
        <w:rPr>
          <w:sz w:val="20"/>
          <w:szCs w:val="20"/>
          <w:color w:val="auto"/>
        </w:rPr>
      </w:pPr>
    </w:p>
    <w:p>
      <w:pPr>
        <w:ind w:left="12"/>
        <w:spacing w:after="0"/>
        <w:rPr>
          <w:sz w:val="20"/>
          <w:szCs w:val="20"/>
          <w:color w:val="auto"/>
        </w:rPr>
      </w:pPr>
      <w:r>
        <w:rPr>
          <w:rFonts w:ascii="Arial" w:cs="Arial" w:eastAsia="Arial" w:hAnsi="Arial"/>
          <w:sz w:val="20"/>
          <w:szCs w:val="20"/>
          <w:color w:val="auto"/>
        </w:rPr>
        <w:t>[†]</w:t>
      </w:r>
    </w:p>
    <w:p>
      <w:pPr>
        <w:spacing w:after="0" w:line="13" w:lineRule="exact"/>
        <w:rPr>
          <w:sz w:val="20"/>
          <w:szCs w:val="20"/>
          <w:color w:val="auto"/>
        </w:rPr>
      </w:pPr>
    </w:p>
    <w:p>
      <w:pPr>
        <w:ind w:left="12"/>
        <w:spacing w:after="0"/>
        <w:rPr>
          <w:sz w:val="20"/>
          <w:szCs w:val="20"/>
          <w:color w:val="auto"/>
        </w:rPr>
      </w:pPr>
      <w:r>
        <w:rPr>
          <w:rFonts w:ascii="Arial" w:cs="Arial" w:eastAsia="Arial" w:hAnsi="Arial"/>
          <w:sz w:val="20"/>
          <w:szCs w:val="20"/>
          <w:color w:val="auto"/>
        </w:rPr>
        <w:t>[†]</w:t>
      </w:r>
    </w:p>
    <w:p>
      <w:pPr>
        <w:spacing w:after="0" w:line="13" w:lineRule="exact"/>
        <w:rPr>
          <w:sz w:val="20"/>
          <w:szCs w:val="20"/>
          <w:color w:val="auto"/>
        </w:rPr>
      </w:pPr>
    </w:p>
    <w:p>
      <w:pPr>
        <w:ind w:left="12"/>
        <w:spacing w:after="0"/>
        <w:rPr>
          <w:sz w:val="20"/>
          <w:szCs w:val="20"/>
          <w:color w:val="auto"/>
        </w:rPr>
      </w:pPr>
      <w:r>
        <w:rPr>
          <w:rFonts w:ascii="Arial" w:cs="Arial" w:eastAsia="Arial" w:hAnsi="Arial"/>
          <w:sz w:val="20"/>
          <w:szCs w:val="20"/>
          <w:color w:val="auto"/>
        </w:rPr>
        <w:t>[†]</w:t>
      </w:r>
    </w:p>
    <w:p>
      <w:pPr>
        <w:spacing w:after="0" w:line="13" w:lineRule="exact"/>
        <w:rPr>
          <w:sz w:val="20"/>
          <w:szCs w:val="20"/>
          <w:color w:val="auto"/>
        </w:rPr>
      </w:pPr>
    </w:p>
    <w:p>
      <w:pPr>
        <w:ind w:left="12"/>
        <w:spacing w:after="0"/>
        <w:rPr>
          <w:sz w:val="20"/>
          <w:szCs w:val="20"/>
          <w:color w:val="auto"/>
        </w:rPr>
      </w:pPr>
      <w:r>
        <w:rPr>
          <w:rFonts w:ascii="Arial" w:cs="Arial" w:eastAsia="Arial" w:hAnsi="Arial"/>
          <w:sz w:val="20"/>
          <w:szCs w:val="20"/>
          <w:color w:val="auto"/>
        </w:rPr>
        <w:t>[†]</w:t>
      </w:r>
    </w:p>
    <w:p>
      <w:pPr>
        <w:spacing w:after="0" w:line="13" w:lineRule="exact"/>
        <w:rPr>
          <w:sz w:val="20"/>
          <w:szCs w:val="20"/>
          <w:color w:val="auto"/>
        </w:rPr>
      </w:pPr>
    </w:p>
    <w:p>
      <w:pPr>
        <w:ind w:left="12"/>
        <w:spacing w:after="0"/>
        <w:rPr>
          <w:sz w:val="20"/>
          <w:szCs w:val="20"/>
          <w:color w:val="auto"/>
        </w:rPr>
      </w:pPr>
      <w:r>
        <w:rPr>
          <w:rFonts w:ascii="Arial" w:cs="Arial" w:eastAsia="Arial" w:hAnsi="Arial"/>
          <w:sz w:val="20"/>
          <w:szCs w:val="20"/>
          <w:color w:val="auto"/>
        </w:rPr>
        <w:t>[†]</w:t>
      </w:r>
    </w:p>
    <w:p>
      <w:pPr>
        <w:spacing w:after="0" w:line="13" w:lineRule="exact"/>
        <w:rPr>
          <w:sz w:val="20"/>
          <w:szCs w:val="20"/>
          <w:color w:val="auto"/>
        </w:rPr>
      </w:pPr>
    </w:p>
    <w:p>
      <w:pPr>
        <w:ind w:left="12"/>
        <w:spacing w:after="0"/>
        <w:rPr>
          <w:sz w:val="20"/>
          <w:szCs w:val="20"/>
          <w:color w:val="auto"/>
        </w:rPr>
      </w:pPr>
      <w:r>
        <w:rPr>
          <w:rFonts w:ascii="Arial" w:cs="Arial" w:eastAsia="Arial" w:hAnsi="Arial"/>
          <w:sz w:val="20"/>
          <w:szCs w:val="20"/>
          <w:color w:val="auto"/>
        </w:rPr>
        <w:t>[†]</w:t>
      </w:r>
    </w:p>
    <w:p>
      <w:pPr>
        <w:spacing w:after="0" w:line="13" w:lineRule="exact"/>
        <w:rPr>
          <w:sz w:val="20"/>
          <w:szCs w:val="20"/>
          <w:color w:val="auto"/>
        </w:rPr>
      </w:pPr>
    </w:p>
    <w:p>
      <w:pPr>
        <w:ind w:left="12"/>
        <w:spacing w:after="0"/>
        <w:rPr>
          <w:sz w:val="20"/>
          <w:szCs w:val="20"/>
          <w:color w:val="auto"/>
        </w:rPr>
      </w:pPr>
      <w:r>
        <w:rPr>
          <w:rFonts w:ascii="Arial" w:cs="Arial" w:eastAsia="Arial" w:hAnsi="Arial"/>
          <w:sz w:val="20"/>
          <w:szCs w:val="20"/>
          <w:color w:val="auto"/>
        </w:rPr>
        <w:t>[†]</w:t>
      </w:r>
    </w:p>
    <w:p>
      <w:pPr>
        <w:spacing w:after="0" w:line="13" w:lineRule="exact"/>
        <w:rPr>
          <w:sz w:val="20"/>
          <w:szCs w:val="20"/>
          <w:color w:val="auto"/>
        </w:rPr>
      </w:pPr>
    </w:p>
    <w:p>
      <w:pPr>
        <w:ind w:left="12"/>
        <w:spacing w:after="0"/>
        <w:rPr>
          <w:sz w:val="20"/>
          <w:szCs w:val="20"/>
          <w:color w:val="auto"/>
        </w:rPr>
      </w:pPr>
      <w:r>
        <w:rPr>
          <w:rFonts w:ascii="Arial" w:cs="Arial" w:eastAsia="Arial" w:hAnsi="Arial"/>
          <w:sz w:val="20"/>
          <w:szCs w:val="20"/>
          <w:color w:val="auto"/>
        </w:rPr>
        <w:t>[†]</w:t>
      </w:r>
    </w:p>
    <w:p>
      <w:pPr>
        <w:spacing w:after="0" w:line="13" w:lineRule="exact"/>
        <w:rPr>
          <w:sz w:val="20"/>
          <w:szCs w:val="20"/>
          <w:color w:val="auto"/>
        </w:rPr>
      </w:pPr>
    </w:p>
    <w:p>
      <w:pPr>
        <w:ind w:left="12"/>
        <w:spacing w:after="0"/>
        <w:rPr>
          <w:sz w:val="20"/>
          <w:szCs w:val="20"/>
          <w:color w:val="auto"/>
        </w:rPr>
      </w:pPr>
      <w:r>
        <w:rPr>
          <w:rFonts w:ascii="Arial" w:cs="Arial" w:eastAsia="Arial" w:hAnsi="Arial"/>
          <w:sz w:val="20"/>
          <w:szCs w:val="20"/>
          <w:color w:val="auto"/>
        </w:rPr>
        <w:t>[†]</w:t>
      </w:r>
    </w:p>
    <w:p>
      <w:pPr>
        <w:spacing w:after="0" w:line="13" w:lineRule="exact"/>
        <w:rPr>
          <w:sz w:val="20"/>
          <w:szCs w:val="20"/>
          <w:color w:val="auto"/>
        </w:rPr>
      </w:pPr>
    </w:p>
    <w:p>
      <w:pPr>
        <w:ind w:left="12"/>
        <w:spacing w:after="0"/>
        <w:rPr>
          <w:sz w:val="20"/>
          <w:szCs w:val="20"/>
          <w:color w:val="auto"/>
        </w:rPr>
      </w:pPr>
      <w:r>
        <w:rPr>
          <w:rFonts w:ascii="Arial" w:cs="Arial" w:eastAsia="Arial" w:hAnsi="Arial"/>
          <w:sz w:val="20"/>
          <w:szCs w:val="20"/>
          <w:color w:val="auto"/>
        </w:rPr>
        <w:t>[†]</w:t>
      </w:r>
    </w:p>
    <w:p>
      <w:pPr>
        <w:spacing w:after="0" w:line="13" w:lineRule="exact"/>
        <w:rPr>
          <w:sz w:val="20"/>
          <w:szCs w:val="20"/>
          <w:color w:val="auto"/>
        </w:rPr>
      </w:pPr>
    </w:p>
    <w:p>
      <w:pPr>
        <w:ind w:left="12"/>
        <w:spacing w:after="0"/>
        <w:rPr>
          <w:sz w:val="20"/>
          <w:szCs w:val="20"/>
          <w:color w:val="auto"/>
        </w:rPr>
      </w:pPr>
      <w:r>
        <w:rPr>
          <w:rFonts w:ascii="Arial" w:cs="Arial" w:eastAsia="Arial" w:hAnsi="Arial"/>
          <w:sz w:val="20"/>
          <w:szCs w:val="20"/>
          <w:color w:val="auto"/>
        </w:rPr>
        <w:t>[†]</w:t>
      </w:r>
    </w:p>
    <w:p>
      <w:pPr>
        <w:spacing w:after="0" w:line="13" w:lineRule="exact"/>
        <w:rPr>
          <w:sz w:val="20"/>
          <w:szCs w:val="20"/>
          <w:color w:val="auto"/>
        </w:rPr>
      </w:pPr>
    </w:p>
    <w:p>
      <w:pPr>
        <w:ind w:left="12"/>
        <w:spacing w:after="0"/>
        <w:rPr>
          <w:sz w:val="20"/>
          <w:szCs w:val="20"/>
          <w:color w:val="auto"/>
        </w:rPr>
      </w:pPr>
      <w:r>
        <w:rPr>
          <w:rFonts w:ascii="Arial" w:cs="Arial" w:eastAsia="Arial" w:hAnsi="Arial"/>
          <w:sz w:val="20"/>
          <w:szCs w:val="20"/>
          <w:color w:val="auto"/>
        </w:rPr>
        <w:t>[†]</w:t>
      </w:r>
    </w:p>
    <w:p>
      <w:pPr>
        <w:spacing w:after="0" w:line="13" w:lineRule="exact"/>
        <w:rPr>
          <w:sz w:val="20"/>
          <w:szCs w:val="20"/>
          <w:color w:val="auto"/>
        </w:rPr>
      </w:pPr>
    </w:p>
    <w:p>
      <w:pPr>
        <w:ind w:left="12"/>
        <w:spacing w:after="0"/>
        <w:rPr>
          <w:sz w:val="20"/>
          <w:szCs w:val="20"/>
          <w:color w:val="auto"/>
        </w:rPr>
      </w:pPr>
      <w:r>
        <w:rPr>
          <w:rFonts w:ascii="Arial" w:cs="Arial" w:eastAsia="Arial" w:hAnsi="Arial"/>
          <w:sz w:val="20"/>
          <w:szCs w:val="20"/>
          <w:color w:val="auto"/>
        </w:rPr>
        <w:t>[†]</w:t>
      </w:r>
    </w:p>
    <w:p>
      <w:pPr>
        <w:spacing w:after="0" w:line="13" w:lineRule="exact"/>
        <w:rPr>
          <w:sz w:val="20"/>
          <w:szCs w:val="20"/>
          <w:color w:val="auto"/>
        </w:rPr>
      </w:pPr>
    </w:p>
    <w:p>
      <w:pPr>
        <w:ind w:left="12"/>
        <w:spacing w:after="0"/>
        <w:rPr>
          <w:sz w:val="20"/>
          <w:szCs w:val="20"/>
          <w:color w:val="auto"/>
        </w:rPr>
      </w:pPr>
      <w:r>
        <w:rPr>
          <w:rFonts w:ascii="Arial" w:cs="Arial" w:eastAsia="Arial" w:hAnsi="Arial"/>
          <w:sz w:val="20"/>
          <w:szCs w:val="20"/>
          <w:color w:val="auto"/>
        </w:rPr>
        <w:t>[†]</w:t>
      </w:r>
    </w:p>
    <w:p>
      <w:pPr>
        <w:spacing w:after="0" w:line="13" w:lineRule="exact"/>
        <w:rPr>
          <w:sz w:val="20"/>
          <w:szCs w:val="20"/>
          <w:color w:val="auto"/>
        </w:rPr>
      </w:pPr>
    </w:p>
    <w:p>
      <w:pPr>
        <w:ind w:left="12"/>
        <w:spacing w:after="0"/>
        <w:rPr>
          <w:sz w:val="20"/>
          <w:szCs w:val="20"/>
          <w:color w:val="auto"/>
        </w:rPr>
      </w:pPr>
      <w:r>
        <w:rPr>
          <w:rFonts w:ascii="Arial" w:cs="Arial" w:eastAsia="Arial" w:hAnsi="Arial"/>
          <w:sz w:val="20"/>
          <w:szCs w:val="20"/>
          <w:color w:val="auto"/>
        </w:rPr>
        <w:t>[†]</w:t>
      </w:r>
    </w:p>
    <w:p>
      <w:pPr>
        <w:spacing w:after="0" w:line="13" w:lineRule="exact"/>
        <w:rPr>
          <w:sz w:val="20"/>
          <w:szCs w:val="20"/>
          <w:color w:val="auto"/>
        </w:rPr>
      </w:pPr>
    </w:p>
    <w:p>
      <w:pPr>
        <w:ind w:left="12"/>
        <w:spacing w:after="0"/>
        <w:rPr>
          <w:sz w:val="20"/>
          <w:szCs w:val="20"/>
          <w:color w:val="auto"/>
        </w:rPr>
      </w:pPr>
      <w:r>
        <w:rPr>
          <w:rFonts w:ascii="Arial" w:cs="Arial" w:eastAsia="Arial" w:hAnsi="Arial"/>
          <w:sz w:val="20"/>
          <w:szCs w:val="20"/>
          <w:color w:val="auto"/>
        </w:rPr>
        <w:t>[†]</w:t>
      </w:r>
    </w:p>
    <w:p>
      <w:pPr>
        <w:spacing w:after="0" w:line="13" w:lineRule="exact"/>
        <w:rPr>
          <w:sz w:val="20"/>
          <w:szCs w:val="20"/>
          <w:color w:val="auto"/>
        </w:rPr>
      </w:pPr>
    </w:p>
    <w:p>
      <w:pPr>
        <w:ind w:left="12"/>
        <w:spacing w:after="0"/>
        <w:rPr>
          <w:sz w:val="20"/>
          <w:szCs w:val="20"/>
          <w:color w:val="auto"/>
        </w:rPr>
      </w:pPr>
      <w:r>
        <w:rPr>
          <w:rFonts w:ascii="Arial" w:cs="Arial" w:eastAsia="Arial" w:hAnsi="Arial"/>
          <w:sz w:val="20"/>
          <w:szCs w:val="20"/>
          <w:color w:val="auto"/>
        </w:rPr>
        <w:t>[†]</w:t>
      </w:r>
    </w:p>
    <w:p>
      <w:pPr>
        <w:spacing w:after="0" w:line="13" w:lineRule="exact"/>
        <w:rPr>
          <w:sz w:val="20"/>
          <w:szCs w:val="20"/>
          <w:color w:val="auto"/>
        </w:rPr>
      </w:pPr>
    </w:p>
    <w:p>
      <w:pPr>
        <w:ind w:left="12"/>
        <w:spacing w:after="0"/>
        <w:rPr>
          <w:sz w:val="20"/>
          <w:szCs w:val="20"/>
          <w:color w:val="auto"/>
        </w:rPr>
      </w:pPr>
      <w:r>
        <w:rPr>
          <w:rFonts w:ascii="Arial" w:cs="Arial" w:eastAsia="Arial" w:hAnsi="Arial"/>
          <w:sz w:val="20"/>
          <w:szCs w:val="20"/>
          <w:color w:val="auto"/>
        </w:rPr>
        <w:t>[†]</w:t>
      </w:r>
    </w:p>
    <w:p>
      <w:pPr>
        <w:spacing w:after="0" w:line="13" w:lineRule="exact"/>
        <w:rPr>
          <w:sz w:val="20"/>
          <w:szCs w:val="20"/>
          <w:color w:val="auto"/>
        </w:rPr>
      </w:pPr>
    </w:p>
    <w:p>
      <w:pPr>
        <w:ind w:left="12"/>
        <w:spacing w:after="0"/>
        <w:rPr>
          <w:sz w:val="20"/>
          <w:szCs w:val="20"/>
          <w:color w:val="auto"/>
        </w:rPr>
      </w:pPr>
      <w:r>
        <w:rPr>
          <w:rFonts w:ascii="Arial" w:cs="Arial" w:eastAsia="Arial" w:hAnsi="Arial"/>
          <w:sz w:val="20"/>
          <w:szCs w:val="20"/>
          <w:color w:val="auto"/>
        </w:rPr>
        <w:t>[†]</w:t>
      </w:r>
    </w:p>
    <w:p>
      <w:pPr>
        <w:spacing w:after="0" w:line="13" w:lineRule="exact"/>
        <w:rPr>
          <w:sz w:val="20"/>
          <w:szCs w:val="20"/>
          <w:color w:val="auto"/>
        </w:rPr>
      </w:pPr>
    </w:p>
    <w:p>
      <w:pPr>
        <w:ind w:left="12"/>
        <w:spacing w:after="0"/>
        <w:rPr>
          <w:sz w:val="20"/>
          <w:szCs w:val="20"/>
          <w:color w:val="auto"/>
        </w:rPr>
      </w:pPr>
      <w:r>
        <w:rPr>
          <w:rFonts w:ascii="Arial" w:cs="Arial" w:eastAsia="Arial" w:hAnsi="Arial"/>
          <w:sz w:val="20"/>
          <w:szCs w:val="20"/>
          <w:color w:val="auto"/>
        </w:rPr>
        <w:t>[†]</w:t>
      </w:r>
    </w:p>
    <w:p>
      <w:pPr>
        <w:spacing w:after="0" w:line="13" w:lineRule="exact"/>
        <w:rPr>
          <w:sz w:val="20"/>
          <w:szCs w:val="20"/>
          <w:color w:val="auto"/>
        </w:rPr>
      </w:pPr>
    </w:p>
    <w:p>
      <w:pPr>
        <w:ind w:left="12"/>
        <w:spacing w:after="0"/>
        <w:rPr>
          <w:sz w:val="20"/>
          <w:szCs w:val="20"/>
          <w:color w:val="auto"/>
        </w:rPr>
      </w:pPr>
      <w:r>
        <w:rPr>
          <w:rFonts w:ascii="Arial" w:cs="Arial" w:eastAsia="Arial" w:hAnsi="Arial"/>
          <w:sz w:val="20"/>
          <w:szCs w:val="20"/>
          <w:color w:val="auto"/>
        </w:rPr>
        <w:t>[†]</w:t>
      </w:r>
    </w:p>
    <w:p>
      <w:pPr>
        <w:spacing w:after="0" w:line="13" w:lineRule="exact"/>
        <w:rPr>
          <w:sz w:val="20"/>
          <w:szCs w:val="20"/>
          <w:color w:val="auto"/>
        </w:rPr>
      </w:pPr>
    </w:p>
    <w:p>
      <w:pPr>
        <w:ind w:left="12"/>
        <w:spacing w:after="0"/>
        <w:rPr>
          <w:sz w:val="20"/>
          <w:szCs w:val="20"/>
          <w:color w:val="auto"/>
        </w:rPr>
      </w:pPr>
      <w:r>
        <w:rPr>
          <w:rFonts w:ascii="Arial" w:cs="Arial" w:eastAsia="Arial" w:hAnsi="Arial"/>
          <w:sz w:val="20"/>
          <w:szCs w:val="20"/>
          <w:color w:val="auto"/>
        </w:rPr>
        <w:t>[†]</w:t>
      </w:r>
    </w:p>
    <w:p>
      <w:pPr>
        <w:spacing w:after="0" w:line="13" w:lineRule="exact"/>
        <w:rPr>
          <w:sz w:val="20"/>
          <w:szCs w:val="20"/>
          <w:color w:val="auto"/>
        </w:rPr>
      </w:pPr>
    </w:p>
    <w:p>
      <w:pPr>
        <w:ind w:left="12"/>
        <w:spacing w:after="0"/>
        <w:rPr>
          <w:sz w:val="20"/>
          <w:szCs w:val="20"/>
          <w:color w:val="auto"/>
        </w:rPr>
      </w:pPr>
      <w:r>
        <w:rPr>
          <w:rFonts w:ascii="Arial" w:cs="Arial" w:eastAsia="Arial" w:hAnsi="Arial"/>
          <w:sz w:val="20"/>
          <w:szCs w:val="20"/>
          <w:color w:val="auto"/>
        </w:rPr>
        <w:t>[†]</w:t>
      </w:r>
    </w:p>
    <w:p>
      <w:pPr>
        <w:spacing w:after="0" w:line="220" w:lineRule="exact"/>
        <w:rPr>
          <w:sz w:val="20"/>
          <w:szCs w:val="20"/>
          <w:color w:val="auto"/>
        </w:rPr>
      </w:pPr>
    </w:p>
    <w:p>
      <w:pPr>
        <w:ind w:left="-8" w:firstLine="8"/>
        <w:spacing w:after="0" w:line="253" w:lineRule="auto"/>
        <w:tabs>
          <w:tab w:leader="none" w:pos="196" w:val="left"/>
        </w:tabs>
        <w:numPr>
          <w:ilvl w:val="0"/>
          <w:numId w:val="186"/>
        </w:numPr>
        <w:rPr>
          <w:rFonts w:ascii="Arial" w:cs="Arial" w:eastAsia="Arial" w:hAnsi="Arial"/>
          <w:sz w:val="14"/>
          <w:szCs w:val="14"/>
          <w:color w:val="auto"/>
        </w:rPr>
      </w:pPr>
      <w:r>
        <w:rPr>
          <w:rFonts w:ascii="Arial" w:cs="Arial" w:eastAsia="Arial" w:hAnsi="Arial"/>
          <w:sz w:val="14"/>
          <w:szCs w:val="14"/>
          <w:color w:val="auto"/>
        </w:rPr>
        <w:t>DESIGNATES PORTIONS OF THIS DOCUMENT THAT HAVE BEEN OMITTED PURSUANT TO A REQUEST FOR CONFIDENTIAL TREATMENT FILED SEPARATELY WITH THE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40640</wp:posOffset>
            </wp:positionV>
            <wp:extent cx="7289165"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72"/>
          </w:cols>
          <w:pgMar w:left="248" w:top="366" w:right="279" w:bottom="1440" w:gutter="0" w:footer="0" w:header="0"/>
        </w:sectPr>
      </w:pPr>
    </w:p>
    <w:bookmarkStart w:id="135" w:name="page136"/>
    <w:bookmarkEnd w:id="135"/>
    <w:p>
      <w:pPr>
        <w:ind w:left="12"/>
        <w:spacing w:after="0"/>
        <w:rPr>
          <w:sz w:val="20"/>
          <w:szCs w:val="20"/>
          <w:color w:val="auto"/>
        </w:rPr>
      </w:pPr>
      <w:r>
        <w:rPr>
          <w:rFonts w:ascii="Arial" w:cs="Arial" w:eastAsia="Arial" w:hAnsi="Arial"/>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-143510</wp:posOffset>
            </wp:positionV>
            <wp:extent cx="7246620" cy="710946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46620" cy="7109460"/>
                    </a:xfrm>
                    <a:prstGeom prst="rect">
                      <a:avLst/>
                    </a:prstGeom>
                    <a:noFill/>
                  </pic:spPr>
                </pic:pic>
              </a:graphicData>
            </a:graphic>
          </wp:anchor>
        </w:drawing>
      </w:r>
    </w:p>
    <w:p>
      <w:pPr>
        <w:ind w:left="12"/>
        <w:spacing w:after="0"/>
        <w:rPr>
          <w:sz w:val="20"/>
          <w:szCs w:val="20"/>
          <w:color w:val="auto"/>
        </w:rPr>
      </w:pPr>
      <w:r>
        <w:rPr>
          <w:rFonts w:ascii="Arial" w:cs="Arial" w:eastAsia="Arial" w:hAnsi="Arial"/>
          <w:sz w:val="20"/>
          <w:szCs w:val="20"/>
          <w:color w:val="auto"/>
        </w:rPr>
        <w:t>[†]</w:t>
      </w:r>
    </w:p>
    <w:p>
      <w:pPr>
        <w:spacing w:after="0" w:line="13" w:lineRule="exact"/>
        <w:rPr>
          <w:sz w:val="20"/>
          <w:szCs w:val="20"/>
          <w:color w:val="auto"/>
        </w:rPr>
      </w:pPr>
    </w:p>
    <w:p>
      <w:pPr>
        <w:ind w:left="12"/>
        <w:spacing w:after="0"/>
        <w:rPr>
          <w:sz w:val="20"/>
          <w:szCs w:val="20"/>
          <w:color w:val="auto"/>
        </w:rPr>
      </w:pPr>
      <w:r>
        <w:rPr>
          <w:rFonts w:ascii="Arial" w:cs="Arial" w:eastAsia="Arial" w:hAnsi="Arial"/>
          <w:sz w:val="20"/>
          <w:szCs w:val="20"/>
          <w:color w:val="auto"/>
        </w:rPr>
        <w:t>[†]</w:t>
      </w:r>
    </w:p>
    <w:p>
      <w:pPr>
        <w:spacing w:after="0" w:line="13" w:lineRule="exact"/>
        <w:rPr>
          <w:sz w:val="20"/>
          <w:szCs w:val="20"/>
          <w:color w:val="auto"/>
        </w:rPr>
      </w:pPr>
    </w:p>
    <w:p>
      <w:pPr>
        <w:ind w:left="12"/>
        <w:spacing w:after="0"/>
        <w:rPr>
          <w:sz w:val="20"/>
          <w:szCs w:val="20"/>
          <w:color w:val="auto"/>
        </w:rPr>
      </w:pPr>
      <w:r>
        <w:rPr>
          <w:rFonts w:ascii="Arial" w:cs="Arial" w:eastAsia="Arial" w:hAnsi="Arial"/>
          <w:sz w:val="20"/>
          <w:szCs w:val="20"/>
          <w:color w:val="auto"/>
        </w:rPr>
        <w:t>[†]</w:t>
      </w:r>
    </w:p>
    <w:p>
      <w:pPr>
        <w:spacing w:after="0" w:line="13" w:lineRule="exact"/>
        <w:rPr>
          <w:sz w:val="20"/>
          <w:szCs w:val="20"/>
          <w:color w:val="auto"/>
        </w:rPr>
      </w:pPr>
    </w:p>
    <w:p>
      <w:pPr>
        <w:ind w:left="12"/>
        <w:spacing w:after="0"/>
        <w:rPr>
          <w:sz w:val="20"/>
          <w:szCs w:val="20"/>
          <w:color w:val="auto"/>
        </w:rPr>
      </w:pPr>
      <w:r>
        <w:rPr>
          <w:rFonts w:ascii="Arial" w:cs="Arial" w:eastAsia="Arial" w:hAnsi="Arial"/>
          <w:sz w:val="20"/>
          <w:szCs w:val="20"/>
          <w:color w:val="auto"/>
        </w:rPr>
        <w:t>[†]</w:t>
      </w:r>
    </w:p>
    <w:p>
      <w:pPr>
        <w:spacing w:after="0" w:line="13" w:lineRule="exact"/>
        <w:rPr>
          <w:sz w:val="20"/>
          <w:szCs w:val="20"/>
          <w:color w:val="auto"/>
        </w:rPr>
      </w:pPr>
    </w:p>
    <w:p>
      <w:pPr>
        <w:ind w:left="12"/>
        <w:spacing w:after="0"/>
        <w:rPr>
          <w:sz w:val="20"/>
          <w:szCs w:val="20"/>
          <w:color w:val="auto"/>
        </w:rPr>
      </w:pPr>
      <w:r>
        <w:rPr>
          <w:rFonts w:ascii="Arial" w:cs="Arial" w:eastAsia="Arial" w:hAnsi="Arial"/>
          <w:sz w:val="20"/>
          <w:szCs w:val="20"/>
          <w:color w:val="auto"/>
        </w:rPr>
        <w:t>[†]</w:t>
      </w:r>
    </w:p>
    <w:p>
      <w:pPr>
        <w:spacing w:after="0" w:line="13" w:lineRule="exact"/>
        <w:rPr>
          <w:sz w:val="20"/>
          <w:szCs w:val="20"/>
          <w:color w:val="auto"/>
        </w:rPr>
      </w:pPr>
    </w:p>
    <w:p>
      <w:pPr>
        <w:ind w:left="12"/>
        <w:spacing w:after="0"/>
        <w:rPr>
          <w:sz w:val="20"/>
          <w:szCs w:val="20"/>
          <w:color w:val="auto"/>
        </w:rPr>
      </w:pPr>
      <w:r>
        <w:rPr>
          <w:rFonts w:ascii="Arial" w:cs="Arial" w:eastAsia="Arial" w:hAnsi="Arial"/>
          <w:sz w:val="20"/>
          <w:szCs w:val="20"/>
          <w:color w:val="auto"/>
        </w:rPr>
        <w:t>[†]</w:t>
      </w:r>
    </w:p>
    <w:p>
      <w:pPr>
        <w:spacing w:after="0" w:line="13" w:lineRule="exact"/>
        <w:rPr>
          <w:sz w:val="20"/>
          <w:szCs w:val="20"/>
          <w:color w:val="auto"/>
        </w:rPr>
      </w:pPr>
    </w:p>
    <w:p>
      <w:pPr>
        <w:ind w:left="12"/>
        <w:spacing w:after="0"/>
        <w:rPr>
          <w:sz w:val="20"/>
          <w:szCs w:val="20"/>
          <w:color w:val="auto"/>
        </w:rPr>
      </w:pPr>
      <w:r>
        <w:rPr>
          <w:rFonts w:ascii="Arial" w:cs="Arial" w:eastAsia="Arial" w:hAnsi="Arial"/>
          <w:sz w:val="20"/>
          <w:szCs w:val="20"/>
          <w:color w:val="auto"/>
        </w:rPr>
        <w:t>[†]</w:t>
      </w:r>
    </w:p>
    <w:p>
      <w:pPr>
        <w:spacing w:after="0" w:line="13" w:lineRule="exact"/>
        <w:rPr>
          <w:sz w:val="20"/>
          <w:szCs w:val="20"/>
          <w:color w:val="auto"/>
        </w:rPr>
      </w:pPr>
    </w:p>
    <w:p>
      <w:pPr>
        <w:ind w:left="12"/>
        <w:spacing w:after="0"/>
        <w:rPr>
          <w:sz w:val="20"/>
          <w:szCs w:val="20"/>
          <w:color w:val="auto"/>
        </w:rPr>
      </w:pPr>
      <w:r>
        <w:rPr>
          <w:rFonts w:ascii="Arial" w:cs="Arial" w:eastAsia="Arial" w:hAnsi="Arial"/>
          <w:sz w:val="20"/>
          <w:szCs w:val="20"/>
          <w:color w:val="auto"/>
        </w:rPr>
        <w:t>[†]</w:t>
      </w:r>
    </w:p>
    <w:p>
      <w:pPr>
        <w:spacing w:after="0" w:line="13" w:lineRule="exact"/>
        <w:rPr>
          <w:sz w:val="20"/>
          <w:szCs w:val="20"/>
          <w:color w:val="auto"/>
        </w:rPr>
      </w:pPr>
    </w:p>
    <w:p>
      <w:pPr>
        <w:ind w:left="12"/>
        <w:spacing w:after="0"/>
        <w:rPr>
          <w:sz w:val="20"/>
          <w:szCs w:val="20"/>
          <w:color w:val="auto"/>
        </w:rPr>
      </w:pPr>
      <w:r>
        <w:rPr>
          <w:rFonts w:ascii="Arial" w:cs="Arial" w:eastAsia="Arial" w:hAnsi="Arial"/>
          <w:sz w:val="20"/>
          <w:szCs w:val="20"/>
          <w:color w:val="auto"/>
        </w:rPr>
        <w:t>[†]</w:t>
      </w:r>
    </w:p>
    <w:p>
      <w:pPr>
        <w:spacing w:after="0" w:line="13" w:lineRule="exact"/>
        <w:rPr>
          <w:sz w:val="20"/>
          <w:szCs w:val="20"/>
          <w:color w:val="auto"/>
        </w:rPr>
      </w:pPr>
    </w:p>
    <w:p>
      <w:pPr>
        <w:ind w:left="12"/>
        <w:spacing w:after="0"/>
        <w:rPr>
          <w:sz w:val="20"/>
          <w:szCs w:val="20"/>
          <w:color w:val="auto"/>
        </w:rPr>
      </w:pPr>
      <w:r>
        <w:rPr>
          <w:rFonts w:ascii="Arial" w:cs="Arial" w:eastAsia="Arial" w:hAnsi="Arial"/>
          <w:sz w:val="20"/>
          <w:szCs w:val="20"/>
          <w:color w:val="auto"/>
        </w:rPr>
        <w:t>[†]</w:t>
      </w:r>
    </w:p>
    <w:p>
      <w:pPr>
        <w:spacing w:after="0" w:line="13" w:lineRule="exact"/>
        <w:rPr>
          <w:sz w:val="20"/>
          <w:szCs w:val="20"/>
          <w:color w:val="auto"/>
        </w:rPr>
      </w:pPr>
    </w:p>
    <w:p>
      <w:pPr>
        <w:ind w:left="12"/>
        <w:spacing w:after="0"/>
        <w:rPr>
          <w:sz w:val="20"/>
          <w:szCs w:val="20"/>
          <w:color w:val="auto"/>
        </w:rPr>
      </w:pPr>
      <w:r>
        <w:rPr>
          <w:rFonts w:ascii="Arial" w:cs="Arial" w:eastAsia="Arial" w:hAnsi="Arial"/>
          <w:sz w:val="20"/>
          <w:szCs w:val="20"/>
          <w:color w:val="auto"/>
        </w:rPr>
        <w:t>[†]</w:t>
      </w:r>
    </w:p>
    <w:p>
      <w:pPr>
        <w:spacing w:after="0" w:line="13" w:lineRule="exact"/>
        <w:rPr>
          <w:sz w:val="20"/>
          <w:szCs w:val="20"/>
          <w:color w:val="auto"/>
        </w:rPr>
      </w:pPr>
    </w:p>
    <w:p>
      <w:pPr>
        <w:ind w:left="12"/>
        <w:spacing w:after="0"/>
        <w:rPr>
          <w:sz w:val="20"/>
          <w:szCs w:val="20"/>
          <w:color w:val="auto"/>
        </w:rPr>
      </w:pPr>
      <w:r>
        <w:rPr>
          <w:rFonts w:ascii="Arial" w:cs="Arial" w:eastAsia="Arial" w:hAnsi="Arial"/>
          <w:sz w:val="20"/>
          <w:szCs w:val="20"/>
          <w:color w:val="auto"/>
        </w:rPr>
        <w:t>[†]</w:t>
      </w:r>
    </w:p>
    <w:p>
      <w:pPr>
        <w:spacing w:after="0" w:line="13" w:lineRule="exact"/>
        <w:rPr>
          <w:sz w:val="20"/>
          <w:szCs w:val="20"/>
          <w:color w:val="auto"/>
        </w:rPr>
      </w:pPr>
    </w:p>
    <w:p>
      <w:pPr>
        <w:ind w:left="12"/>
        <w:spacing w:after="0"/>
        <w:rPr>
          <w:sz w:val="20"/>
          <w:szCs w:val="20"/>
          <w:color w:val="auto"/>
        </w:rPr>
      </w:pPr>
      <w:r>
        <w:rPr>
          <w:rFonts w:ascii="Arial" w:cs="Arial" w:eastAsia="Arial" w:hAnsi="Arial"/>
          <w:sz w:val="20"/>
          <w:szCs w:val="20"/>
          <w:color w:val="auto"/>
        </w:rPr>
        <w:t>[†]</w:t>
      </w:r>
    </w:p>
    <w:p>
      <w:pPr>
        <w:spacing w:after="0" w:line="13" w:lineRule="exact"/>
        <w:rPr>
          <w:sz w:val="20"/>
          <w:szCs w:val="20"/>
          <w:color w:val="auto"/>
        </w:rPr>
      </w:pPr>
    </w:p>
    <w:p>
      <w:pPr>
        <w:ind w:left="12"/>
        <w:spacing w:after="0"/>
        <w:rPr>
          <w:sz w:val="20"/>
          <w:szCs w:val="20"/>
          <w:color w:val="auto"/>
        </w:rPr>
      </w:pPr>
      <w:r>
        <w:rPr>
          <w:rFonts w:ascii="Arial" w:cs="Arial" w:eastAsia="Arial" w:hAnsi="Arial"/>
          <w:sz w:val="20"/>
          <w:szCs w:val="20"/>
          <w:color w:val="auto"/>
        </w:rPr>
        <w:t>[†]</w:t>
      </w:r>
    </w:p>
    <w:p>
      <w:pPr>
        <w:spacing w:after="0" w:line="13" w:lineRule="exact"/>
        <w:rPr>
          <w:sz w:val="20"/>
          <w:szCs w:val="20"/>
          <w:color w:val="auto"/>
        </w:rPr>
      </w:pPr>
    </w:p>
    <w:p>
      <w:pPr>
        <w:ind w:left="12"/>
        <w:spacing w:after="0"/>
        <w:rPr>
          <w:sz w:val="20"/>
          <w:szCs w:val="20"/>
          <w:color w:val="auto"/>
        </w:rPr>
      </w:pPr>
      <w:r>
        <w:rPr>
          <w:rFonts w:ascii="Arial" w:cs="Arial" w:eastAsia="Arial" w:hAnsi="Arial"/>
          <w:sz w:val="20"/>
          <w:szCs w:val="20"/>
          <w:color w:val="auto"/>
        </w:rPr>
        <w:t>[†]</w:t>
      </w:r>
    </w:p>
    <w:p>
      <w:pPr>
        <w:spacing w:after="0" w:line="13" w:lineRule="exact"/>
        <w:rPr>
          <w:sz w:val="20"/>
          <w:szCs w:val="20"/>
          <w:color w:val="auto"/>
        </w:rPr>
      </w:pPr>
    </w:p>
    <w:p>
      <w:pPr>
        <w:ind w:left="12"/>
        <w:spacing w:after="0"/>
        <w:rPr>
          <w:sz w:val="20"/>
          <w:szCs w:val="20"/>
          <w:color w:val="auto"/>
        </w:rPr>
      </w:pPr>
      <w:r>
        <w:rPr>
          <w:rFonts w:ascii="Arial" w:cs="Arial" w:eastAsia="Arial" w:hAnsi="Arial"/>
          <w:sz w:val="20"/>
          <w:szCs w:val="20"/>
          <w:color w:val="auto"/>
        </w:rPr>
        <w:t>[†]</w:t>
      </w:r>
    </w:p>
    <w:p>
      <w:pPr>
        <w:spacing w:after="0" w:line="13" w:lineRule="exact"/>
        <w:rPr>
          <w:sz w:val="20"/>
          <w:szCs w:val="20"/>
          <w:color w:val="auto"/>
        </w:rPr>
      </w:pPr>
    </w:p>
    <w:p>
      <w:pPr>
        <w:ind w:left="12"/>
        <w:spacing w:after="0"/>
        <w:rPr>
          <w:sz w:val="20"/>
          <w:szCs w:val="20"/>
          <w:color w:val="auto"/>
        </w:rPr>
      </w:pPr>
      <w:r>
        <w:rPr>
          <w:rFonts w:ascii="Arial" w:cs="Arial" w:eastAsia="Arial" w:hAnsi="Arial"/>
          <w:sz w:val="20"/>
          <w:szCs w:val="20"/>
          <w:color w:val="auto"/>
        </w:rPr>
        <w:t>[†]</w:t>
      </w:r>
    </w:p>
    <w:p>
      <w:pPr>
        <w:spacing w:after="0" w:line="13" w:lineRule="exact"/>
        <w:rPr>
          <w:sz w:val="20"/>
          <w:szCs w:val="20"/>
          <w:color w:val="auto"/>
        </w:rPr>
      </w:pPr>
    </w:p>
    <w:p>
      <w:pPr>
        <w:ind w:left="12"/>
        <w:spacing w:after="0"/>
        <w:rPr>
          <w:sz w:val="20"/>
          <w:szCs w:val="20"/>
          <w:color w:val="auto"/>
        </w:rPr>
      </w:pPr>
      <w:r>
        <w:rPr>
          <w:rFonts w:ascii="Arial" w:cs="Arial" w:eastAsia="Arial" w:hAnsi="Arial"/>
          <w:sz w:val="20"/>
          <w:szCs w:val="20"/>
          <w:color w:val="auto"/>
        </w:rPr>
        <w:t>[†]</w:t>
      </w:r>
    </w:p>
    <w:p>
      <w:pPr>
        <w:spacing w:after="0" w:line="13" w:lineRule="exact"/>
        <w:rPr>
          <w:sz w:val="20"/>
          <w:szCs w:val="20"/>
          <w:color w:val="auto"/>
        </w:rPr>
      </w:pPr>
    </w:p>
    <w:p>
      <w:pPr>
        <w:ind w:left="12"/>
        <w:spacing w:after="0"/>
        <w:rPr>
          <w:sz w:val="20"/>
          <w:szCs w:val="20"/>
          <w:color w:val="auto"/>
        </w:rPr>
      </w:pPr>
      <w:r>
        <w:rPr>
          <w:rFonts w:ascii="Arial" w:cs="Arial" w:eastAsia="Arial" w:hAnsi="Arial"/>
          <w:sz w:val="20"/>
          <w:szCs w:val="20"/>
          <w:color w:val="auto"/>
        </w:rPr>
        <w:t>[†]</w:t>
      </w:r>
    </w:p>
    <w:p>
      <w:pPr>
        <w:spacing w:after="0" w:line="13" w:lineRule="exact"/>
        <w:rPr>
          <w:sz w:val="20"/>
          <w:szCs w:val="20"/>
          <w:color w:val="auto"/>
        </w:rPr>
      </w:pPr>
    </w:p>
    <w:p>
      <w:pPr>
        <w:ind w:left="12"/>
        <w:spacing w:after="0"/>
        <w:rPr>
          <w:sz w:val="20"/>
          <w:szCs w:val="20"/>
          <w:color w:val="auto"/>
        </w:rPr>
      </w:pPr>
      <w:r>
        <w:rPr>
          <w:rFonts w:ascii="Arial" w:cs="Arial" w:eastAsia="Arial" w:hAnsi="Arial"/>
          <w:sz w:val="20"/>
          <w:szCs w:val="20"/>
          <w:color w:val="auto"/>
        </w:rPr>
        <w:t>[†]</w:t>
      </w:r>
    </w:p>
    <w:p>
      <w:pPr>
        <w:spacing w:after="0" w:line="13" w:lineRule="exact"/>
        <w:rPr>
          <w:sz w:val="20"/>
          <w:szCs w:val="20"/>
          <w:color w:val="auto"/>
        </w:rPr>
      </w:pPr>
    </w:p>
    <w:p>
      <w:pPr>
        <w:ind w:left="12"/>
        <w:spacing w:after="0"/>
        <w:rPr>
          <w:sz w:val="20"/>
          <w:szCs w:val="20"/>
          <w:color w:val="auto"/>
        </w:rPr>
      </w:pPr>
      <w:r>
        <w:rPr>
          <w:rFonts w:ascii="Arial" w:cs="Arial" w:eastAsia="Arial" w:hAnsi="Arial"/>
          <w:sz w:val="20"/>
          <w:szCs w:val="20"/>
          <w:color w:val="auto"/>
        </w:rPr>
        <w:t>[†]</w:t>
      </w:r>
    </w:p>
    <w:p>
      <w:pPr>
        <w:spacing w:after="0" w:line="13" w:lineRule="exact"/>
        <w:rPr>
          <w:sz w:val="20"/>
          <w:szCs w:val="20"/>
          <w:color w:val="auto"/>
        </w:rPr>
      </w:pPr>
    </w:p>
    <w:p>
      <w:pPr>
        <w:ind w:left="12"/>
        <w:spacing w:after="0"/>
        <w:rPr>
          <w:sz w:val="20"/>
          <w:szCs w:val="20"/>
          <w:color w:val="auto"/>
        </w:rPr>
      </w:pPr>
      <w:r>
        <w:rPr>
          <w:rFonts w:ascii="Arial" w:cs="Arial" w:eastAsia="Arial" w:hAnsi="Arial"/>
          <w:sz w:val="20"/>
          <w:szCs w:val="20"/>
          <w:color w:val="auto"/>
        </w:rPr>
        <w:t>[†]</w:t>
      </w:r>
    </w:p>
    <w:p>
      <w:pPr>
        <w:spacing w:after="0" w:line="13" w:lineRule="exact"/>
        <w:rPr>
          <w:sz w:val="20"/>
          <w:szCs w:val="20"/>
          <w:color w:val="auto"/>
        </w:rPr>
      </w:pPr>
    </w:p>
    <w:p>
      <w:pPr>
        <w:ind w:left="12"/>
        <w:spacing w:after="0"/>
        <w:rPr>
          <w:sz w:val="20"/>
          <w:szCs w:val="20"/>
          <w:color w:val="auto"/>
        </w:rPr>
      </w:pPr>
      <w:r>
        <w:rPr>
          <w:rFonts w:ascii="Arial" w:cs="Arial" w:eastAsia="Arial" w:hAnsi="Arial"/>
          <w:sz w:val="20"/>
          <w:szCs w:val="20"/>
          <w:color w:val="auto"/>
        </w:rPr>
        <w:t>[†]</w:t>
      </w:r>
    </w:p>
    <w:p>
      <w:pPr>
        <w:spacing w:after="0" w:line="13" w:lineRule="exact"/>
        <w:rPr>
          <w:sz w:val="20"/>
          <w:szCs w:val="20"/>
          <w:color w:val="auto"/>
        </w:rPr>
      </w:pPr>
    </w:p>
    <w:p>
      <w:pPr>
        <w:ind w:left="12"/>
        <w:spacing w:after="0"/>
        <w:rPr>
          <w:sz w:val="20"/>
          <w:szCs w:val="20"/>
          <w:color w:val="auto"/>
        </w:rPr>
      </w:pPr>
      <w:r>
        <w:rPr>
          <w:rFonts w:ascii="Arial" w:cs="Arial" w:eastAsia="Arial" w:hAnsi="Arial"/>
          <w:sz w:val="20"/>
          <w:szCs w:val="20"/>
          <w:color w:val="auto"/>
        </w:rPr>
        <w:t>[†]</w:t>
      </w:r>
    </w:p>
    <w:p>
      <w:pPr>
        <w:spacing w:after="0" w:line="13" w:lineRule="exact"/>
        <w:rPr>
          <w:sz w:val="20"/>
          <w:szCs w:val="20"/>
          <w:color w:val="auto"/>
        </w:rPr>
      </w:pPr>
    </w:p>
    <w:p>
      <w:pPr>
        <w:ind w:left="12"/>
        <w:spacing w:after="0"/>
        <w:rPr>
          <w:sz w:val="20"/>
          <w:szCs w:val="20"/>
          <w:color w:val="auto"/>
        </w:rPr>
      </w:pPr>
      <w:r>
        <w:rPr>
          <w:rFonts w:ascii="Arial" w:cs="Arial" w:eastAsia="Arial" w:hAnsi="Arial"/>
          <w:sz w:val="20"/>
          <w:szCs w:val="20"/>
          <w:color w:val="auto"/>
        </w:rPr>
        <w:t>[†]</w:t>
      </w:r>
    </w:p>
    <w:p>
      <w:pPr>
        <w:spacing w:after="0" w:line="13" w:lineRule="exact"/>
        <w:rPr>
          <w:sz w:val="20"/>
          <w:szCs w:val="20"/>
          <w:color w:val="auto"/>
        </w:rPr>
      </w:pPr>
    </w:p>
    <w:p>
      <w:pPr>
        <w:ind w:left="12"/>
        <w:spacing w:after="0"/>
        <w:rPr>
          <w:sz w:val="20"/>
          <w:szCs w:val="20"/>
          <w:color w:val="auto"/>
        </w:rPr>
      </w:pPr>
      <w:r>
        <w:rPr>
          <w:rFonts w:ascii="Arial" w:cs="Arial" w:eastAsia="Arial" w:hAnsi="Arial"/>
          <w:sz w:val="20"/>
          <w:szCs w:val="20"/>
          <w:color w:val="auto"/>
        </w:rPr>
        <w:t>[†]</w:t>
      </w:r>
    </w:p>
    <w:p>
      <w:pPr>
        <w:spacing w:after="0" w:line="13" w:lineRule="exact"/>
        <w:rPr>
          <w:sz w:val="20"/>
          <w:szCs w:val="20"/>
          <w:color w:val="auto"/>
        </w:rPr>
      </w:pPr>
    </w:p>
    <w:p>
      <w:pPr>
        <w:ind w:left="12"/>
        <w:spacing w:after="0"/>
        <w:rPr>
          <w:sz w:val="20"/>
          <w:szCs w:val="20"/>
          <w:color w:val="auto"/>
        </w:rPr>
      </w:pPr>
      <w:r>
        <w:rPr>
          <w:rFonts w:ascii="Arial" w:cs="Arial" w:eastAsia="Arial" w:hAnsi="Arial"/>
          <w:sz w:val="20"/>
          <w:szCs w:val="20"/>
          <w:color w:val="auto"/>
        </w:rPr>
        <w:t>[†]</w:t>
      </w:r>
    </w:p>
    <w:p>
      <w:pPr>
        <w:spacing w:after="0" w:line="13" w:lineRule="exact"/>
        <w:rPr>
          <w:sz w:val="20"/>
          <w:szCs w:val="20"/>
          <w:color w:val="auto"/>
        </w:rPr>
      </w:pPr>
    </w:p>
    <w:p>
      <w:pPr>
        <w:ind w:left="12"/>
        <w:spacing w:after="0"/>
        <w:rPr>
          <w:sz w:val="20"/>
          <w:szCs w:val="20"/>
          <w:color w:val="auto"/>
        </w:rPr>
      </w:pPr>
      <w:r>
        <w:rPr>
          <w:rFonts w:ascii="Arial" w:cs="Arial" w:eastAsia="Arial" w:hAnsi="Arial"/>
          <w:sz w:val="20"/>
          <w:szCs w:val="20"/>
          <w:color w:val="auto"/>
        </w:rPr>
        <w:t>[†]</w:t>
      </w:r>
    </w:p>
    <w:p>
      <w:pPr>
        <w:spacing w:after="0" w:line="13" w:lineRule="exact"/>
        <w:rPr>
          <w:sz w:val="20"/>
          <w:szCs w:val="20"/>
          <w:color w:val="auto"/>
        </w:rPr>
      </w:pPr>
    </w:p>
    <w:p>
      <w:pPr>
        <w:ind w:left="12"/>
        <w:spacing w:after="0"/>
        <w:rPr>
          <w:sz w:val="20"/>
          <w:szCs w:val="20"/>
          <w:color w:val="auto"/>
        </w:rPr>
      </w:pPr>
      <w:r>
        <w:rPr>
          <w:rFonts w:ascii="Arial" w:cs="Arial" w:eastAsia="Arial" w:hAnsi="Arial"/>
          <w:sz w:val="20"/>
          <w:szCs w:val="20"/>
          <w:color w:val="auto"/>
        </w:rPr>
        <w:t>[†]</w:t>
      </w:r>
    </w:p>
    <w:p>
      <w:pPr>
        <w:spacing w:after="0" w:line="13" w:lineRule="exact"/>
        <w:rPr>
          <w:sz w:val="20"/>
          <w:szCs w:val="20"/>
          <w:color w:val="auto"/>
        </w:rPr>
      </w:pPr>
    </w:p>
    <w:p>
      <w:pPr>
        <w:ind w:left="12"/>
        <w:spacing w:after="0"/>
        <w:rPr>
          <w:sz w:val="20"/>
          <w:szCs w:val="20"/>
          <w:color w:val="auto"/>
        </w:rPr>
      </w:pPr>
      <w:r>
        <w:rPr>
          <w:rFonts w:ascii="Arial" w:cs="Arial" w:eastAsia="Arial" w:hAnsi="Arial"/>
          <w:sz w:val="20"/>
          <w:szCs w:val="20"/>
          <w:color w:val="auto"/>
        </w:rPr>
        <w:t>[†]</w:t>
      </w:r>
    </w:p>
    <w:p>
      <w:pPr>
        <w:spacing w:after="0" w:line="13" w:lineRule="exact"/>
        <w:rPr>
          <w:sz w:val="20"/>
          <w:szCs w:val="20"/>
          <w:color w:val="auto"/>
        </w:rPr>
      </w:pPr>
    </w:p>
    <w:p>
      <w:pPr>
        <w:ind w:left="12"/>
        <w:spacing w:after="0"/>
        <w:rPr>
          <w:sz w:val="20"/>
          <w:szCs w:val="20"/>
          <w:color w:val="auto"/>
        </w:rPr>
      </w:pPr>
      <w:r>
        <w:rPr>
          <w:rFonts w:ascii="Arial" w:cs="Arial" w:eastAsia="Arial" w:hAnsi="Arial"/>
          <w:sz w:val="20"/>
          <w:szCs w:val="20"/>
          <w:color w:val="auto"/>
        </w:rPr>
        <w:t>[†]</w:t>
      </w:r>
    </w:p>
    <w:p>
      <w:pPr>
        <w:spacing w:after="0" w:line="13" w:lineRule="exact"/>
        <w:rPr>
          <w:sz w:val="20"/>
          <w:szCs w:val="20"/>
          <w:color w:val="auto"/>
        </w:rPr>
      </w:pPr>
    </w:p>
    <w:p>
      <w:pPr>
        <w:ind w:left="12"/>
        <w:spacing w:after="0"/>
        <w:rPr>
          <w:sz w:val="20"/>
          <w:szCs w:val="20"/>
          <w:color w:val="auto"/>
        </w:rPr>
      </w:pPr>
      <w:r>
        <w:rPr>
          <w:rFonts w:ascii="Arial" w:cs="Arial" w:eastAsia="Arial" w:hAnsi="Arial"/>
          <w:sz w:val="20"/>
          <w:szCs w:val="20"/>
          <w:color w:val="auto"/>
        </w:rPr>
        <w:t>[†]</w:t>
      </w:r>
    </w:p>
    <w:p>
      <w:pPr>
        <w:spacing w:after="0" w:line="13" w:lineRule="exact"/>
        <w:rPr>
          <w:sz w:val="20"/>
          <w:szCs w:val="20"/>
          <w:color w:val="auto"/>
        </w:rPr>
      </w:pPr>
    </w:p>
    <w:p>
      <w:pPr>
        <w:ind w:left="12"/>
        <w:spacing w:after="0"/>
        <w:rPr>
          <w:sz w:val="20"/>
          <w:szCs w:val="20"/>
          <w:color w:val="auto"/>
        </w:rPr>
      </w:pPr>
      <w:r>
        <w:rPr>
          <w:rFonts w:ascii="Arial" w:cs="Arial" w:eastAsia="Arial" w:hAnsi="Arial"/>
          <w:sz w:val="20"/>
          <w:szCs w:val="20"/>
          <w:color w:val="auto"/>
        </w:rPr>
        <w:t>[†]</w:t>
      </w:r>
    </w:p>
    <w:p>
      <w:pPr>
        <w:spacing w:after="0" w:line="13" w:lineRule="exact"/>
        <w:rPr>
          <w:sz w:val="20"/>
          <w:szCs w:val="20"/>
          <w:color w:val="auto"/>
        </w:rPr>
      </w:pPr>
    </w:p>
    <w:p>
      <w:pPr>
        <w:ind w:left="12"/>
        <w:spacing w:after="0"/>
        <w:rPr>
          <w:sz w:val="20"/>
          <w:szCs w:val="20"/>
          <w:color w:val="auto"/>
        </w:rPr>
      </w:pPr>
      <w:r>
        <w:rPr>
          <w:rFonts w:ascii="Arial" w:cs="Arial" w:eastAsia="Arial" w:hAnsi="Arial"/>
          <w:sz w:val="20"/>
          <w:szCs w:val="20"/>
          <w:color w:val="auto"/>
        </w:rPr>
        <w:t>[†]</w:t>
      </w:r>
    </w:p>
    <w:p>
      <w:pPr>
        <w:spacing w:after="0" w:line="13" w:lineRule="exact"/>
        <w:rPr>
          <w:sz w:val="20"/>
          <w:szCs w:val="20"/>
          <w:color w:val="auto"/>
        </w:rPr>
      </w:pPr>
    </w:p>
    <w:p>
      <w:pPr>
        <w:ind w:left="12"/>
        <w:spacing w:after="0"/>
        <w:rPr>
          <w:sz w:val="20"/>
          <w:szCs w:val="20"/>
          <w:color w:val="auto"/>
        </w:rPr>
      </w:pPr>
      <w:r>
        <w:rPr>
          <w:rFonts w:ascii="Arial" w:cs="Arial" w:eastAsia="Arial" w:hAnsi="Arial"/>
          <w:sz w:val="20"/>
          <w:szCs w:val="20"/>
          <w:color w:val="auto"/>
        </w:rPr>
        <w:t>[†]</w:t>
      </w:r>
    </w:p>
    <w:p>
      <w:pPr>
        <w:spacing w:after="0" w:line="13" w:lineRule="exact"/>
        <w:rPr>
          <w:sz w:val="20"/>
          <w:szCs w:val="20"/>
          <w:color w:val="auto"/>
        </w:rPr>
      </w:pPr>
    </w:p>
    <w:p>
      <w:pPr>
        <w:ind w:left="12"/>
        <w:spacing w:after="0"/>
        <w:rPr>
          <w:sz w:val="20"/>
          <w:szCs w:val="20"/>
          <w:color w:val="auto"/>
        </w:rPr>
      </w:pPr>
      <w:r>
        <w:rPr>
          <w:rFonts w:ascii="Arial" w:cs="Arial" w:eastAsia="Arial" w:hAnsi="Arial"/>
          <w:sz w:val="20"/>
          <w:szCs w:val="20"/>
          <w:color w:val="auto"/>
        </w:rPr>
        <w:t>[†]</w:t>
      </w:r>
    </w:p>
    <w:p>
      <w:pPr>
        <w:spacing w:after="0" w:line="13" w:lineRule="exact"/>
        <w:rPr>
          <w:sz w:val="20"/>
          <w:szCs w:val="20"/>
          <w:color w:val="auto"/>
        </w:rPr>
      </w:pPr>
    </w:p>
    <w:p>
      <w:pPr>
        <w:ind w:left="12"/>
        <w:spacing w:after="0"/>
        <w:rPr>
          <w:sz w:val="20"/>
          <w:szCs w:val="20"/>
          <w:color w:val="auto"/>
        </w:rPr>
      </w:pPr>
      <w:r>
        <w:rPr>
          <w:rFonts w:ascii="Arial" w:cs="Arial" w:eastAsia="Arial" w:hAnsi="Arial"/>
          <w:sz w:val="20"/>
          <w:szCs w:val="20"/>
          <w:color w:val="auto"/>
        </w:rPr>
        <w:t>[†]</w:t>
      </w:r>
    </w:p>
    <w:p>
      <w:pPr>
        <w:spacing w:after="0" w:line="13" w:lineRule="exact"/>
        <w:rPr>
          <w:sz w:val="20"/>
          <w:szCs w:val="20"/>
          <w:color w:val="auto"/>
        </w:rPr>
      </w:pPr>
    </w:p>
    <w:p>
      <w:pPr>
        <w:ind w:left="12"/>
        <w:spacing w:after="0"/>
        <w:rPr>
          <w:sz w:val="20"/>
          <w:szCs w:val="20"/>
          <w:color w:val="auto"/>
        </w:rPr>
      </w:pPr>
      <w:r>
        <w:rPr>
          <w:rFonts w:ascii="Arial" w:cs="Arial" w:eastAsia="Arial" w:hAnsi="Arial"/>
          <w:sz w:val="20"/>
          <w:szCs w:val="20"/>
          <w:color w:val="auto"/>
        </w:rPr>
        <w:t>[†]</w:t>
      </w:r>
    </w:p>
    <w:p>
      <w:pPr>
        <w:spacing w:after="0" w:line="13" w:lineRule="exact"/>
        <w:rPr>
          <w:sz w:val="20"/>
          <w:szCs w:val="20"/>
          <w:color w:val="auto"/>
        </w:rPr>
      </w:pPr>
    </w:p>
    <w:p>
      <w:pPr>
        <w:ind w:left="12"/>
        <w:spacing w:after="0"/>
        <w:rPr>
          <w:sz w:val="20"/>
          <w:szCs w:val="20"/>
          <w:color w:val="auto"/>
        </w:rPr>
      </w:pPr>
      <w:r>
        <w:rPr>
          <w:rFonts w:ascii="Arial" w:cs="Arial" w:eastAsia="Arial" w:hAnsi="Arial"/>
          <w:sz w:val="20"/>
          <w:szCs w:val="20"/>
          <w:color w:val="auto"/>
        </w:rPr>
        <w:t>[†]</w:t>
      </w:r>
    </w:p>
    <w:p>
      <w:pPr>
        <w:spacing w:after="0" w:line="13" w:lineRule="exact"/>
        <w:rPr>
          <w:sz w:val="20"/>
          <w:szCs w:val="20"/>
          <w:color w:val="auto"/>
        </w:rPr>
      </w:pPr>
    </w:p>
    <w:p>
      <w:pPr>
        <w:ind w:left="12"/>
        <w:spacing w:after="0"/>
        <w:rPr>
          <w:sz w:val="20"/>
          <w:szCs w:val="20"/>
          <w:color w:val="auto"/>
        </w:rPr>
      </w:pPr>
      <w:r>
        <w:rPr>
          <w:rFonts w:ascii="Arial" w:cs="Arial" w:eastAsia="Arial" w:hAnsi="Arial"/>
          <w:sz w:val="20"/>
          <w:szCs w:val="20"/>
          <w:color w:val="auto"/>
        </w:rPr>
        <w:t>[†]</w:t>
      </w:r>
    </w:p>
    <w:p>
      <w:pPr>
        <w:spacing w:after="0" w:line="13" w:lineRule="exact"/>
        <w:rPr>
          <w:sz w:val="20"/>
          <w:szCs w:val="20"/>
          <w:color w:val="auto"/>
        </w:rPr>
      </w:pPr>
    </w:p>
    <w:p>
      <w:pPr>
        <w:ind w:left="12"/>
        <w:spacing w:after="0"/>
        <w:rPr>
          <w:sz w:val="20"/>
          <w:szCs w:val="20"/>
          <w:color w:val="auto"/>
        </w:rPr>
      </w:pPr>
      <w:r>
        <w:rPr>
          <w:rFonts w:ascii="Arial" w:cs="Arial" w:eastAsia="Arial" w:hAnsi="Arial"/>
          <w:sz w:val="20"/>
          <w:szCs w:val="20"/>
          <w:color w:val="auto"/>
        </w:rPr>
        <w:t>[†]</w:t>
      </w:r>
    </w:p>
    <w:p>
      <w:pPr>
        <w:spacing w:after="0" w:line="13" w:lineRule="exact"/>
        <w:rPr>
          <w:sz w:val="20"/>
          <w:szCs w:val="20"/>
          <w:color w:val="auto"/>
        </w:rPr>
      </w:pPr>
    </w:p>
    <w:p>
      <w:pPr>
        <w:ind w:left="12"/>
        <w:spacing w:after="0"/>
        <w:rPr>
          <w:sz w:val="20"/>
          <w:szCs w:val="20"/>
          <w:color w:val="auto"/>
        </w:rPr>
      </w:pPr>
      <w:r>
        <w:rPr>
          <w:rFonts w:ascii="Arial" w:cs="Arial" w:eastAsia="Arial" w:hAnsi="Arial"/>
          <w:sz w:val="20"/>
          <w:szCs w:val="20"/>
          <w:color w:val="auto"/>
        </w:rPr>
        <w:t>[†]</w:t>
      </w:r>
    </w:p>
    <w:p>
      <w:pPr>
        <w:spacing w:after="0" w:line="13" w:lineRule="exact"/>
        <w:rPr>
          <w:sz w:val="20"/>
          <w:szCs w:val="20"/>
          <w:color w:val="auto"/>
        </w:rPr>
      </w:pPr>
    </w:p>
    <w:p>
      <w:pPr>
        <w:ind w:left="12"/>
        <w:spacing w:after="0"/>
        <w:rPr>
          <w:sz w:val="20"/>
          <w:szCs w:val="20"/>
          <w:color w:val="auto"/>
        </w:rPr>
      </w:pPr>
      <w:r>
        <w:rPr>
          <w:rFonts w:ascii="Arial" w:cs="Arial" w:eastAsia="Arial" w:hAnsi="Arial"/>
          <w:sz w:val="20"/>
          <w:szCs w:val="20"/>
          <w:color w:val="auto"/>
        </w:rPr>
        <w:t>[†]</w:t>
      </w:r>
    </w:p>
    <w:p>
      <w:pPr>
        <w:spacing w:after="0" w:line="13" w:lineRule="exact"/>
        <w:rPr>
          <w:sz w:val="20"/>
          <w:szCs w:val="20"/>
          <w:color w:val="auto"/>
        </w:rPr>
      </w:pPr>
    </w:p>
    <w:p>
      <w:pPr>
        <w:ind w:left="12"/>
        <w:spacing w:after="0"/>
        <w:rPr>
          <w:sz w:val="20"/>
          <w:szCs w:val="20"/>
          <w:color w:val="auto"/>
        </w:rPr>
      </w:pPr>
      <w:r>
        <w:rPr>
          <w:rFonts w:ascii="Arial" w:cs="Arial" w:eastAsia="Arial" w:hAnsi="Arial"/>
          <w:sz w:val="20"/>
          <w:szCs w:val="20"/>
          <w:color w:val="auto"/>
        </w:rPr>
        <w:t>[†]</w:t>
      </w:r>
    </w:p>
    <w:p>
      <w:pPr>
        <w:spacing w:after="0" w:line="13" w:lineRule="exact"/>
        <w:rPr>
          <w:sz w:val="20"/>
          <w:szCs w:val="20"/>
          <w:color w:val="auto"/>
        </w:rPr>
      </w:pPr>
    </w:p>
    <w:p>
      <w:pPr>
        <w:ind w:left="12"/>
        <w:spacing w:after="0"/>
        <w:rPr>
          <w:sz w:val="20"/>
          <w:szCs w:val="20"/>
          <w:color w:val="auto"/>
        </w:rPr>
      </w:pPr>
      <w:r>
        <w:rPr>
          <w:rFonts w:ascii="Arial" w:cs="Arial" w:eastAsia="Arial" w:hAnsi="Arial"/>
          <w:sz w:val="20"/>
          <w:szCs w:val="20"/>
          <w:color w:val="auto"/>
        </w:rPr>
        <w:t>[†]</w:t>
      </w:r>
    </w:p>
    <w:p>
      <w:pPr>
        <w:spacing w:after="0" w:line="220" w:lineRule="exact"/>
        <w:rPr>
          <w:sz w:val="20"/>
          <w:szCs w:val="20"/>
          <w:color w:val="auto"/>
        </w:rPr>
      </w:pPr>
    </w:p>
    <w:p>
      <w:pPr>
        <w:ind w:left="-8" w:firstLine="8"/>
        <w:spacing w:after="0" w:line="253" w:lineRule="auto"/>
        <w:tabs>
          <w:tab w:leader="none" w:pos="196" w:val="left"/>
        </w:tabs>
        <w:numPr>
          <w:ilvl w:val="0"/>
          <w:numId w:val="187"/>
        </w:numPr>
        <w:rPr>
          <w:rFonts w:ascii="Arial" w:cs="Arial" w:eastAsia="Arial" w:hAnsi="Arial"/>
          <w:sz w:val="14"/>
          <w:szCs w:val="14"/>
          <w:color w:val="auto"/>
        </w:rPr>
      </w:pPr>
      <w:r>
        <w:rPr>
          <w:rFonts w:ascii="Arial" w:cs="Arial" w:eastAsia="Arial" w:hAnsi="Arial"/>
          <w:sz w:val="14"/>
          <w:szCs w:val="14"/>
          <w:color w:val="auto"/>
        </w:rPr>
        <w:t>DESIGNATES PORTIONS OF THIS DOCUMENT THAT HAVE BEEN OMITTED PURSUANT TO A REQUEST FOR CONFIDENTIAL TREATMENT FILED SEPARATELY WITH THE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40640</wp:posOffset>
            </wp:positionV>
            <wp:extent cx="7289165"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72"/>
          </w:cols>
          <w:pgMar w:left="248" w:top="366" w:right="279" w:bottom="1440" w:gutter="0" w:footer="0" w:header="0"/>
        </w:sectPr>
      </w:pPr>
    </w:p>
    <w:bookmarkStart w:id="136" w:name="page137"/>
    <w:bookmarkEnd w:id="136"/>
    <w:p>
      <w:pPr>
        <w:ind w:left="20"/>
        <w:spacing w:after="0"/>
        <w:rPr>
          <w:sz w:val="20"/>
          <w:szCs w:val="20"/>
          <w:color w:val="auto"/>
        </w:rPr>
      </w:pPr>
      <w:r>
        <w:rPr>
          <w:rFonts w:ascii="Arial" w:cs="Arial" w:eastAsia="Arial" w:hAnsi="Arial"/>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-143510</wp:posOffset>
            </wp:positionV>
            <wp:extent cx="7246620" cy="62611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46620" cy="626110"/>
                    </a:xfrm>
                    <a:prstGeom prst="rect">
                      <a:avLst/>
                    </a:prstGeom>
                    <a:noFill/>
                  </pic:spPr>
                </pic:pic>
              </a:graphicData>
            </a:graphic>
          </wp:anchor>
        </w:drawing>
      </w:r>
    </w:p>
    <w:p>
      <w:pPr>
        <w:ind w:left="20"/>
        <w:spacing w:after="0"/>
        <w:rPr>
          <w:sz w:val="20"/>
          <w:szCs w:val="20"/>
          <w:color w:val="auto"/>
        </w:rPr>
      </w:pPr>
      <w:r>
        <w:rPr>
          <w:rFonts w:ascii="Arial" w:cs="Arial" w:eastAsia="Arial" w:hAnsi="Arial"/>
          <w:sz w:val="20"/>
          <w:szCs w:val="20"/>
          <w:color w:val="auto"/>
        </w:rPr>
        <w:t>[†]</w:t>
      </w:r>
    </w:p>
    <w:p>
      <w:pPr>
        <w:spacing w:after="0" w:line="13" w:lineRule="exact"/>
        <w:rPr>
          <w:sz w:val="20"/>
          <w:szCs w:val="20"/>
          <w:color w:val="auto"/>
        </w:rPr>
      </w:pPr>
    </w:p>
    <w:p>
      <w:pPr>
        <w:ind w:left="20"/>
        <w:spacing w:after="0"/>
        <w:rPr>
          <w:sz w:val="20"/>
          <w:szCs w:val="20"/>
          <w:color w:val="auto"/>
        </w:rPr>
      </w:pPr>
      <w:r>
        <w:rPr>
          <w:rFonts w:ascii="Arial" w:cs="Arial" w:eastAsia="Arial" w:hAnsi="Arial"/>
          <w:sz w:val="20"/>
          <w:szCs w:val="20"/>
          <w:color w:val="auto"/>
        </w:rPr>
        <w:t>[†]</w:t>
      </w:r>
    </w:p>
    <w:p>
      <w:pPr>
        <w:spacing w:after="0" w:line="13" w:lineRule="exact"/>
        <w:rPr>
          <w:sz w:val="20"/>
          <w:szCs w:val="20"/>
          <w:color w:val="auto"/>
        </w:rPr>
      </w:pPr>
    </w:p>
    <w:p>
      <w:pPr>
        <w:ind w:left="20"/>
        <w:spacing w:after="0"/>
        <w:rPr>
          <w:sz w:val="20"/>
          <w:szCs w:val="20"/>
          <w:color w:val="auto"/>
        </w:rPr>
      </w:pPr>
      <w:r>
        <w:rPr>
          <w:rFonts w:ascii="Arial" w:cs="Arial" w:eastAsia="Arial" w:hAnsi="Arial"/>
          <w:sz w:val="20"/>
          <w:szCs w:val="20"/>
          <w:color w:val="auto"/>
        </w:rPr>
        <w:t>[†]</w:t>
      </w: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ARCHIVED RAW DATA FILES</w:t>
      </w:r>
    </w:p>
    <w:p>
      <w:pPr>
        <w:spacing w:after="0" w:line="219" w:lineRule="exact"/>
        <w:rPr>
          <w:sz w:val="20"/>
          <w:szCs w:val="20"/>
          <w:color w:val="auto"/>
        </w:rPr>
      </w:pPr>
    </w:p>
    <w:tbl>
      <w:tblPr>
        <w:tblLayout w:type="fixed"/>
        <w:tblInd w:w="50" w:type="dxa"/>
        <w:tblCellMar>
          <w:top w:w="0" w:type="dxa"/>
          <w:left w:w="0" w:type="dxa"/>
          <w:bottom w:w="0" w:type="dxa"/>
          <w:right w:w="0" w:type="dxa"/>
        </w:tblCellMar>
      </w:tblPr>
      <w:tr>
        <w:trPr>
          <w:trHeight w:val="270"/>
        </w:trPr>
        <w:tc>
          <w:tcPr>
            <w:tcW w:w="1480" w:type="dxa"/>
            <w:vAlign w:val="bottom"/>
            <w:tcBorders>
              <w:top w:val="single" w:sz="8" w:color="auto"/>
              <w:left w:val="single" w:sz="8" w:color="auto"/>
              <w:bottom w:val="single" w:sz="8" w:color="auto"/>
              <w:right w:val="single" w:sz="8" w:color="auto"/>
            </w:tcBorders>
          </w:tcPr>
          <w:p>
            <w:pPr>
              <w:spacing w:after="0"/>
              <w:rPr>
                <w:sz w:val="20"/>
                <w:szCs w:val="20"/>
                <w:color w:val="auto"/>
              </w:rPr>
            </w:pPr>
            <w:r>
              <w:rPr>
                <w:rFonts w:ascii="Arial" w:cs="Arial" w:eastAsia="Arial" w:hAnsi="Arial"/>
                <w:sz w:val="20"/>
                <w:szCs w:val="20"/>
                <w:b w:val="1"/>
                <w:bCs w:val="1"/>
                <w:color w:val="auto"/>
              </w:rPr>
              <w:t>1OP Box</w:t>
            </w:r>
          </w:p>
        </w:tc>
        <w:tc>
          <w:tcPr>
            <w:tcW w:w="2840" w:type="dxa"/>
            <w:vAlign w:val="bottom"/>
            <w:tcBorders>
              <w:top w:val="single" w:sz="8" w:color="auto"/>
              <w:bottom w:val="single" w:sz="8" w:color="auto"/>
              <w:right w:val="single" w:sz="8" w:color="auto"/>
            </w:tcBorders>
          </w:tcPr>
          <w:p>
            <w:pPr>
              <w:spacing w:after="0"/>
              <w:rPr>
                <w:sz w:val="20"/>
                <w:szCs w:val="20"/>
                <w:color w:val="auto"/>
              </w:rPr>
            </w:pPr>
            <w:r>
              <w:rPr>
                <w:rFonts w:ascii="Arial" w:cs="Arial" w:eastAsia="Arial" w:hAnsi="Arial"/>
                <w:sz w:val="20"/>
                <w:szCs w:val="20"/>
                <w:b w:val="1"/>
                <w:bCs w:val="1"/>
                <w:color w:val="auto"/>
              </w:rPr>
              <w:t>Study Number</w:t>
            </w:r>
          </w:p>
        </w:tc>
        <w:tc>
          <w:tcPr>
            <w:tcW w:w="5480" w:type="dxa"/>
            <w:vAlign w:val="bottom"/>
            <w:tcBorders>
              <w:top w:val="single" w:sz="8" w:color="auto"/>
              <w:bottom w:val="single" w:sz="8" w:color="auto"/>
              <w:right w:val="single" w:sz="8" w:color="auto"/>
            </w:tcBorders>
          </w:tcPr>
          <w:p>
            <w:pPr>
              <w:spacing w:after="0"/>
              <w:rPr>
                <w:sz w:val="20"/>
                <w:szCs w:val="20"/>
                <w:color w:val="auto"/>
              </w:rPr>
            </w:pPr>
            <w:r>
              <w:rPr>
                <w:rFonts w:ascii="Arial" w:cs="Arial" w:eastAsia="Arial" w:hAnsi="Arial"/>
                <w:sz w:val="20"/>
                <w:szCs w:val="20"/>
                <w:b w:val="1"/>
                <w:bCs w:val="1"/>
                <w:color w:val="auto"/>
              </w:rPr>
              <w:t>Report Title</w:t>
            </w:r>
          </w:p>
        </w:tc>
        <w:tc>
          <w:tcPr>
            <w:tcW w:w="1580" w:type="dxa"/>
            <w:vAlign w:val="bottom"/>
            <w:tcBorders>
              <w:top w:val="single" w:sz="8" w:color="auto"/>
              <w:bottom w:val="single" w:sz="8" w:color="auto"/>
              <w:right w:val="single" w:sz="8" w:color="auto"/>
            </w:tcBorders>
          </w:tcPr>
          <w:p>
            <w:pPr>
              <w:spacing w:after="0"/>
              <w:rPr>
                <w:sz w:val="20"/>
                <w:szCs w:val="20"/>
                <w:color w:val="auto"/>
              </w:rPr>
            </w:pPr>
            <w:r>
              <w:rPr>
                <w:rFonts w:ascii="Arial" w:cs="Arial" w:eastAsia="Arial" w:hAnsi="Arial"/>
                <w:sz w:val="20"/>
                <w:szCs w:val="20"/>
                <w:b w:val="1"/>
                <w:bCs w:val="1"/>
                <w:color w:val="auto"/>
              </w:rPr>
              <w:t>Format</w:t>
            </w:r>
          </w:p>
        </w:tc>
      </w:tr>
      <w:tr>
        <w:trPr>
          <w:trHeight w:val="257"/>
        </w:trPr>
        <w:tc>
          <w:tcPr>
            <w:tcW w:w="1480" w:type="dxa"/>
            <w:vAlign w:val="bottom"/>
            <w:tcBorders>
              <w:left w:val="single" w:sz="8" w:color="auto"/>
              <w:bottom w:val="single" w:sz="8" w:color="auto"/>
              <w:right w:val="single" w:sz="8" w:color="auto"/>
            </w:tcBorders>
          </w:tcPr>
          <w:p>
            <w:pPr>
              <w:spacing w:after="0"/>
              <w:rPr>
                <w:sz w:val="20"/>
                <w:szCs w:val="20"/>
                <w:color w:val="auto"/>
              </w:rPr>
            </w:pPr>
            <w:r>
              <w:rPr>
                <w:rFonts w:ascii="Arial" w:cs="Arial" w:eastAsia="Arial" w:hAnsi="Arial"/>
                <w:sz w:val="20"/>
                <w:szCs w:val="20"/>
                <w:color w:val="auto"/>
              </w:rPr>
              <w:t>1OP-1</w:t>
            </w:r>
          </w:p>
        </w:tc>
        <w:tc>
          <w:tcPr>
            <w:tcW w:w="28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20"/>
                <w:szCs w:val="20"/>
                <w:color w:val="auto"/>
              </w:rPr>
              <w:t>[†]</w:t>
            </w:r>
          </w:p>
        </w:tc>
        <w:tc>
          <w:tcPr>
            <w:tcW w:w="54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20"/>
                <w:szCs w:val="20"/>
                <w:color w:val="auto"/>
              </w:rPr>
              <w:t>[†]</w:t>
            </w:r>
          </w:p>
        </w:tc>
        <w:tc>
          <w:tcPr>
            <w:tcW w:w="15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w:t>
            </w:r>
          </w:p>
        </w:tc>
      </w:tr>
      <w:tr>
        <w:trPr>
          <w:trHeight w:val="254"/>
        </w:trPr>
        <w:tc>
          <w:tcPr>
            <w:tcW w:w="1480" w:type="dxa"/>
            <w:vAlign w:val="bottom"/>
            <w:tcBorders>
              <w:left w:val="single" w:sz="8" w:color="auto"/>
              <w:bottom w:val="single" w:sz="8" w:color="auto"/>
              <w:right w:val="single" w:sz="8" w:color="auto"/>
            </w:tcBorders>
          </w:tcPr>
          <w:p>
            <w:pPr>
              <w:spacing w:after="0"/>
              <w:rPr>
                <w:sz w:val="20"/>
                <w:szCs w:val="20"/>
                <w:color w:val="auto"/>
              </w:rPr>
            </w:pPr>
            <w:r>
              <w:rPr>
                <w:rFonts w:ascii="Arial" w:cs="Arial" w:eastAsia="Arial" w:hAnsi="Arial"/>
                <w:sz w:val="20"/>
                <w:szCs w:val="20"/>
                <w:color w:val="auto"/>
              </w:rPr>
              <w:t>1OP-2</w:t>
            </w:r>
          </w:p>
        </w:tc>
        <w:tc>
          <w:tcPr>
            <w:tcW w:w="28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20"/>
                <w:szCs w:val="20"/>
                <w:color w:val="auto"/>
              </w:rPr>
              <w:t>[†]</w:t>
            </w:r>
          </w:p>
        </w:tc>
        <w:tc>
          <w:tcPr>
            <w:tcW w:w="54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20"/>
                <w:szCs w:val="20"/>
                <w:color w:val="auto"/>
              </w:rPr>
              <w:t>[†]</w:t>
            </w:r>
          </w:p>
        </w:tc>
        <w:tc>
          <w:tcPr>
            <w:tcW w:w="15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w:t>
            </w:r>
          </w:p>
        </w:tc>
      </w:tr>
      <w:tr>
        <w:trPr>
          <w:trHeight w:val="250"/>
        </w:trPr>
        <w:tc>
          <w:tcPr>
            <w:tcW w:w="1480" w:type="dxa"/>
            <w:vAlign w:val="bottom"/>
            <w:tcBorders>
              <w:left w:val="single" w:sz="8" w:color="auto"/>
              <w:bottom w:val="single" w:sz="8" w:color="auto"/>
              <w:right w:val="single" w:sz="8" w:color="auto"/>
            </w:tcBorders>
          </w:tcPr>
          <w:p>
            <w:pPr>
              <w:spacing w:after="0"/>
              <w:rPr>
                <w:sz w:val="20"/>
                <w:szCs w:val="20"/>
                <w:color w:val="auto"/>
              </w:rPr>
            </w:pPr>
            <w:r>
              <w:rPr>
                <w:rFonts w:ascii="Arial" w:cs="Arial" w:eastAsia="Arial" w:hAnsi="Arial"/>
                <w:sz w:val="20"/>
                <w:szCs w:val="20"/>
                <w:color w:val="auto"/>
              </w:rPr>
              <w:t>1OP-3</w:t>
            </w:r>
          </w:p>
        </w:tc>
        <w:tc>
          <w:tcPr>
            <w:tcW w:w="28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20"/>
                <w:szCs w:val="20"/>
                <w:color w:val="auto"/>
              </w:rPr>
              <w:t>[†]</w:t>
            </w:r>
          </w:p>
        </w:tc>
        <w:tc>
          <w:tcPr>
            <w:tcW w:w="54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20"/>
                <w:szCs w:val="20"/>
                <w:color w:val="auto"/>
              </w:rPr>
              <w:t>[†]</w:t>
            </w:r>
          </w:p>
        </w:tc>
        <w:tc>
          <w:tcPr>
            <w:tcW w:w="15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w:t>
            </w:r>
          </w:p>
        </w:tc>
      </w:tr>
      <w:tr>
        <w:trPr>
          <w:trHeight w:val="250"/>
        </w:trPr>
        <w:tc>
          <w:tcPr>
            <w:tcW w:w="1480" w:type="dxa"/>
            <w:vAlign w:val="bottom"/>
            <w:tcBorders>
              <w:left w:val="single" w:sz="8" w:color="auto"/>
              <w:bottom w:val="single" w:sz="8" w:color="auto"/>
              <w:right w:val="single" w:sz="8" w:color="auto"/>
            </w:tcBorders>
          </w:tcPr>
          <w:p>
            <w:pPr>
              <w:spacing w:after="0"/>
              <w:rPr>
                <w:sz w:val="20"/>
                <w:szCs w:val="20"/>
                <w:color w:val="auto"/>
              </w:rPr>
            </w:pPr>
            <w:r>
              <w:rPr>
                <w:rFonts w:ascii="Arial" w:cs="Arial" w:eastAsia="Arial" w:hAnsi="Arial"/>
                <w:sz w:val="20"/>
                <w:szCs w:val="20"/>
                <w:color w:val="auto"/>
              </w:rPr>
              <w:t>1OP-4</w:t>
            </w:r>
          </w:p>
        </w:tc>
        <w:tc>
          <w:tcPr>
            <w:tcW w:w="28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20"/>
                <w:szCs w:val="20"/>
                <w:color w:val="auto"/>
              </w:rPr>
              <w:t>[†]</w:t>
            </w:r>
          </w:p>
        </w:tc>
        <w:tc>
          <w:tcPr>
            <w:tcW w:w="54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20"/>
                <w:szCs w:val="20"/>
                <w:color w:val="auto"/>
              </w:rPr>
              <w:t>[†]</w:t>
            </w:r>
          </w:p>
        </w:tc>
        <w:tc>
          <w:tcPr>
            <w:tcW w:w="15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w:t>
            </w:r>
          </w:p>
        </w:tc>
      </w:tr>
      <w:tr>
        <w:trPr>
          <w:trHeight w:val="240"/>
        </w:trPr>
        <w:tc>
          <w:tcPr>
            <w:tcW w:w="1480" w:type="dxa"/>
            <w:vAlign w:val="bottom"/>
            <w:tcBorders>
              <w:left w:val="single" w:sz="8" w:color="auto"/>
              <w:bottom w:val="single" w:sz="8" w:color="auto"/>
              <w:right w:val="single" w:sz="8" w:color="auto"/>
            </w:tcBorders>
          </w:tcPr>
          <w:p>
            <w:pPr>
              <w:spacing w:after="0"/>
              <w:rPr>
                <w:sz w:val="20"/>
                <w:szCs w:val="20"/>
                <w:color w:val="auto"/>
              </w:rPr>
            </w:pPr>
            <w:r>
              <w:rPr>
                <w:rFonts w:ascii="Arial" w:cs="Arial" w:eastAsia="Arial" w:hAnsi="Arial"/>
                <w:sz w:val="20"/>
                <w:szCs w:val="20"/>
                <w:color w:val="auto"/>
              </w:rPr>
              <w:t>1OP-5</w:t>
            </w:r>
          </w:p>
        </w:tc>
        <w:tc>
          <w:tcPr>
            <w:tcW w:w="28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20"/>
                <w:szCs w:val="20"/>
                <w:color w:val="auto"/>
              </w:rPr>
              <w:t>[†]</w:t>
            </w:r>
          </w:p>
        </w:tc>
        <w:tc>
          <w:tcPr>
            <w:tcW w:w="54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20"/>
                <w:szCs w:val="20"/>
                <w:color w:val="auto"/>
              </w:rPr>
              <w:t>[†]</w:t>
            </w:r>
          </w:p>
        </w:tc>
        <w:tc>
          <w:tcPr>
            <w:tcW w:w="15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w:t>
            </w:r>
          </w:p>
        </w:tc>
      </w:tr>
      <w:tr>
        <w:trPr>
          <w:trHeight w:val="223"/>
        </w:trPr>
        <w:tc>
          <w:tcPr>
            <w:tcW w:w="1480" w:type="dxa"/>
            <w:vAlign w:val="bottom"/>
            <w:tcBorders>
              <w:left w:val="single" w:sz="8" w:color="auto"/>
              <w:bottom w:val="single" w:sz="8" w:color="auto"/>
              <w:right w:val="single" w:sz="8" w:color="auto"/>
            </w:tcBorders>
          </w:tcPr>
          <w:p>
            <w:pPr>
              <w:spacing w:after="0" w:line="223" w:lineRule="exact"/>
              <w:rPr>
                <w:sz w:val="20"/>
                <w:szCs w:val="20"/>
                <w:color w:val="auto"/>
              </w:rPr>
            </w:pPr>
            <w:r>
              <w:rPr>
                <w:rFonts w:ascii="Arial" w:cs="Arial" w:eastAsia="Arial" w:hAnsi="Arial"/>
                <w:sz w:val="20"/>
                <w:szCs w:val="20"/>
                <w:color w:val="auto"/>
              </w:rPr>
              <w:t>1OP-6</w:t>
            </w:r>
          </w:p>
        </w:tc>
        <w:tc>
          <w:tcPr>
            <w:tcW w:w="2840" w:type="dxa"/>
            <w:vAlign w:val="bottom"/>
            <w:tcBorders>
              <w:bottom w:val="single" w:sz="8" w:color="auto"/>
              <w:right w:val="single" w:sz="8" w:color="auto"/>
            </w:tcBorders>
          </w:tcPr>
          <w:p>
            <w:pPr>
              <w:spacing w:after="0" w:line="223" w:lineRule="exact"/>
              <w:rPr>
                <w:sz w:val="20"/>
                <w:szCs w:val="20"/>
                <w:color w:val="auto"/>
              </w:rPr>
            </w:pPr>
            <w:r>
              <w:rPr>
                <w:rFonts w:ascii="Arial" w:cs="Arial" w:eastAsia="Arial" w:hAnsi="Arial"/>
                <w:sz w:val="20"/>
                <w:szCs w:val="20"/>
                <w:color w:val="auto"/>
              </w:rPr>
              <w:t>[†]</w:t>
            </w:r>
          </w:p>
        </w:tc>
        <w:tc>
          <w:tcPr>
            <w:tcW w:w="5480" w:type="dxa"/>
            <w:vAlign w:val="bottom"/>
            <w:tcBorders>
              <w:bottom w:val="single" w:sz="8" w:color="auto"/>
              <w:right w:val="single" w:sz="8" w:color="auto"/>
            </w:tcBorders>
          </w:tcPr>
          <w:p>
            <w:pPr>
              <w:spacing w:after="0" w:line="223" w:lineRule="exact"/>
              <w:rPr>
                <w:sz w:val="20"/>
                <w:szCs w:val="20"/>
                <w:color w:val="auto"/>
              </w:rPr>
            </w:pPr>
            <w:r>
              <w:rPr>
                <w:rFonts w:ascii="Arial" w:cs="Arial" w:eastAsia="Arial" w:hAnsi="Arial"/>
                <w:sz w:val="20"/>
                <w:szCs w:val="20"/>
                <w:color w:val="auto"/>
              </w:rPr>
              <w:t>[†]</w:t>
            </w:r>
          </w:p>
        </w:tc>
        <w:tc>
          <w:tcPr>
            <w:tcW w:w="15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w:t>
            </w:r>
          </w:p>
        </w:tc>
      </w:tr>
      <w:tr>
        <w:trPr>
          <w:trHeight w:val="223"/>
        </w:trPr>
        <w:tc>
          <w:tcPr>
            <w:tcW w:w="1480" w:type="dxa"/>
            <w:vAlign w:val="bottom"/>
            <w:tcBorders>
              <w:left w:val="single" w:sz="8" w:color="auto"/>
              <w:bottom w:val="single" w:sz="8" w:color="auto"/>
              <w:right w:val="single" w:sz="8" w:color="auto"/>
            </w:tcBorders>
          </w:tcPr>
          <w:p>
            <w:pPr>
              <w:spacing w:after="0" w:line="223" w:lineRule="exact"/>
              <w:rPr>
                <w:sz w:val="20"/>
                <w:szCs w:val="20"/>
                <w:color w:val="auto"/>
              </w:rPr>
            </w:pPr>
            <w:r>
              <w:rPr>
                <w:rFonts w:ascii="Arial" w:cs="Arial" w:eastAsia="Arial" w:hAnsi="Arial"/>
                <w:sz w:val="20"/>
                <w:szCs w:val="20"/>
                <w:color w:val="auto"/>
              </w:rPr>
              <w:t>1OP-7</w:t>
            </w:r>
          </w:p>
        </w:tc>
        <w:tc>
          <w:tcPr>
            <w:tcW w:w="2840" w:type="dxa"/>
            <w:vAlign w:val="bottom"/>
            <w:tcBorders>
              <w:bottom w:val="single" w:sz="8" w:color="auto"/>
              <w:right w:val="single" w:sz="8" w:color="auto"/>
            </w:tcBorders>
          </w:tcPr>
          <w:p>
            <w:pPr>
              <w:spacing w:after="0" w:line="223" w:lineRule="exact"/>
              <w:rPr>
                <w:sz w:val="20"/>
                <w:szCs w:val="20"/>
                <w:color w:val="auto"/>
              </w:rPr>
            </w:pPr>
            <w:r>
              <w:rPr>
                <w:rFonts w:ascii="Arial" w:cs="Arial" w:eastAsia="Arial" w:hAnsi="Arial"/>
                <w:sz w:val="20"/>
                <w:szCs w:val="20"/>
                <w:color w:val="auto"/>
              </w:rPr>
              <w:t>[†]</w:t>
            </w:r>
          </w:p>
        </w:tc>
        <w:tc>
          <w:tcPr>
            <w:tcW w:w="5480" w:type="dxa"/>
            <w:vAlign w:val="bottom"/>
            <w:tcBorders>
              <w:bottom w:val="single" w:sz="8" w:color="auto"/>
              <w:right w:val="single" w:sz="8" w:color="auto"/>
            </w:tcBorders>
          </w:tcPr>
          <w:p>
            <w:pPr>
              <w:spacing w:after="0" w:line="223" w:lineRule="exact"/>
              <w:rPr>
                <w:sz w:val="20"/>
                <w:szCs w:val="20"/>
                <w:color w:val="auto"/>
              </w:rPr>
            </w:pPr>
            <w:r>
              <w:rPr>
                <w:rFonts w:ascii="Arial" w:cs="Arial" w:eastAsia="Arial" w:hAnsi="Arial"/>
                <w:sz w:val="20"/>
                <w:szCs w:val="20"/>
                <w:color w:val="auto"/>
              </w:rPr>
              <w:t>[†]</w:t>
            </w:r>
          </w:p>
        </w:tc>
        <w:tc>
          <w:tcPr>
            <w:tcW w:w="15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w:t>
            </w:r>
          </w:p>
        </w:tc>
      </w:tr>
      <w:tr>
        <w:trPr>
          <w:trHeight w:val="223"/>
        </w:trPr>
        <w:tc>
          <w:tcPr>
            <w:tcW w:w="1480" w:type="dxa"/>
            <w:vAlign w:val="bottom"/>
            <w:tcBorders>
              <w:left w:val="single" w:sz="8" w:color="auto"/>
              <w:bottom w:val="single" w:sz="8" w:color="auto"/>
              <w:right w:val="single" w:sz="8" w:color="auto"/>
            </w:tcBorders>
          </w:tcPr>
          <w:p>
            <w:pPr>
              <w:spacing w:after="0" w:line="223" w:lineRule="exact"/>
              <w:rPr>
                <w:sz w:val="20"/>
                <w:szCs w:val="20"/>
                <w:color w:val="auto"/>
              </w:rPr>
            </w:pPr>
            <w:r>
              <w:rPr>
                <w:rFonts w:ascii="Arial" w:cs="Arial" w:eastAsia="Arial" w:hAnsi="Arial"/>
                <w:sz w:val="20"/>
                <w:szCs w:val="20"/>
                <w:color w:val="auto"/>
              </w:rPr>
              <w:t>1OP-8</w:t>
            </w:r>
          </w:p>
        </w:tc>
        <w:tc>
          <w:tcPr>
            <w:tcW w:w="2840" w:type="dxa"/>
            <w:vAlign w:val="bottom"/>
            <w:tcBorders>
              <w:bottom w:val="single" w:sz="8" w:color="auto"/>
              <w:right w:val="single" w:sz="8" w:color="auto"/>
            </w:tcBorders>
          </w:tcPr>
          <w:p>
            <w:pPr>
              <w:spacing w:after="0" w:line="223" w:lineRule="exact"/>
              <w:rPr>
                <w:sz w:val="20"/>
                <w:szCs w:val="20"/>
                <w:color w:val="auto"/>
              </w:rPr>
            </w:pPr>
            <w:r>
              <w:rPr>
                <w:rFonts w:ascii="Arial" w:cs="Arial" w:eastAsia="Arial" w:hAnsi="Arial"/>
                <w:sz w:val="20"/>
                <w:szCs w:val="20"/>
                <w:color w:val="auto"/>
              </w:rPr>
              <w:t>[†]</w:t>
            </w:r>
          </w:p>
        </w:tc>
        <w:tc>
          <w:tcPr>
            <w:tcW w:w="5480" w:type="dxa"/>
            <w:vAlign w:val="bottom"/>
            <w:tcBorders>
              <w:bottom w:val="single" w:sz="8" w:color="auto"/>
              <w:right w:val="single" w:sz="8" w:color="auto"/>
            </w:tcBorders>
          </w:tcPr>
          <w:p>
            <w:pPr>
              <w:spacing w:after="0" w:line="223" w:lineRule="exact"/>
              <w:rPr>
                <w:sz w:val="20"/>
                <w:szCs w:val="20"/>
                <w:color w:val="auto"/>
              </w:rPr>
            </w:pPr>
            <w:r>
              <w:rPr>
                <w:rFonts w:ascii="Arial" w:cs="Arial" w:eastAsia="Arial" w:hAnsi="Arial"/>
                <w:sz w:val="20"/>
                <w:szCs w:val="20"/>
                <w:color w:val="auto"/>
              </w:rPr>
              <w:t>[†]</w:t>
            </w:r>
          </w:p>
        </w:tc>
        <w:tc>
          <w:tcPr>
            <w:tcW w:w="15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w:t>
            </w:r>
          </w:p>
        </w:tc>
      </w:tr>
      <w:tr>
        <w:trPr>
          <w:trHeight w:val="223"/>
        </w:trPr>
        <w:tc>
          <w:tcPr>
            <w:tcW w:w="1480" w:type="dxa"/>
            <w:vAlign w:val="bottom"/>
            <w:tcBorders>
              <w:left w:val="single" w:sz="8" w:color="auto"/>
              <w:bottom w:val="single" w:sz="8" w:color="auto"/>
              <w:right w:val="single" w:sz="8" w:color="auto"/>
            </w:tcBorders>
          </w:tcPr>
          <w:p>
            <w:pPr>
              <w:spacing w:after="0" w:line="223" w:lineRule="exact"/>
              <w:rPr>
                <w:sz w:val="20"/>
                <w:szCs w:val="20"/>
                <w:color w:val="auto"/>
              </w:rPr>
            </w:pPr>
            <w:r>
              <w:rPr>
                <w:rFonts w:ascii="Arial" w:cs="Arial" w:eastAsia="Arial" w:hAnsi="Arial"/>
                <w:sz w:val="20"/>
                <w:szCs w:val="20"/>
                <w:color w:val="auto"/>
              </w:rPr>
              <w:t>1OP-9</w:t>
            </w:r>
          </w:p>
        </w:tc>
        <w:tc>
          <w:tcPr>
            <w:tcW w:w="2840" w:type="dxa"/>
            <w:vAlign w:val="bottom"/>
            <w:tcBorders>
              <w:bottom w:val="single" w:sz="8" w:color="auto"/>
              <w:right w:val="single" w:sz="8" w:color="auto"/>
            </w:tcBorders>
          </w:tcPr>
          <w:p>
            <w:pPr>
              <w:spacing w:after="0" w:line="223" w:lineRule="exact"/>
              <w:rPr>
                <w:sz w:val="20"/>
                <w:szCs w:val="20"/>
                <w:color w:val="auto"/>
              </w:rPr>
            </w:pPr>
            <w:r>
              <w:rPr>
                <w:rFonts w:ascii="Arial" w:cs="Arial" w:eastAsia="Arial" w:hAnsi="Arial"/>
                <w:sz w:val="20"/>
                <w:szCs w:val="20"/>
                <w:color w:val="auto"/>
              </w:rPr>
              <w:t>[†]</w:t>
            </w:r>
          </w:p>
        </w:tc>
        <w:tc>
          <w:tcPr>
            <w:tcW w:w="5480" w:type="dxa"/>
            <w:vAlign w:val="bottom"/>
            <w:tcBorders>
              <w:bottom w:val="single" w:sz="8" w:color="auto"/>
              <w:right w:val="single" w:sz="8" w:color="auto"/>
            </w:tcBorders>
          </w:tcPr>
          <w:p>
            <w:pPr>
              <w:spacing w:after="0" w:line="223" w:lineRule="exact"/>
              <w:rPr>
                <w:sz w:val="20"/>
                <w:szCs w:val="20"/>
                <w:color w:val="auto"/>
              </w:rPr>
            </w:pPr>
            <w:r>
              <w:rPr>
                <w:rFonts w:ascii="Arial" w:cs="Arial" w:eastAsia="Arial" w:hAnsi="Arial"/>
                <w:sz w:val="20"/>
                <w:szCs w:val="20"/>
                <w:color w:val="auto"/>
              </w:rPr>
              <w:t>[†]</w:t>
            </w:r>
          </w:p>
        </w:tc>
        <w:tc>
          <w:tcPr>
            <w:tcW w:w="15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w:t>
            </w:r>
          </w:p>
        </w:tc>
      </w:tr>
      <w:tr>
        <w:trPr>
          <w:trHeight w:val="247"/>
        </w:trPr>
        <w:tc>
          <w:tcPr>
            <w:tcW w:w="1480" w:type="dxa"/>
            <w:vAlign w:val="bottom"/>
            <w:tcBorders>
              <w:left w:val="single" w:sz="8" w:color="auto"/>
              <w:bottom w:val="single" w:sz="8" w:color="auto"/>
              <w:right w:val="single" w:sz="8" w:color="auto"/>
            </w:tcBorders>
          </w:tcPr>
          <w:p>
            <w:pPr>
              <w:spacing w:after="0"/>
              <w:rPr>
                <w:sz w:val="20"/>
                <w:szCs w:val="20"/>
                <w:color w:val="auto"/>
              </w:rPr>
            </w:pPr>
            <w:r>
              <w:rPr>
                <w:rFonts w:ascii="Arial" w:cs="Arial" w:eastAsia="Arial" w:hAnsi="Arial"/>
                <w:sz w:val="20"/>
                <w:szCs w:val="20"/>
                <w:color w:val="auto"/>
              </w:rPr>
              <w:t>1OP-10</w:t>
            </w:r>
          </w:p>
        </w:tc>
        <w:tc>
          <w:tcPr>
            <w:tcW w:w="28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20"/>
                <w:szCs w:val="20"/>
                <w:color w:val="auto"/>
              </w:rPr>
              <w:t>[†]</w:t>
            </w:r>
          </w:p>
        </w:tc>
        <w:tc>
          <w:tcPr>
            <w:tcW w:w="54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20"/>
                <w:szCs w:val="20"/>
                <w:color w:val="auto"/>
              </w:rPr>
              <w:t>[†]</w:t>
            </w:r>
          </w:p>
        </w:tc>
        <w:tc>
          <w:tcPr>
            <w:tcW w:w="15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w:t>
            </w:r>
          </w:p>
        </w:tc>
      </w:tr>
      <w:tr>
        <w:trPr>
          <w:trHeight w:val="250"/>
        </w:trPr>
        <w:tc>
          <w:tcPr>
            <w:tcW w:w="1480" w:type="dxa"/>
            <w:vAlign w:val="bottom"/>
            <w:tcBorders>
              <w:left w:val="single" w:sz="8" w:color="auto"/>
              <w:bottom w:val="single" w:sz="8" w:color="auto"/>
              <w:right w:val="single" w:sz="8" w:color="auto"/>
            </w:tcBorders>
          </w:tcPr>
          <w:p>
            <w:pPr>
              <w:spacing w:after="0"/>
              <w:rPr>
                <w:sz w:val="20"/>
                <w:szCs w:val="20"/>
                <w:color w:val="auto"/>
              </w:rPr>
            </w:pPr>
            <w:r>
              <w:rPr>
                <w:rFonts w:ascii="Arial" w:cs="Arial" w:eastAsia="Arial" w:hAnsi="Arial"/>
                <w:sz w:val="20"/>
                <w:szCs w:val="20"/>
                <w:color w:val="auto"/>
              </w:rPr>
              <w:t>1OP-11</w:t>
            </w:r>
          </w:p>
        </w:tc>
        <w:tc>
          <w:tcPr>
            <w:tcW w:w="28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20"/>
                <w:szCs w:val="20"/>
                <w:color w:val="auto"/>
              </w:rPr>
              <w:t>[†]</w:t>
            </w:r>
          </w:p>
        </w:tc>
        <w:tc>
          <w:tcPr>
            <w:tcW w:w="54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20"/>
                <w:szCs w:val="20"/>
                <w:color w:val="auto"/>
              </w:rPr>
              <w:t>[†]</w:t>
            </w:r>
          </w:p>
        </w:tc>
        <w:tc>
          <w:tcPr>
            <w:tcW w:w="15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w:t>
            </w:r>
          </w:p>
        </w:tc>
      </w:tr>
    </w:tbl>
    <w:p>
      <w:pPr>
        <w:spacing w:after="0" w:line="200" w:lineRule="exact"/>
        <w:rPr>
          <w:sz w:val="20"/>
          <w:szCs w:val="20"/>
          <w:color w:val="auto"/>
        </w:rPr>
      </w:pPr>
    </w:p>
    <w:p>
      <w:pPr>
        <w:spacing w:after="0" w:line="240" w:lineRule="exact"/>
        <w:rPr>
          <w:sz w:val="20"/>
          <w:szCs w:val="20"/>
          <w:color w:val="auto"/>
        </w:rPr>
      </w:pPr>
    </w:p>
    <w:p>
      <w:pPr>
        <w:ind w:right="40" w:firstLine="8"/>
        <w:spacing w:after="0" w:line="253" w:lineRule="auto"/>
        <w:tabs>
          <w:tab w:leader="none" w:pos="204" w:val="left"/>
        </w:tabs>
        <w:numPr>
          <w:ilvl w:val="0"/>
          <w:numId w:val="188"/>
        </w:numPr>
        <w:rPr>
          <w:rFonts w:ascii="Arial" w:cs="Arial" w:eastAsia="Arial" w:hAnsi="Arial"/>
          <w:sz w:val="14"/>
          <w:szCs w:val="14"/>
          <w:color w:val="auto"/>
        </w:rPr>
      </w:pPr>
      <w:r>
        <w:rPr>
          <w:rFonts w:ascii="Arial" w:cs="Arial" w:eastAsia="Arial" w:hAnsi="Arial"/>
          <w:sz w:val="14"/>
          <w:szCs w:val="14"/>
          <w:color w:val="auto"/>
        </w:rPr>
        <w:t>DESIGNATES PORTIONS OF THIS DOCUMENT THAT HAVE BEEN OMITTED PURSUANT TO A REQUEST FOR CONFIDENTIAL TREATMENT FILED SEPARATELY WITH THE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40640</wp:posOffset>
            </wp:positionV>
            <wp:extent cx="7289165" cy="425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66" w:right="239" w:bottom="1440" w:gutter="0" w:footer="0" w:header="0"/>
        </w:sectPr>
      </w:pPr>
    </w:p>
    <w:bookmarkStart w:id="137" w:name="page138"/>
    <w:bookmarkEnd w:id="137"/>
    <w:p>
      <w:pPr>
        <w:spacing w:after="0"/>
        <w:rPr>
          <w:sz w:val="20"/>
          <w:szCs w:val="20"/>
          <w:color w:val="auto"/>
        </w:rPr>
      </w:pPr>
      <w:r>
        <w:rPr>
          <w:rFonts w:ascii="Arial" w:cs="Arial" w:eastAsia="Arial" w:hAnsi="Arial"/>
          <w:sz w:val="20"/>
          <w:szCs w:val="20"/>
          <w:b w:val="1"/>
          <w:bCs w:val="1"/>
          <w:color w:val="auto"/>
        </w:rPr>
        <w:t>Drug Substance Material</w:t>
      </w:r>
    </w:p>
    <w:p>
      <w:pPr>
        <w:spacing w:after="0" w:line="232" w:lineRule="exact"/>
        <w:rPr>
          <w:sz w:val="20"/>
          <w:szCs w:val="20"/>
          <w:color w:val="auto"/>
        </w:rPr>
      </w:pPr>
    </w:p>
    <w:tbl>
      <w:tblPr>
        <w:tblLayout w:type="fixed"/>
        <w:tblInd w:w="50" w:type="dxa"/>
        <w:tblCellMar>
          <w:top w:w="0" w:type="dxa"/>
          <w:left w:w="0" w:type="dxa"/>
          <w:bottom w:w="0" w:type="dxa"/>
          <w:right w:w="0" w:type="dxa"/>
        </w:tblCellMar>
      </w:tblPr>
      <w:tr>
        <w:trPr>
          <w:trHeight w:val="500"/>
        </w:trPr>
        <w:tc>
          <w:tcPr>
            <w:tcW w:w="278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2"/>
                <w:szCs w:val="22"/>
                <w:b w:val="1"/>
                <w:bCs w:val="1"/>
                <w:color w:val="auto"/>
                <w:w w:val="90"/>
              </w:rPr>
              <w:t>Lot/Batch</w:t>
            </w:r>
          </w:p>
        </w:tc>
        <w:tc>
          <w:tcPr>
            <w:tcW w:w="162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2"/>
                <w:szCs w:val="22"/>
                <w:b w:val="1"/>
                <w:bCs w:val="1"/>
                <w:color w:val="auto"/>
                <w:w w:val="91"/>
              </w:rPr>
              <w:t>Quantity</w:t>
            </w:r>
          </w:p>
        </w:tc>
        <w:tc>
          <w:tcPr>
            <w:tcW w:w="180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2"/>
                <w:szCs w:val="22"/>
                <w:b w:val="1"/>
                <w:bCs w:val="1"/>
                <w:color w:val="auto"/>
                <w:w w:val="87"/>
              </w:rPr>
              <w:t>Sent to Ricerca</w:t>
            </w:r>
          </w:p>
        </w:tc>
        <w:tc>
          <w:tcPr>
            <w:tcW w:w="190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2"/>
                <w:szCs w:val="22"/>
                <w:b w:val="1"/>
                <w:bCs w:val="1"/>
                <w:color w:val="auto"/>
                <w:w w:val="87"/>
              </w:rPr>
              <w:t>Last Storage</w:t>
            </w:r>
          </w:p>
        </w:tc>
        <w:tc>
          <w:tcPr>
            <w:tcW w:w="328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2"/>
                <w:szCs w:val="22"/>
                <w:b w:val="1"/>
                <w:bCs w:val="1"/>
                <w:color w:val="auto"/>
                <w:w w:val="85"/>
              </w:rPr>
              <w:t>Details</w:t>
            </w:r>
          </w:p>
        </w:tc>
      </w:tr>
      <w:tr>
        <w:trPr>
          <w:trHeight w:val="223"/>
        </w:trPr>
        <w:tc>
          <w:tcPr>
            <w:tcW w:w="2780" w:type="dxa"/>
            <w:vAlign w:val="bottom"/>
            <w:tcBorders>
              <w:left w:val="single" w:sz="8" w:color="auto"/>
              <w:bottom w:val="single" w:sz="8" w:color="auto"/>
              <w:right w:val="single" w:sz="8" w:color="auto"/>
            </w:tcBorders>
          </w:tcPr>
          <w:p>
            <w:pPr>
              <w:jc w:val="center"/>
              <w:spacing w:after="0" w:line="223" w:lineRule="exact"/>
              <w:rPr>
                <w:sz w:val="20"/>
                <w:szCs w:val="20"/>
                <w:color w:val="auto"/>
              </w:rPr>
            </w:pPr>
            <w:r>
              <w:rPr>
                <w:rFonts w:ascii="Arial" w:cs="Arial" w:eastAsia="Arial" w:hAnsi="Arial"/>
                <w:sz w:val="20"/>
                <w:szCs w:val="20"/>
                <w:color w:val="auto"/>
              </w:rPr>
              <w:t>[†]</w:t>
            </w:r>
          </w:p>
        </w:tc>
        <w:tc>
          <w:tcPr>
            <w:tcW w:w="1620" w:type="dxa"/>
            <w:vAlign w:val="bottom"/>
            <w:tcBorders>
              <w:bottom w:val="single" w:sz="8" w:color="auto"/>
              <w:right w:val="single" w:sz="8" w:color="auto"/>
            </w:tcBorders>
          </w:tcPr>
          <w:p>
            <w:pPr>
              <w:jc w:val="center"/>
              <w:spacing w:after="0" w:line="223" w:lineRule="exact"/>
              <w:rPr>
                <w:sz w:val="20"/>
                <w:szCs w:val="20"/>
                <w:color w:val="auto"/>
              </w:rPr>
            </w:pPr>
            <w:r>
              <w:rPr>
                <w:rFonts w:ascii="Arial" w:cs="Arial" w:eastAsia="Arial" w:hAnsi="Arial"/>
                <w:sz w:val="20"/>
                <w:szCs w:val="20"/>
                <w:color w:val="auto"/>
                <w:w w:val="98"/>
              </w:rPr>
              <w:t>[†]</w:t>
            </w:r>
          </w:p>
        </w:tc>
        <w:tc>
          <w:tcPr>
            <w:tcW w:w="1800" w:type="dxa"/>
            <w:vAlign w:val="bottom"/>
            <w:tcBorders>
              <w:bottom w:val="single" w:sz="8" w:color="auto"/>
              <w:right w:val="single" w:sz="8" w:color="auto"/>
            </w:tcBorders>
          </w:tcPr>
          <w:p>
            <w:pPr>
              <w:jc w:val="center"/>
              <w:spacing w:after="0" w:line="223" w:lineRule="exact"/>
              <w:rPr>
                <w:sz w:val="20"/>
                <w:szCs w:val="20"/>
                <w:color w:val="auto"/>
              </w:rPr>
            </w:pPr>
            <w:r>
              <w:rPr>
                <w:rFonts w:ascii="Arial" w:cs="Arial" w:eastAsia="Arial" w:hAnsi="Arial"/>
                <w:sz w:val="20"/>
                <w:szCs w:val="20"/>
                <w:color w:val="auto"/>
              </w:rPr>
              <w:t>[†]</w:t>
            </w:r>
          </w:p>
        </w:tc>
        <w:tc>
          <w:tcPr>
            <w:tcW w:w="1900" w:type="dxa"/>
            <w:vAlign w:val="bottom"/>
            <w:tcBorders>
              <w:bottom w:val="single" w:sz="8" w:color="auto"/>
              <w:right w:val="single" w:sz="8" w:color="auto"/>
            </w:tcBorders>
          </w:tcPr>
          <w:p>
            <w:pPr>
              <w:jc w:val="center"/>
              <w:spacing w:after="0" w:line="223" w:lineRule="exact"/>
              <w:rPr>
                <w:sz w:val="20"/>
                <w:szCs w:val="20"/>
                <w:color w:val="auto"/>
              </w:rPr>
            </w:pPr>
            <w:r>
              <w:rPr>
                <w:rFonts w:ascii="Arial" w:cs="Arial" w:eastAsia="Arial" w:hAnsi="Arial"/>
                <w:sz w:val="20"/>
                <w:szCs w:val="20"/>
                <w:color w:val="auto"/>
              </w:rPr>
              <w:t>[†]</w:t>
            </w:r>
          </w:p>
        </w:tc>
        <w:tc>
          <w:tcPr>
            <w:tcW w:w="3280" w:type="dxa"/>
            <w:vAlign w:val="bottom"/>
            <w:tcBorders>
              <w:bottom w:val="single" w:sz="8" w:color="auto"/>
              <w:right w:val="single" w:sz="8" w:color="auto"/>
            </w:tcBorders>
          </w:tcPr>
          <w:p>
            <w:pPr>
              <w:jc w:val="center"/>
              <w:spacing w:after="0" w:line="223" w:lineRule="exact"/>
              <w:rPr>
                <w:sz w:val="20"/>
                <w:szCs w:val="20"/>
                <w:color w:val="auto"/>
              </w:rPr>
            </w:pPr>
            <w:r>
              <w:rPr>
                <w:rFonts w:ascii="Arial" w:cs="Arial" w:eastAsia="Arial" w:hAnsi="Arial"/>
                <w:sz w:val="20"/>
                <w:szCs w:val="20"/>
                <w:color w:val="auto"/>
                <w:w w:val="98"/>
              </w:rPr>
              <w:t>[†]</w:t>
            </w:r>
          </w:p>
        </w:tc>
      </w:tr>
      <w:tr>
        <w:trPr>
          <w:trHeight w:val="223"/>
        </w:trPr>
        <w:tc>
          <w:tcPr>
            <w:tcW w:w="2780" w:type="dxa"/>
            <w:vAlign w:val="bottom"/>
            <w:tcBorders>
              <w:left w:val="single" w:sz="8" w:color="auto"/>
              <w:bottom w:val="single" w:sz="8" w:color="auto"/>
              <w:right w:val="single" w:sz="8" w:color="auto"/>
            </w:tcBorders>
          </w:tcPr>
          <w:p>
            <w:pPr>
              <w:jc w:val="center"/>
              <w:spacing w:after="0" w:line="223" w:lineRule="exact"/>
              <w:rPr>
                <w:sz w:val="20"/>
                <w:szCs w:val="20"/>
                <w:color w:val="auto"/>
              </w:rPr>
            </w:pPr>
            <w:r>
              <w:rPr>
                <w:rFonts w:ascii="Arial" w:cs="Arial" w:eastAsia="Arial" w:hAnsi="Arial"/>
                <w:sz w:val="20"/>
                <w:szCs w:val="20"/>
                <w:color w:val="auto"/>
              </w:rPr>
              <w:t>[†]</w:t>
            </w:r>
          </w:p>
        </w:tc>
        <w:tc>
          <w:tcPr>
            <w:tcW w:w="1620" w:type="dxa"/>
            <w:vAlign w:val="bottom"/>
            <w:tcBorders>
              <w:bottom w:val="single" w:sz="8" w:color="auto"/>
              <w:right w:val="single" w:sz="8" w:color="auto"/>
            </w:tcBorders>
          </w:tcPr>
          <w:p>
            <w:pPr>
              <w:jc w:val="center"/>
              <w:spacing w:after="0" w:line="223" w:lineRule="exact"/>
              <w:rPr>
                <w:sz w:val="20"/>
                <w:szCs w:val="20"/>
                <w:color w:val="auto"/>
              </w:rPr>
            </w:pPr>
            <w:r>
              <w:rPr>
                <w:rFonts w:ascii="Arial" w:cs="Arial" w:eastAsia="Arial" w:hAnsi="Arial"/>
                <w:sz w:val="20"/>
                <w:szCs w:val="20"/>
                <w:color w:val="auto"/>
                <w:w w:val="98"/>
              </w:rPr>
              <w:t>[†]</w:t>
            </w:r>
          </w:p>
        </w:tc>
        <w:tc>
          <w:tcPr>
            <w:tcW w:w="1800" w:type="dxa"/>
            <w:vAlign w:val="bottom"/>
            <w:tcBorders>
              <w:bottom w:val="single" w:sz="8" w:color="auto"/>
              <w:right w:val="single" w:sz="8" w:color="auto"/>
            </w:tcBorders>
          </w:tcPr>
          <w:p>
            <w:pPr>
              <w:jc w:val="center"/>
              <w:spacing w:after="0" w:line="223" w:lineRule="exact"/>
              <w:rPr>
                <w:sz w:val="20"/>
                <w:szCs w:val="20"/>
                <w:color w:val="auto"/>
              </w:rPr>
            </w:pPr>
            <w:r>
              <w:rPr>
                <w:rFonts w:ascii="Arial" w:cs="Arial" w:eastAsia="Arial" w:hAnsi="Arial"/>
                <w:sz w:val="20"/>
                <w:szCs w:val="20"/>
                <w:color w:val="auto"/>
              </w:rPr>
              <w:t>[†]</w:t>
            </w:r>
          </w:p>
        </w:tc>
        <w:tc>
          <w:tcPr>
            <w:tcW w:w="1900" w:type="dxa"/>
            <w:vAlign w:val="bottom"/>
            <w:tcBorders>
              <w:bottom w:val="single" w:sz="8" w:color="auto"/>
              <w:right w:val="single" w:sz="8" w:color="auto"/>
            </w:tcBorders>
          </w:tcPr>
          <w:p>
            <w:pPr>
              <w:jc w:val="center"/>
              <w:spacing w:after="0" w:line="223" w:lineRule="exact"/>
              <w:rPr>
                <w:sz w:val="20"/>
                <w:szCs w:val="20"/>
                <w:color w:val="auto"/>
              </w:rPr>
            </w:pPr>
            <w:r>
              <w:rPr>
                <w:rFonts w:ascii="Arial" w:cs="Arial" w:eastAsia="Arial" w:hAnsi="Arial"/>
                <w:sz w:val="20"/>
                <w:szCs w:val="20"/>
                <w:color w:val="auto"/>
              </w:rPr>
              <w:t>[†]</w:t>
            </w:r>
          </w:p>
        </w:tc>
        <w:tc>
          <w:tcPr>
            <w:tcW w:w="3280" w:type="dxa"/>
            <w:vAlign w:val="bottom"/>
            <w:tcBorders>
              <w:bottom w:val="single" w:sz="8" w:color="auto"/>
              <w:right w:val="single" w:sz="8" w:color="auto"/>
            </w:tcBorders>
          </w:tcPr>
          <w:p>
            <w:pPr>
              <w:jc w:val="center"/>
              <w:spacing w:after="0" w:line="223" w:lineRule="exact"/>
              <w:rPr>
                <w:sz w:val="20"/>
                <w:szCs w:val="20"/>
                <w:color w:val="auto"/>
              </w:rPr>
            </w:pPr>
            <w:r>
              <w:rPr>
                <w:rFonts w:ascii="Arial" w:cs="Arial" w:eastAsia="Arial" w:hAnsi="Arial"/>
                <w:sz w:val="20"/>
                <w:szCs w:val="20"/>
                <w:color w:val="auto"/>
                <w:w w:val="98"/>
              </w:rPr>
              <w:t>[†]</w:t>
            </w:r>
          </w:p>
        </w:tc>
      </w:tr>
      <w:tr>
        <w:trPr>
          <w:trHeight w:val="223"/>
        </w:trPr>
        <w:tc>
          <w:tcPr>
            <w:tcW w:w="2780" w:type="dxa"/>
            <w:vAlign w:val="bottom"/>
            <w:tcBorders>
              <w:left w:val="single" w:sz="8" w:color="auto"/>
              <w:bottom w:val="single" w:sz="8" w:color="auto"/>
              <w:right w:val="single" w:sz="8" w:color="auto"/>
            </w:tcBorders>
          </w:tcPr>
          <w:p>
            <w:pPr>
              <w:jc w:val="center"/>
              <w:spacing w:after="0" w:line="223" w:lineRule="exact"/>
              <w:rPr>
                <w:sz w:val="20"/>
                <w:szCs w:val="20"/>
                <w:color w:val="auto"/>
              </w:rPr>
            </w:pPr>
            <w:r>
              <w:rPr>
                <w:rFonts w:ascii="Arial" w:cs="Arial" w:eastAsia="Arial" w:hAnsi="Arial"/>
                <w:sz w:val="20"/>
                <w:szCs w:val="20"/>
                <w:color w:val="auto"/>
              </w:rPr>
              <w:t>[†]</w:t>
            </w:r>
          </w:p>
        </w:tc>
        <w:tc>
          <w:tcPr>
            <w:tcW w:w="1620" w:type="dxa"/>
            <w:vAlign w:val="bottom"/>
            <w:tcBorders>
              <w:bottom w:val="single" w:sz="8" w:color="auto"/>
              <w:right w:val="single" w:sz="8" w:color="auto"/>
            </w:tcBorders>
          </w:tcPr>
          <w:p>
            <w:pPr>
              <w:jc w:val="center"/>
              <w:spacing w:after="0" w:line="223" w:lineRule="exact"/>
              <w:rPr>
                <w:sz w:val="20"/>
                <w:szCs w:val="20"/>
                <w:color w:val="auto"/>
              </w:rPr>
            </w:pPr>
            <w:r>
              <w:rPr>
                <w:rFonts w:ascii="Arial" w:cs="Arial" w:eastAsia="Arial" w:hAnsi="Arial"/>
                <w:sz w:val="20"/>
                <w:szCs w:val="20"/>
                <w:color w:val="auto"/>
                <w:w w:val="98"/>
              </w:rPr>
              <w:t>[†]</w:t>
            </w:r>
          </w:p>
        </w:tc>
        <w:tc>
          <w:tcPr>
            <w:tcW w:w="1800" w:type="dxa"/>
            <w:vAlign w:val="bottom"/>
            <w:tcBorders>
              <w:bottom w:val="single" w:sz="8" w:color="auto"/>
              <w:right w:val="single" w:sz="8" w:color="auto"/>
            </w:tcBorders>
          </w:tcPr>
          <w:p>
            <w:pPr>
              <w:jc w:val="center"/>
              <w:spacing w:after="0" w:line="223" w:lineRule="exact"/>
              <w:rPr>
                <w:sz w:val="20"/>
                <w:szCs w:val="20"/>
                <w:color w:val="auto"/>
              </w:rPr>
            </w:pPr>
            <w:r>
              <w:rPr>
                <w:rFonts w:ascii="Arial" w:cs="Arial" w:eastAsia="Arial" w:hAnsi="Arial"/>
                <w:sz w:val="20"/>
                <w:szCs w:val="20"/>
                <w:color w:val="auto"/>
              </w:rPr>
              <w:t>[†]</w:t>
            </w:r>
          </w:p>
        </w:tc>
        <w:tc>
          <w:tcPr>
            <w:tcW w:w="1900" w:type="dxa"/>
            <w:vAlign w:val="bottom"/>
            <w:tcBorders>
              <w:bottom w:val="single" w:sz="8" w:color="auto"/>
              <w:right w:val="single" w:sz="8" w:color="auto"/>
            </w:tcBorders>
          </w:tcPr>
          <w:p>
            <w:pPr>
              <w:jc w:val="center"/>
              <w:spacing w:after="0" w:line="223" w:lineRule="exact"/>
              <w:rPr>
                <w:sz w:val="20"/>
                <w:szCs w:val="20"/>
                <w:color w:val="auto"/>
              </w:rPr>
            </w:pPr>
            <w:r>
              <w:rPr>
                <w:rFonts w:ascii="Arial" w:cs="Arial" w:eastAsia="Arial" w:hAnsi="Arial"/>
                <w:sz w:val="20"/>
                <w:szCs w:val="20"/>
                <w:color w:val="auto"/>
              </w:rPr>
              <w:t>[†]</w:t>
            </w:r>
          </w:p>
        </w:tc>
        <w:tc>
          <w:tcPr>
            <w:tcW w:w="3280" w:type="dxa"/>
            <w:vAlign w:val="bottom"/>
            <w:tcBorders>
              <w:bottom w:val="single" w:sz="8" w:color="auto"/>
              <w:right w:val="single" w:sz="8" w:color="auto"/>
            </w:tcBorders>
          </w:tcPr>
          <w:p>
            <w:pPr>
              <w:jc w:val="center"/>
              <w:spacing w:after="0" w:line="223" w:lineRule="exact"/>
              <w:rPr>
                <w:sz w:val="20"/>
                <w:szCs w:val="20"/>
                <w:color w:val="auto"/>
              </w:rPr>
            </w:pPr>
            <w:r>
              <w:rPr>
                <w:rFonts w:ascii="Arial" w:cs="Arial" w:eastAsia="Arial" w:hAnsi="Arial"/>
                <w:sz w:val="20"/>
                <w:szCs w:val="20"/>
                <w:color w:val="auto"/>
                <w:w w:val="98"/>
              </w:rPr>
              <w:t>[†]</w:t>
            </w:r>
          </w:p>
        </w:tc>
      </w:tr>
      <w:tr>
        <w:trPr>
          <w:trHeight w:val="223"/>
        </w:trPr>
        <w:tc>
          <w:tcPr>
            <w:tcW w:w="2780" w:type="dxa"/>
            <w:vAlign w:val="bottom"/>
            <w:tcBorders>
              <w:left w:val="single" w:sz="8" w:color="auto"/>
              <w:bottom w:val="single" w:sz="8" w:color="auto"/>
              <w:right w:val="single" w:sz="8" w:color="auto"/>
            </w:tcBorders>
          </w:tcPr>
          <w:p>
            <w:pPr>
              <w:jc w:val="center"/>
              <w:spacing w:after="0" w:line="223" w:lineRule="exact"/>
              <w:rPr>
                <w:sz w:val="20"/>
                <w:szCs w:val="20"/>
                <w:color w:val="auto"/>
              </w:rPr>
            </w:pPr>
            <w:r>
              <w:rPr>
                <w:rFonts w:ascii="Arial" w:cs="Arial" w:eastAsia="Arial" w:hAnsi="Arial"/>
                <w:sz w:val="20"/>
                <w:szCs w:val="20"/>
                <w:color w:val="auto"/>
              </w:rPr>
              <w:t>[†]</w:t>
            </w:r>
          </w:p>
        </w:tc>
        <w:tc>
          <w:tcPr>
            <w:tcW w:w="1620" w:type="dxa"/>
            <w:vAlign w:val="bottom"/>
            <w:tcBorders>
              <w:bottom w:val="single" w:sz="8" w:color="auto"/>
              <w:right w:val="single" w:sz="8" w:color="auto"/>
            </w:tcBorders>
          </w:tcPr>
          <w:p>
            <w:pPr>
              <w:jc w:val="center"/>
              <w:spacing w:after="0" w:line="223" w:lineRule="exact"/>
              <w:rPr>
                <w:sz w:val="20"/>
                <w:szCs w:val="20"/>
                <w:color w:val="auto"/>
              </w:rPr>
            </w:pPr>
            <w:r>
              <w:rPr>
                <w:rFonts w:ascii="Arial" w:cs="Arial" w:eastAsia="Arial" w:hAnsi="Arial"/>
                <w:sz w:val="20"/>
                <w:szCs w:val="20"/>
                <w:color w:val="auto"/>
                <w:w w:val="98"/>
              </w:rPr>
              <w:t>[†]</w:t>
            </w:r>
          </w:p>
        </w:tc>
        <w:tc>
          <w:tcPr>
            <w:tcW w:w="1800" w:type="dxa"/>
            <w:vAlign w:val="bottom"/>
            <w:tcBorders>
              <w:bottom w:val="single" w:sz="8" w:color="auto"/>
              <w:right w:val="single" w:sz="8" w:color="auto"/>
            </w:tcBorders>
          </w:tcPr>
          <w:p>
            <w:pPr>
              <w:jc w:val="center"/>
              <w:spacing w:after="0" w:line="223" w:lineRule="exact"/>
              <w:rPr>
                <w:sz w:val="20"/>
                <w:szCs w:val="20"/>
                <w:color w:val="auto"/>
              </w:rPr>
            </w:pPr>
            <w:r>
              <w:rPr>
                <w:rFonts w:ascii="Arial" w:cs="Arial" w:eastAsia="Arial" w:hAnsi="Arial"/>
                <w:sz w:val="20"/>
                <w:szCs w:val="20"/>
                <w:color w:val="auto"/>
              </w:rPr>
              <w:t>[†]</w:t>
            </w:r>
          </w:p>
        </w:tc>
        <w:tc>
          <w:tcPr>
            <w:tcW w:w="1900" w:type="dxa"/>
            <w:vAlign w:val="bottom"/>
            <w:tcBorders>
              <w:bottom w:val="single" w:sz="8" w:color="auto"/>
              <w:right w:val="single" w:sz="8" w:color="auto"/>
            </w:tcBorders>
          </w:tcPr>
          <w:p>
            <w:pPr>
              <w:jc w:val="center"/>
              <w:spacing w:after="0" w:line="223" w:lineRule="exact"/>
              <w:rPr>
                <w:sz w:val="20"/>
                <w:szCs w:val="20"/>
                <w:color w:val="auto"/>
              </w:rPr>
            </w:pPr>
            <w:r>
              <w:rPr>
                <w:rFonts w:ascii="Arial" w:cs="Arial" w:eastAsia="Arial" w:hAnsi="Arial"/>
                <w:sz w:val="20"/>
                <w:szCs w:val="20"/>
                <w:color w:val="auto"/>
              </w:rPr>
              <w:t>[†]</w:t>
            </w:r>
          </w:p>
        </w:tc>
        <w:tc>
          <w:tcPr>
            <w:tcW w:w="3280" w:type="dxa"/>
            <w:vAlign w:val="bottom"/>
            <w:tcBorders>
              <w:bottom w:val="single" w:sz="8" w:color="auto"/>
              <w:right w:val="single" w:sz="8" w:color="auto"/>
            </w:tcBorders>
          </w:tcPr>
          <w:p>
            <w:pPr>
              <w:jc w:val="center"/>
              <w:spacing w:after="0" w:line="223" w:lineRule="exact"/>
              <w:rPr>
                <w:sz w:val="20"/>
                <w:szCs w:val="20"/>
                <w:color w:val="auto"/>
              </w:rPr>
            </w:pPr>
            <w:r>
              <w:rPr>
                <w:rFonts w:ascii="Arial" w:cs="Arial" w:eastAsia="Arial" w:hAnsi="Arial"/>
                <w:sz w:val="20"/>
                <w:szCs w:val="20"/>
                <w:color w:val="auto"/>
                <w:w w:val="98"/>
              </w:rPr>
              <w:t>[†]</w:t>
            </w:r>
          </w:p>
        </w:tc>
      </w:tr>
      <w:tr>
        <w:trPr>
          <w:trHeight w:val="223"/>
        </w:trPr>
        <w:tc>
          <w:tcPr>
            <w:tcW w:w="2780" w:type="dxa"/>
            <w:vAlign w:val="bottom"/>
            <w:tcBorders>
              <w:left w:val="single" w:sz="8" w:color="auto"/>
              <w:bottom w:val="single" w:sz="8" w:color="auto"/>
              <w:right w:val="single" w:sz="8" w:color="auto"/>
            </w:tcBorders>
          </w:tcPr>
          <w:p>
            <w:pPr>
              <w:jc w:val="center"/>
              <w:spacing w:after="0" w:line="223" w:lineRule="exact"/>
              <w:rPr>
                <w:sz w:val="20"/>
                <w:szCs w:val="20"/>
                <w:color w:val="auto"/>
              </w:rPr>
            </w:pPr>
            <w:r>
              <w:rPr>
                <w:rFonts w:ascii="Arial" w:cs="Arial" w:eastAsia="Arial" w:hAnsi="Arial"/>
                <w:sz w:val="20"/>
                <w:szCs w:val="20"/>
                <w:color w:val="auto"/>
              </w:rPr>
              <w:t>[†]</w:t>
            </w:r>
          </w:p>
        </w:tc>
        <w:tc>
          <w:tcPr>
            <w:tcW w:w="1620" w:type="dxa"/>
            <w:vAlign w:val="bottom"/>
            <w:tcBorders>
              <w:bottom w:val="single" w:sz="8" w:color="auto"/>
              <w:right w:val="single" w:sz="8" w:color="auto"/>
            </w:tcBorders>
          </w:tcPr>
          <w:p>
            <w:pPr>
              <w:jc w:val="center"/>
              <w:spacing w:after="0" w:line="223" w:lineRule="exact"/>
              <w:rPr>
                <w:sz w:val="20"/>
                <w:szCs w:val="20"/>
                <w:color w:val="auto"/>
              </w:rPr>
            </w:pPr>
            <w:r>
              <w:rPr>
                <w:rFonts w:ascii="Arial" w:cs="Arial" w:eastAsia="Arial" w:hAnsi="Arial"/>
                <w:sz w:val="20"/>
                <w:szCs w:val="20"/>
                <w:color w:val="auto"/>
                <w:w w:val="98"/>
              </w:rPr>
              <w:t>[†]</w:t>
            </w:r>
          </w:p>
        </w:tc>
        <w:tc>
          <w:tcPr>
            <w:tcW w:w="1800" w:type="dxa"/>
            <w:vAlign w:val="bottom"/>
            <w:tcBorders>
              <w:bottom w:val="single" w:sz="8" w:color="auto"/>
              <w:right w:val="single" w:sz="8" w:color="auto"/>
            </w:tcBorders>
          </w:tcPr>
          <w:p>
            <w:pPr>
              <w:jc w:val="center"/>
              <w:spacing w:after="0" w:line="223" w:lineRule="exact"/>
              <w:rPr>
                <w:sz w:val="20"/>
                <w:szCs w:val="20"/>
                <w:color w:val="auto"/>
              </w:rPr>
            </w:pPr>
            <w:r>
              <w:rPr>
                <w:rFonts w:ascii="Arial" w:cs="Arial" w:eastAsia="Arial" w:hAnsi="Arial"/>
                <w:sz w:val="20"/>
                <w:szCs w:val="20"/>
                <w:color w:val="auto"/>
              </w:rPr>
              <w:t>[†]</w:t>
            </w:r>
          </w:p>
        </w:tc>
        <w:tc>
          <w:tcPr>
            <w:tcW w:w="1900" w:type="dxa"/>
            <w:vAlign w:val="bottom"/>
            <w:tcBorders>
              <w:bottom w:val="single" w:sz="8" w:color="auto"/>
              <w:right w:val="single" w:sz="8" w:color="auto"/>
            </w:tcBorders>
          </w:tcPr>
          <w:p>
            <w:pPr>
              <w:jc w:val="center"/>
              <w:spacing w:after="0" w:line="223" w:lineRule="exact"/>
              <w:rPr>
                <w:sz w:val="20"/>
                <w:szCs w:val="20"/>
                <w:color w:val="auto"/>
              </w:rPr>
            </w:pPr>
            <w:r>
              <w:rPr>
                <w:rFonts w:ascii="Arial" w:cs="Arial" w:eastAsia="Arial" w:hAnsi="Arial"/>
                <w:sz w:val="20"/>
                <w:szCs w:val="20"/>
                <w:color w:val="auto"/>
              </w:rPr>
              <w:t>[†]</w:t>
            </w:r>
          </w:p>
        </w:tc>
        <w:tc>
          <w:tcPr>
            <w:tcW w:w="3280" w:type="dxa"/>
            <w:vAlign w:val="bottom"/>
            <w:tcBorders>
              <w:bottom w:val="single" w:sz="8" w:color="auto"/>
              <w:right w:val="single" w:sz="8" w:color="auto"/>
            </w:tcBorders>
          </w:tcPr>
          <w:p>
            <w:pPr>
              <w:jc w:val="center"/>
              <w:spacing w:after="0" w:line="223" w:lineRule="exact"/>
              <w:rPr>
                <w:sz w:val="20"/>
                <w:szCs w:val="20"/>
                <w:color w:val="auto"/>
              </w:rPr>
            </w:pPr>
            <w:r>
              <w:rPr>
                <w:rFonts w:ascii="Arial" w:cs="Arial" w:eastAsia="Arial" w:hAnsi="Arial"/>
                <w:sz w:val="20"/>
                <w:szCs w:val="20"/>
                <w:color w:val="auto"/>
                <w:w w:val="98"/>
              </w:rPr>
              <w:t>[†]</w:t>
            </w:r>
          </w:p>
        </w:tc>
      </w:tr>
      <w:tr>
        <w:trPr>
          <w:trHeight w:val="223"/>
        </w:trPr>
        <w:tc>
          <w:tcPr>
            <w:tcW w:w="2780" w:type="dxa"/>
            <w:vAlign w:val="bottom"/>
            <w:tcBorders>
              <w:left w:val="single" w:sz="8" w:color="auto"/>
              <w:bottom w:val="single" w:sz="8" w:color="auto"/>
              <w:right w:val="single" w:sz="8" w:color="auto"/>
            </w:tcBorders>
          </w:tcPr>
          <w:p>
            <w:pPr>
              <w:jc w:val="center"/>
              <w:spacing w:after="0" w:line="223" w:lineRule="exact"/>
              <w:rPr>
                <w:sz w:val="20"/>
                <w:szCs w:val="20"/>
                <w:color w:val="auto"/>
              </w:rPr>
            </w:pPr>
            <w:r>
              <w:rPr>
                <w:rFonts w:ascii="Arial" w:cs="Arial" w:eastAsia="Arial" w:hAnsi="Arial"/>
                <w:sz w:val="20"/>
                <w:szCs w:val="20"/>
                <w:color w:val="auto"/>
              </w:rPr>
              <w:t>[†]</w:t>
            </w:r>
          </w:p>
        </w:tc>
        <w:tc>
          <w:tcPr>
            <w:tcW w:w="1620" w:type="dxa"/>
            <w:vAlign w:val="bottom"/>
            <w:tcBorders>
              <w:bottom w:val="single" w:sz="8" w:color="auto"/>
              <w:right w:val="single" w:sz="8" w:color="auto"/>
            </w:tcBorders>
          </w:tcPr>
          <w:p>
            <w:pPr>
              <w:jc w:val="center"/>
              <w:spacing w:after="0" w:line="223" w:lineRule="exact"/>
              <w:rPr>
                <w:sz w:val="20"/>
                <w:szCs w:val="20"/>
                <w:color w:val="auto"/>
              </w:rPr>
            </w:pPr>
            <w:r>
              <w:rPr>
                <w:rFonts w:ascii="Arial" w:cs="Arial" w:eastAsia="Arial" w:hAnsi="Arial"/>
                <w:sz w:val="20"/>
                <w:szCs w:val="20"/>
                <w:color w:val="auto"/>
                <w:w w:val="98"/>
              </w:rPr>
              <w:t>[†]</w:t>
            </w:r>
          </w:p>
        </w:tc>
        <w:tc>
          <w:tcPr>
            <w:tcW w:w="1800" w:type="dxa"/>
            <w:vAlign w:val="bottom"/>
            <w:tcBorders>
              <w:bottom w:val="single" w:sz="8" w:color="auto"/>
              <w:right w:val="single" w:sz="8" w:color="auto"/>
            </w:tcBorders>
          </w:tcPr>
          <w:p>
            <w:pPr>
              <w:jc w:val="center"/>
              <w:spacing w:after="0" w:line="223" w:lineRule="exact"/>
              <w:rPr>
                <w:sz w:val="20"/>
                <w:szCs w:val="20"/>
                <w:color w:val="auto"/>
              </w:rPr>
            </w:pPr>
            <w:r>
              <w:rPr>
                <w:rFonts w:ascii="Arial" w:cs="Arial" w:eastAsia="Arial" w:hAnsi="Arial"/>
                <w:sz w:val="20"/>
                <w:szCs w:val="20"/>
                <w:color w:val="auto"/>
              </w:rPr>
              <w:t>[†]</w:t>
            </w:r>
          </w:p>
        </w:tc>
        <w:tc>
          <w:tcPr>
            <w:tcW w:w="1900" w:type="dxa"/>
            <w:vAlign w:val="bottom"/>
            <w:tcBorders>
              <w:bottom w:val="single" w:sz="8" w:color="auto"/>
              <w:right w:val="single" w:sz="8" w:color="auto"/>
            </w:tcBorders>
          </w:tcPr>
          <w:p>
            <w:pPr>
              <w:jc w:val="center"/>
              <w:spacing w:after="0" w:line="223" w:lineRule="exact"/>
              <w:rPr>
                <w:sz w:val="20"/>
                <w:szCs w:val="20"/>
                <w:color w:val="auto"/>
              </w:rPr>
            </w:pPr>
            <w:r>
              <w:rPr>
                <w:rFonts w:ascii="Arial" w:cs="Arial" w:eastAsia="Arial" w:hAnsi="Arial"/>
                <w:sz w:val="20"/>
                <w:szCs w:val="20"/>
                <w:color w:val="auto"/>
              </w:rPr>
              <w:t>[†]</w:t>
            </w:r>
          </w:p>
        </w:tc>
        <w:tc>
          <w:tcPr>
            <w:tcW w:w="3280" w:type="dxa"/>
            <w:vAlign w:val="bottom"/>
            <w:tcBorders>
              <w:bottom w:val="single" w:sz="8" w:color="auto"/>
              <w:right w:val="single" w:sz="8" w:color="auto"/>
            </w:tcBorders>
          </w:tcPr>
          <w:p>
            <w:pPr>
              <w:jc w:val="center"/>
              <w:spacing w:after="0" w:line="223" w:lineRule="exact"/>
              <w:rPr>
                <w:sz w:val="20"/>
                <w:szCs w:val="20"/>
                <w:color w:val="auto"/>
              </w:rPr>
            </w:pPr>
            <w:r>
              <w:rPr>
                <w:rFonts w:ascii="Arial" w:cs="Arial" w:eastAsia="Arial" w:hAnsi="Arial"/>
                <w:sz w:val="20"/>
                <w:szCs w:val="20"/>
                <w:color w:val="auto"/>
                <w:w w:val="98"/>
              </w:rPr>
              <w:t>[†]</w:t>
            </w:r>
          </w:p>
        </w:tc>
      </w:tr>
      <w:tr>
        <w:trPr>
          <w:trHeight w:val="223"/>
        </w:trPr>
        <w:tc>
          <w:tcPr>
            <w:tcW w:w="2780" w:type="dxa"/>
            <w:vAlign w:val="bottom"/>
            <w:tcBorders>
              <w:left w:val="single" w:sz="8" w:color="auto"/>
              <w:bottom w:val="single" w:sz="8" w:color="auto"/>
              <w:right w:val="single" w:sz="8" w:color="auto"/>
            </w:tcBorders>
          </w:tcPr>
          <w:p>
            <w:pPr>
              <w:jc w:val="center"/>
              <w:spacing w:after="0" w:line="223" w:lineRule="exact"/>
              <w:rPr>
                <w:sz w:val="20"/>
                <w:szCs w:val="20"/>
                <w:color w:val="auto"/>
              </w:rPr>
            </w:pPr>
            <w:r>
              <w:rPr>
                <w:rFonts w:ascii="Arial" w:cs="Arial" w:eastAsia="Arial" w:hAnsi="Arial"/>
                <w:sz w:val="20"/>
                <w:szCs w:val="20"/>
                <w:color w:val="auto"/>
              </w:rPr>
              <w:t>[†]</w:t>
            </w:r>
          </w:p>
        </w:tc>
        <w:tc>
          <w:tcPr>
            <w:tcW w:w="1620" w:type="dxa"/>
            <w:vAlign w:val="bottom"/>
            <w:tcBorders>
              <w:bottom w:val="single" w:sz="8" w:color="auto"/>
              <w:right w:val="single" w:sz="8" w:color="auto"/>
            </w:tcBorders>
          </w:tcPr>
          <w:p>
            <w:pPr>
              <w:jc w:val="center"/>
              <w:spacing w:after="0" w:line="223" w:lineRule="exact"/>
              <w:rPr>
                <w:sz w:val="20"/>
                <w:szCs w:val="20"/>
                <w:color w:val="auto"/>
              </w:rPr>
            </w:pPr>
            <w:r>
              <w:rPr>
                <w:rFonts w:ascii="Arial" w:cs="Arial" w:eastAsia="Arial" w:hAnsi="Arial"/>
                <w:sz w:val="20"/>
                <w:szCs w:val="20"/>
                <w:color w:val="auto"/>
                <w:w w:val="98"/>
              </w:rPr>
              <w:t>[†]</w:t>
            </w:r>
          </w:p>
        </w:tc>
        <w:tc>
          <w:tcPr>
            <w:tcW w:w="1800" w:type="dxa"/>
            <w:vAlign w:val="bottom"/>
            <w:tcBorders>
              <w:bottom w:val="single" w:sz="8" w:color="auto"/>
              <w:right w:val="single" w:sz="8" w:color="auto"/>
            </w:tcBorders>
          </w:tcPr>
          <w:p>
            <w:pPr>
              <w:jc w:val="center"/>
              <w:spacing w:after="0" w:line="223" w:lineRule="exact"/>
              <w:rPr>
                <w:sz w:val="20"/>
                <w:szCs w:val="20"/>
                <w:color w:val="auto"/>
              </w:rPr>
            </w:pPr>
            <w:r>
              <w:rPr>
                <w:rFonts w:ascii="Arial" w:cs="Arial" w:eastAsia="Arial" w:hAnsi="Arial"/>
                <w:sz w:val="20"/>
                <w:szCs w:val="20"/>
                <w:color w:val="auto"/>
              </w:rPr>
              <w:t>[†]</w:t>
            </w:r>
          </w:p>
        </w:tc>
        <w:tc>
          <w:tcPr>
            <w:tcW w:w="1900" w:type="dxa"/>
            <w:vAlign w:val="bottom"/>
            <w:tcBorders>
              <w:bottom w:val="single" w:sz="8" w:color="auto"/>
              <w:right w:val="single" w:sz="8" w:color="auto"/>
            </w:tcBorders>
          </w:tcPr>
          <w:p>
            <w:pPr>
              <w:jc w:val="center"/>
              <w:spacing w:after="0" w:line="223" w:lineRule="exact"/>
              <w:rPr>
                <w:sz w:val="20"/>
                <w:szCs w:val="20"/>
                <w:color w:val="auto"/>
              </w:rPr>
            </w:pPr>
            <w:r>
              <w:rPr>
                <w:rFonts w:ascii="Arial" w:cs="Arial" w:eastAsia="Arial" w:hAnsi="Arial"/>
                <w:sz w:val="20"/>
                <w:szCs w:val="20"/>
                <w:color w:val="auto"/>
              </w:rPr>
              <w:t>[†]</w:t>
            </w:r>
          </w:p>
        </w:tc>
        <w:tc>
          <w:tcPr>
            <w:tcW w:w="3280" w:type="dxa"/>
            <w:vAlign w:val="bottom"/>
            <w:tcBorders>
              <w:bottom w:val="single" w:sz="8" w:color="auto"/>
              <w:right w:val="single" w:sz="8" w:color="auto"/>
            </w:tcBorders>
          </w:tcPr>
          <w:p>
            <w:pPr>
              <w:jc w:val="center"/>
              <w:spacing w:after="0" w:line="223" w:lineRule="exact"/>
              <w:rPr>
                <w:sz w:val="20"/>
                <w:szCs w:val="20"/>
                <w:color w:val="auto"/>
              </w:rPr>
            </w:pPr>
            <w:r>
              <w:rPr>
                <w:rFonts w:ascii="Arial" w:cs="Arial" w:eastAsia="Arial" w:hAnsi="Arial"/>
                <w:sz w:val="20"/>
                <w:szCs w:val="20"/>
                <w:color w:val="auto"/>
                <w:w w:val="98"/>
              </w:rPr>
              <w:t>[†]</w:t>
            </w:r>
          </w:p>
        </w:tc>
      </w:tr>
      <w:tr>
        <w:trPr>
          <w:trHeight w:val="223"/>
        </w:trPr>
        <w:tc>
          <w:tcPr>
            <w:tcW w:w="2780" w:type="dxa"/>
            <w:vAlign w:val="bottom"/>
            <w:tcBorders>
              <w:left w:val="single" w:sz="8" w:color="auto"/>
              <w:bottom w:val="single" w:sz="8" w:color="auto"/>
              <w:right w:val="single" w:sz="8" w:color="auto"/>
            </w:tcBorders>
          </w:tcPr>
          <w:p>
            <w:pPr>
              <w:jc w:val="center"/>
              <w:spacing w:after="0" w:line="223" w:lineRule="exact"/>
              <w:rPr>
                <w:sz w:val="20"/>
                <w:szCs w:val="20"/>
                <w:color w:val="auto"/>
              </w:rPr>
            </w:pPr>
            <w:r>
              <w:rPr>
                <w:rFonts w:ascii="Arial" w:cs="Arial" w:eastAsia="Arial" w:hAnsi="Arial"/>
                <w:sz w:val="20"/>
                <w:szCs w:val="20"/>
                <w:color w:val="auto"/>
              </w:rPr>
              <w:t>[†]</w:t>
            </w:r>
          </w:p>
        </w:tc>
        <w:tc>
          <w:tcPr>
            <w:tcW w:w="1620" w:type="dxa"/>
            <w:vAlign w:val="bottom"/>
            <w:tcBorders>
              <w:bottom w:val="single" w:sz="8" w:color="auto"/>
              <w:right w:val="single" w:sz="8" w:color="auto"/>
            </w:tcBorders>
          </w:tcPr>
          <w:p>
            <w:pPr>
              <w:jc w:val="center"/>
              <w:spacing w:after="0" w:line="223" w:lineRule="exact"/>
              <w:rPr>
                <w:sz w:val="20"/>
                <w:szCs w:val="20"/>
                <w:color w:val="auto"/>
              </w:rPr>
            </w:pPr>
            <w:r>
              <w:rPr>
                <w:rFonts w:ascii="Arial" w:cs="Arial" w:eastAsia="Arial" w:hAnsi="Arial"/>
                <w:sz w:val="20"/>
                <w:szCs w:val="20"/>
                <w:color w:val="auto"/>
                <w:w w:val="98"/>
              </w:rPr>
              <w:t>[†]</w:t>
            </w:r>
          </w:p>
        </w:tc>
        <w:tc>
          <w:tcPr>
            <w:tcW w:w="1800" w:type="dxa"/>
            <w:vAlign w:val="bottom"/>
            <w:tcBorders>
              <w:bottom w:val="single" w:sz="8" w:color="auto"/>
              <w:right w:val="single" w:sz="8" w:color="auto"/>
            </w:tcBorders>
          </w:tcPr>
          <w:p>
            <w:pPr>
              <w:jc w:val="center"/>
              <w:spacing w:after="0" w:line="223" w:lineRule="exact"/>
              <w:rPr>
                <w:sz w:val="20"/>
                <w:szCs w:val="20"/>
                <w:color w:val="auto"/>
              </w:rPr>
            </w:pPr>
            <w:r>
              <w:rPr>
                <w:rFonts w:ascii="Arial" w:cs="Arial" w:eastAsia="Arial" w:hAnsi="Arial"/>
                <w:sz w:val="20"/>
                <w:szCs w:val="20"/>
                <w:color w:val="auto"/>
              </w:rPr>
              <w:t>[†]</w:t>
            </w:r>
          </w:p>
        </w:tc>
        <w:tc>
          <w:tcPr>
            <w:tcW w:w="1900" w:type="dxa"/>
            <w:vAlign w:val="bottom"/>
            <w:tcBorders>
              <w:bottom w:val="single" w:sz="8" w:color="auto"/>
              <w:right w:val="single" w:sz="8" w:color="auto"/>
            </w:tcBorders>
          </w:tcPr>
          <w:p>
            <w:pPr>
              <w:jc w:val="center"/>
              <w:spacing w:after="0" w:line="223" w:lineRule="exact"/>
              <w:rPr>
                <w:sz w:val="20"/>
                <w:szCs w:val="20"/>
                <w:color w:val="auto"/>
              </w:rPr>
            </w:pPr>
            <w:r>
              <w:rPr>
                <w:rFonts w:ascii="Arial" w:cs="Arial" w:eastAsia="Arial" w:hAnsi="Arial"/>
                <w:sz w:val="20"/>
                <w:szCs w:val="20"/>
                <w:color w:val="auto"/>
              </w:rPr>
              <w:t>[†]</w:t>
            </w:r>
          </w:p>
        </w:tc>
        <w:tc>
          <w:tcPr>
            <w:tcW w:w="3280" w:type="dxa"/>
            <w:vAlign w:val="bottom"/>
            <w:tcBorders>
              <w:bottom w:val="single" w:sz="8" w:color="auto"/>
              <w:right w:val="single" w:sz="8" w:color="auto"/>
            </w:tcBorders>
          </w:tcPr>
          <w:p>
            <w:pPr>
              <w:jc w:val="center"/>
              <w:spacing w:after="0" w:line="223" w:lineRule="exact"/>
              <w:rPr>
                <w:sz w:val="20"/>
                <w:szCs w:val="20"/>
                <w:color w:val="auto"/>
              </w:rPr>
            </w:pPr>
            <w:r>
              <w:rPr>
                <w:rFonts w:ascii="Arial" w:cs="Arial" w:eastAsia="Arial" w:hAnsi="Arial"/>
                <w:sz w:val="20"/>
                <w:szCs w:val="20"/>
                <w:color w:val="auto"/>
                <w:w w:val="98"/>
              </w:rPr>
              <w:t>[†]</w:t>
            </w:r>
          </w:p>
        </w:tc>
      </w:tr>
      <w:tr>
        <w:trPr>
          <w:trHeight w:val="223"/>
        </w:trPr>
        <w:tc>
          <w:tcPr>
            <w:tcW w:w="2780" w:type="dxa"/>
            <w:vAlign w:val="bottom"/>
            <w:tcBorders>
              <w:left w:val="single" w:sz="8" w:color="auto"/>
              <w:bottom w:val="single" w:sz="8" w:color="auto"/>
              <w:right w:val="single" w:sz="8" w:color="auto"/>
            </w:tcBorders>
          </w:tcPr>
          <w:p>
            <w:pPr>
              <w:jc w:val="center"/>
              <w:spacing w:after="0" w:line="223" w:lineRule="exact"/>
              <w:rPr>
                <w:sz w:val="20"/>
                <w:szCs w:val="20"/>
                <w:color w:val="auto"/>
              </w:rPr>
            </w:pPr>
            <w:r>
              <w:rPr>
                <w:rFonts w:ascii="Arial" w:cs="Arial" w:eastAsia="Arial" w:hAnsi="Arial"/>
                <w:sz w:val="20"/>
                <w:szCs w:val="20"/>
                <w:color w:val="auto"/>
              </w:rPr>
              <w:t>[†]</w:t>
            </w:r>
          </w:p>
        </w:tc>
        <w:tc>
          <w:tcPr>
            <w:tcW w:w="1620" w:type="dxa"/>
            <w:vAlign w:val="bottom"/>
            <w:tcBorders>
              <w:bottom w:val="single" w:sz="8" w:color="auto"/>
              <w:right w:val="single" w:sz="8" w:color="auto"/>
            </w:tcBorders>
          </w:tcPr>
          <w:p>
            <w:pPr>
              <w:jc w:val="center"/>
              <w:spacing w:after="0" w:line="223" w:lineRule="exact"/>
              <w:rPr>
                <w:sz w:val="20"/>
                <w:szCs w:val="20"/>
                <w:color w:val="auto"/>
              </w:rPr>
            </w:pPr>
            <w:r>
              <w:rPr>
                <w:rFonts w:ascii="Arial" w:cs="Arial" w:eastAsia="Arial" w:hAnsi="Arial"/>
                <w:sz w:val="20"/>
                <w:szCs w:val="20"/>
                <w:color w:val="auto"/>
                <w:w w:val="98"/>
              </w:rPr>
              <w:t>[†]</w:t>
            </w:r>
          </w:p>
        </w:tc>
        <w:tc>
          <w:tcPr>
            <w:tcW w:w="1800" w:type="dxa"/>
            <w:vAlign w:val="bottom"/>
            <w:tcBorders>
              <w:bottom w:val="single" w:sz="8" w:color="auto"/>
              <w:right w:val="single" w:sz="8" w:color="auto"/>
            </w:tcBorders>
          </w:tcPr>
          <w:p>
            <w:pPr>
              <w:jc w:val="center"/>
              <w:spacing w:after="0" w:line="223" w:lineRule="exact"/>
              <w:rPr>
                <w:sz w:val="20"/>
                <w:szCs w:val="20"/>
                <w:color w:val="auto"/>
              </w:rPr>
            </w:pPr>
            <w:r>
              <w:rPr>
                <w:rFonts w:ascii="Arial" w:cs="Arial" w:eastAsia="Arial" w:hAnsi="Arial"/>
                <w:sz w:val="20"/>
                <w:szCs w:val="20"/>
                <w:color w:val="auto"/>
              </w:rPr>
              <w:t>[†]</w:t>
            </w:r>
          </w:p>
        </w:tc>
        <w:tc>
          <w:tcPr>
            <w:tcW w:w="1900" w:type="dxa"/>
            <w:vAlign w:val="bottom"/>
            <w:tcBorders>
              <w:bottom w:val="single" w:sz="8" w:color="auto"/>
              <w:right w:val="single" w:sz="8" w:color="auto"/>
            </w:tcBorders>
          </w:tcPr>
          <w:p>
            <w:pPr>
              <w:jc w:val="center"/>
              <w:spacing w:after="0" w:line="223" w:lineRule="exact"/>
              <w:rPr>
                <w:sz w:val="20"/>
                <w:szCs w:val="20"/>
                <w:color w:val="auto"/>
              </w:rPr>
            </w:pPr>
            <w:r>
              <w:rPr>
                <w:rFonts w:ascii="Arial" w:cs="Arial" w:eastAsia="Arial" w:hAnsi="Arial"/>
                <w:sz w:val="20"/>
                <w:szCs w:val="20"/>
                <w:color w:val="auto"/>
              </w:rPr>
              <w:t>[†]</w:t>
            </w:r>
          </w:p>
        </w:tc>
        <w:tc>
          <w:tcPr>
            <w:tcW w:w="3280" w:type="dxa"/>
            <w:vAlign w:val="bottom"/>
            <w:tcBorders>
              <w:bottom w:val="single" w:sz="8" w:color="auto"/>
              <w:right w:val="single" w:sz="8" w:color="auto"/>
            </w:tcBorders>
          </w:tcPr>
          <w:p>
            <w:pPr>
              <w:jc w:val="center"/>
              <w:spacing w:after="0" w:line="223" w:lineRule="exact"/>
              <w:rPr>
                <w:sz w:val="20"/>
                <w:szCs w:val="20"/>
                <w:color w:val="auto"/>
              </w:rPr>
            </w:pPr>
            <w:r>
              <w:rPr>
                <w:rFonts w:ascii="Arial" w:cs="Arial" w:eastAsia="Arial" w:hAnsi="Arial"/>
                <w:sz w:val="20"/>
                <w:szCs w:val="20"/>
                <w:color w:val="auto"/>
                <w:w w:val="98"/>
              </w:rPr>
              <w:t>[†]</w:t>
            </w:r>
          </w:p>
        </w:tc>
      </w:tr>
      <w:tr>
        <w:trPr>
          <w:trHeight w:val="223"/>
        </w:trPr>
        <w:tc>
          <w:tcPr>
            <w:tcW w:w="2780" w:type="dxa"/>
            <w:vAlign w:val="bottom"/>
            <w:tcBorders>
              <w:left w:val="single" w:sz="8" w:color="auto"/>
              <w:bottom w:val="single" w:sz="8" w:color="auto"/>
              <w:right w:val="single" w:sz="8" w:color="auto"/>
            </w:tcBorders>
          </w:tcPr>
          <w:p>
            <w:pPr>
              <w:jc w:val="center"/>
              <w:spacing w:after="0" w:line="223" w:lineRule="exact"/>
              <w:rPr>
                <w:sz w:val="20"/>
                <w:szCs w:val="20"/>
                <w:color w:val="auto"/>
              </w:rPr>
            </w:pPr>
            <w:r>
              <w:rPr>
                <w:rFonts w:ascii="Arial" w:cs="Arial" w:eastAsia="Arial" w:hAnsi="Arial"/>
                <w:sz w:val="20"/>
                <w:szCs w:val="20"/>
                <w:color w:val="auto"/>
              </w:rPr>
              <w:t>[†]</w:t>
            </w:r>
          </w:p>
        </w:tc>
        <w:tc>
          <w:tcPr>
            <w:tcW w:w="1620" w:type="dxa"/>
            <w:vAlign w:val="bottom"/>
            <w:tcBorders>
              <w:bottom w:val="single" w:sz="8" w:color="auto"/>
              <w:right w:val="single" w:sz="8" w:color="auto"/>
            </w:tcBorders>
          </w:tcPr>
          <w:p>
            <w:pPr>
              <w:jc w:val="center"/>
              <w:spacing w:after="0" w:line="223" w:lineRule="exact"/>
              <w:rPr>
                <w:sz w:val="20"/>
                <w:szCs w:val="20"/>
                <w:color w:val="auto"/>
              </w:rPr>
            </w:pPr>
            <w:r>
              <w:rPr>
                <w:rFonts w:ascii="Arial" w:cs="Arial" w:eastAsia="Arial" w:hAnsi="Arial"/>
                <w:sz w:val="20"/>
                <w:szCs w:val="20"/>
                <w:color w:val="auto"/>
                <w:w w:val="98"/>
              </w:rPr>
              <w:t>[†]</w:t>
            </w:r>
          </w:p>
        </w:tc>
        <w:tc>
          <w:tcPr>
            <w:tcW w:w="1800" w:type="dxa"/>
            <w:vAlign w:val="bottom"/>
            <w:tcBorders>
              <w:bottom w:val="single" w:sz="8" w:color="auto"/>
              <w:right w:val="single" w:sz="8" w:color="auto"/>
            </w:tcBorders>
          </w:tcPr>
          <w:p>
            <w:pPr>
              <w:jc w:val="center"/>
              <w:spacing w:after="0" w:line="223" w:lineRule="exact"/>
              <w:rPr>
                <w:sz w:val="20"/>
                <w:szCs w:val="20"/>
                <w:color w:val="auto"/>
              </w:rPr>
            </w:pPr>
            <w:r>
              <w:rPr>
                <w:rFonts w:ascii="Arial" w:cs="Arial" w:eastAsia="Arial" w:hAnsi="Arial"/>
                <w:sz w:val="20"/>
                <w:szCs w:val="20"/>
                <w:color w:val="auto"/>
              </w:rPr>
              <w:t>[†]</w:t>
            </w:r>
          </w:p>
        </w:tc>
        <w:tc>
          <w:tcPr>
            <w:tcW w:w="1900" w:type="dxa"/>
            <w:vAlign w:val="bottom"/>
            <w:tcBorders>
              <w:bottom w:val="single" w:sz="8" w:color="auto"/>
              <w:right w:val="single" w:sz="8" w:color="auto"/>
            </w:tcBorders>
          </w:tcPr>
          <w:p>
            <w:pPr>
              <w:jc w:val="center"/>
              <w:spacing w:after="0" w:line="223" w:lineRule="exact"/>
              <w:rPr>
                <w:sz w:val="20"/>
                <w:szCs w:val="20"/>
                <w:color w:val="auto"/>
              </w:rPr>
            </w:pPr>
            <w:r>
              <w:rPr>
                <w:rFonts w:ascii="Arial" w:cs="Arial" w:eastAsia="Arial" w:hAnsi="Arial"/>
                <w:sz w:val="20"/>
                <w:szCs w:val="20"/>
                <w:color w:val="auto"/>
              </w:rPr>
              <w:t>[†]</w:t>
            </w:r>
          </w:p>
        </w:tc>
        <w:tc>
          <w:tcPr>
            <w:tcW w:w="3280" w:type="dxa"/>
            <w:vAlign w:val="bottom"/>
            <w:tcBorders>
              <w:bottom w:val="single" w:sz="8" w:color="auto"/>
              <w:right w:val="single" w:sz="8" w:color="auto"/>
            </w:tcBorders>
          </w:tcPr>
          <w:p>
            <w:pPr>
              <w:jc w:val="center"/>
              <w:spacing w:after="0" w:line="223" w:lineRule="exact"/>
              <w:rPr>
                <w:sz w:val="20"/>
                <w:szCs w:val="20"/>
                <w:color w:val="auto"/>
              </w:rPr>
            </w:pPr>
            <w:r>
              <w:rPr>
                <w:rFonts w:ascii="Arial" w:cs="Arial" w:eastAsia="Arial" w:hAnsi="Arial"/>
                <w:sz w:val="20"/>
                <w:szCs w:val="20"/>
                <w:color w:val="auto"/>
                <w:w w:val="98"/>
              </w:rPr>
              <w:t>[†]</w:t>
            </w:r>
          </w:p>
        </w:tc>
      </w:tr>
      <w:tr>
        <w:trPr>
          <w:trHeight w:val="223"/>
        </w:trPr>
        <w:tc>
          <w:tcPr>
            <w:tcW w:w="2780" w:type="dxa"/>
            <w:vAlign w:val="bottom"/>
            <w:tcBorders>
              <w:left w:val="single" w:sz="8" w:color="auto"/>
              <w:bottom w:val="single" w:sz="8" w:color="auto"/>
              <w:right w:val="single" w:sz="8" w:color="auto"/>
            </w:tcBorders>
          </w:tcPr>
          <w:p>
            <w:pPr>
              <w:jc w:val="center"/>
              <w:spacing w:after="0" w:line="223" w:lineRule="exact"/>
              <w:rPr>
                <w:sz w:val="20"/>
                <w:szCs w:val="20"/>
                <w:color w:val="auto"/>
              </w:rPr>
            </w:pPr>
            <w:r>
              <w:rPr>
                <w:rFonts w:ascii="Arial" w:cs="Arial" w:eastAsia="Arial" w:hAnsi="Arial"/>
                <w:sz w:val="20"/>
                <w:szCs w:val="20"/>
                <w:color w:val="auto"/>
              </w:rPr>
              <w:t>[†]</w:t>
            </w:r>
          </w:p>
        </w:tc>
        <w:tc>
          <w:tcPr>
            <w:tcW w:w="1620" w:type="dxa"/>
            <w:vAlign w:val="bottom"/>
            <w:tcBorders>
              <w:bottom w:val="single" w:sz="8" w:color="auto"/>
              <w:right w:val="single" w:sz="8" w:color="auto"/>
            </w:tcBorders>
          </w:tcPr>
          <w:p>
            <w:pPr>
              <w:jc w:val="center"/>
              <w:spacing w:after="0" w:line="223" w:lineRule="exact"/>
              <w:rPr>
                <w:sz w:val="20"/>
                <w:szCs w:val="20"/>
                <w:color w:val="auto"/>
              </w:rPr>
            </w:pPr>
            <w:r>
              <w:rPr>
                <w:rFonts w:ascii="Arial" w:cs="Arial" w:eastAsia="Arial" w:hAnsi="Arial"/>
                <w:sz w:val="20"/>
                <w:szCs w:val="20"/>
                <w:color w:val="auto"/>
                <w:w w:val="98"/>
              </w:rPr>
              <w:t>[†]</w:t>
            </w:r>
          </w:p>
        </w:tc>
        <w:tc>
          <w:tcPr>
            <w:tcW w:w="1800" w:type="dxa"/>
            <w:vAlign w:val="bottom"/>
            <w:tcBorders>
              <w:bottom w:val="single" w:sz="8" w:color="auto"/>
              <w:right w:val="single" w:sz="8" w:color="auto"/>
            </w:tcBorders>
          </w:tcPr>
          <w:p>
            <w:pPr>
              <w:jc w:val="center"/>
              <w:spacing w:after="0" w:line="223" w:lineRule="exact"/>
              <w:rPr>
                <w:sz w:val="20"/>
                <w:szCs w:val="20"/>
                <w:color w:val="auto"/>
              </w:rPr>
            </w:pPr>
            <w:r>
              <w:rPr>
                <w:rFonts w:ascii="Arial" w:cs="Arial" w:eastAsia="Arial" w:hAnsi="Arial"/>
                <w:sz w:val="20"/>
                <w:szCs w:val="20"/>
                <w:color w:val="auto"/>
              </w:rPr>
              <w:t>[†]</w:t>
            </w:r>
          </w:p>
        </w:tc>
        <w:tc>
          <w:tcPr>
            <w:tcW w:w="1900" w:type="dxa"/>
            <w:vAlign w:val="bottom"/>
            <w:tcBorders>
              <w:bottom w:val="single" w:sz="8" w:color="auto"/>
              <w:right w:val="single" w:sz="8" w:color="auto"/>
            </w:tcBorders>
          </w:tcPr>
          <w:p>
            <w:pPr>
              <w:jc w:val="center"/>
              <w:spacing w:after="0" w:line="223" w:lineRule="exact"/>
              <w:rPr>
                <w:sz w:val="20"/>
                <w:szCs w:val="20"/>
                <w:color w:val="auto"/>
              </w:rPr>
            </w:pPr>
            <w:r>
              <w:rPr>
                <w:rFonts w:ascii="Arial" w:cs="Arial" w:eastAsia="Arial" w:hAnsi="Arial"/>
                <w:sz w:val="20"/>
                <w:szCs w:val="20"/>
                <w:color w:val="auto"/>
              </w:rPr>
              <w:t>[†]</w:t>
            </w:r>
          </w:p>
        </w:tc>
        <w:tc>
          <w:tcPr>
            <w:tcW w:w="3280" w:type="dxa"/>
            <w:vAlign w:val="bottom"/>
            <w:tcBorders>
              <w:bottom w:val="single" w:sz="8" w:color="auto"/>
              <w:right w:val="single" w:sz="8" w:color="auto"/>
            </w:tcBorders>
          </w:tcPr>
          <w:p>
            <w:pPr>
              <w:jc w:val="center"/>
              <w:spacing w:after="0" w:line="223" w:lineRule="exact"/>
              <w:rPr>
                <w:sz w:val="20"/>
                <w:szCs w:val="20"/>
                <w:color w:val="auto"/>
              </w:rPr>
            </w:pPr>
            <w:r>
              <w:rPr>
                <w:rFonts w:ascii="Arial" w:cs="Arial" w:eastAsia="Arial" w:hAnsi="Arial"/>
                <w:sz w:val="20"/>
                <w:szCs w:val="20"/>
                <w:color w:val="auto"/>
                <w:w w:val="98"/>
              </w:rPr>
              <w:t>[†]</w:t>
            </w:r>
          </w:p>
        </w:tc>
      </w:tr>
      <w:tr>
        <w:trPr>
          <w:trHeight w:val="223"/>
        </w:trPr>
        <w:tc>
          <w:tcPr>
            <w:tcW w:w="2780" w:type="dxa"/>
            <w:vAlign w:val="bottom"/>
            <w:tcBorders>
              <w:left w:val="single" w:sz="8" w:color="auto"/>
              <w:bottom w:val="single" w:sz="8" w:color="auto"/>
              <w:right w:val="single" w:sz="8" w:color="auto"/>
            </w:tcBorders>
          </w:tcPr>
          <w:p>
            <w:pPr>
              <w:jc w:val="center"/>
              <w:spacing w:after="0" w:line="223" w:lineRule="exact"/>
              <w:rPr>
                <w:sz w:val="20"/>
                <w:szCs w:val="20"/>
                <w:color w:val="auto"/>
              </w:rPr>
            </w:pPr>
            <w:r>
              <w:rPr>
                <w:rFonts w:ascii="Arial" w:cs="Arial" w:eastAsia="Arial" w:hAnsi="Arial"/>
                <w:sz w:val="20"/>
                <w:szCs w:val="20"/>
                <w:color w:val="auto"/>
              </w:rPr>
              <w:t>[†]</w:t>
            </w:r>
          </w:p>
        </w:tc>
        <w:tc>
          <w:tcPr>
            <w:tcW w:w="1620" w:type="dxa"/>
            <w:vAlign w:val="bottom"/>
            <w:tcBorders>
              <w:bottom w:val="single" w:sz="8" w:color="auto"/>
              <w:right w:val="single" w:sz="8" w:color="auto"/>
            </w:tcBorders>
          </w:tcPr>
          <w:p>
            <w:pPr>
              <w:jc w:val="center"/>
              <w:spacing w:after="0" w:line="223" w:lineRule="exact"/>
              <w:rPr>
                <w:sz w:val="20"/>
                <w:szCs w:val="20"/>
                <w:color w:val="auto"/>
              </w:rPr>
            </w:pPr>
            <w:r>
              <w:rPr>
                <w:rFonts w:ascii="Arial" w:cs="Arial" w:eastAsia="Arial" w:hAnsi="Arial"/>
                <w:sz w:val="20"/>
                <w:szCs w:val="20"/>
                <w:color w:val="auto"/>
                <w:w w:val="98"/>
              </w:rPr>
              <w:t>[†]</w:t>
            </w:r>
          </w:p>
        </w:tc>
        <w:tc>
          <w:tcPr>
            <w:tcW w:w="1800" w:type="dxa"/>
            <w:vAlign w:val="bottom"/>
            <w:tcBorders>
              <w:bottom w:val="single" w:sz="8" w:color="auto"/>
              <w:right w:val="single" w:sz="8" w:color="auto"/>
            </w:tcBorders>
          </w:tcPr>
          <w:p>
            <w:pPr>
              <w:jc w:val="center"/>
              <w:spacing w:after="0" w:line="223" w:lineRule="exact"/>
              <w:rPr>
                <w:sz w:val="20"/>
                <w:szCs w:val="20"/>
                <w:color w:val="auto"/>
              </w:rPr>
            </w:pPr>
            <w:r>
              <w:rPr>
                <w:rFonts w:ascii="Arial" w:cs="Arial" w:eastAsia="Arial" w:hAnsi="Arial"/>
                <w:sz w:val="20"/>
                <w:szCs w:val="20"/>
                <w:color w:val="auto"/>
              </w:rPr>
              <w:t>[†]</w:t>
            </w:r>
          </w:p>
        </w:tc>
        <w:tc>
          <w:tcPr>
            <w:tcW w:w="1900" w:type="dxa"/>
            <w:vAlign w:val="bottom"/>
            <w:tcBorders>
              <w:bottom w:val="single" w:sz="8" w:color="auto"/>
              <w:right w:val="single" w:sz="8" w:color="auto"/>
            </w:tcBorders>
          </w:tcPr>
          <w:p>
            <w:pPr>
              <w:jc w:val="center"/>
              <w:spacing w:after="0" w:line="223" w:lineRule="exact"/>
              <w:rPr>
                <w:sz w:val="20"/>
                <w:szCs w:val="20"/>
                <w:color w:val="auto"/>
              </w:rPr>
            </w:pPr>
            <w:r>
              <w:rPr>
                <w:rFonts w:ascii="Arial" w:cs="Arial" w:eastAsia="Arial" w:hAnsi="Arial"/>
                <w:sz w:val="20"/>
                <w:szCs w:val="20"/>
                <w:color w:val="auto"/>
              </w:rPr>
              <w:t>[†]</w:t>
            </w:r>
          </w:p>
        </w:tc>
        <w:tc>
          <w:tcPr>
            <w:tcW w:w="3280" w:type="dxa"/>
            <w:vAlign w:val="bottom"/>
            <w:tcBorders>
              <w:bottom w:val="single" w:sz="8" w:color="auto"/>
              <w:right w:val="single" w:sz="8" w:color="auto"/>
            </w:tcBorders>
          </w:tcPr>
          <w:p>
            <w:pPr>
              <w:jc w:val="center"/>
              <w:spacing w:after="0" w:line="223" w:lineRule="exact"/>
              <w:rPr>
                <w:sz w:val="20"/>
                <w:szCs w:val="20"/>
                <w:color w:val="auto"/>
              </w:rPr>
            </w:pPr>
            <w:r>
              <w:rPr>
                <w:rFonts w:ascii="Arial" w:cs="Arial" w:eastAsia="Arial" w:hAnsi="Arial"/>
                <w:sz w:val="20"/>
                <w:szCs w:val="20"/>
                <w:color w:val="auto"/>
                <w:w w:val="98"/>
              </w:rPr>
              <w:t>[†]</w:t>
            </w:r>
          </w:p>
        </w:tc>
      </w:tr>
      <w:tr>
        <w:trPr>
          <w:trHeight w:val="223"/>
        </w:trPr>
        <w:tc>
          <w:tcPr>
            <w:tcW w:w="2780" w:type="dxa"/>
            <w:vAlign w:val="bottom"/>
            <w:tcBorders>
              <w:left w:val="single" w:sz="8" w:color="auto"/>
              <w:bottom w:val="single" w:sz="8" w:color="auto"/>
              <w:right w:val="single" w:sz="8" w:color="auto"/>
            </w:tcBorders>
          </w:tcPr>
          <w:p>
            <w:pPr>
              <w:jc w:val="center"/>
              <w:spacing w:after="0" w:line="223" w:lineRule="exact"/>
              <w:rPr>
                <w:sz w:val="20"/>
                <w:szCs w:val="20"/>
                <w:color w:val="auto"/>
              </w:rPr>
            </w:pPr>
            <w:r>
              <w:rPr>
                <w:rFonts w:ascii="Arial" w:cs="Arial" w:eastAsia="Arial" w:hAnsi="Arial"/>
                <w:sz w:val="20"/>
                <w:szCs w:val="20"/>
                <w:color w:val="auto"/>
              </w:rPr>
              <w:t>[†]</w:t>
            </w:r>
          </w:p>
        </w:tc>
        <w:tc>
          <w:tcPr>
            <w:tcW w:w="1620" w:type="dxa"/>
            <w:vAlign w:val="bottom"/>
            <w:tcBorders>
              <w:bottom w:val="single" w:sz="8" w:color="auto"/>
              <w:right w:val="single" w:sz="8" w:color="auto"/>
            </w:tcBorders>
          </w:tcPr>
          <w:p>
            <w:pPr>
              <w:jc w:val="center"/>
              <w:spacing w:after="0" w:line="223" w:lineRule="exact"/>
              <w:rPr>
                <w:sz w:val="20"/>
                <w:szCs w:val="20"/>
                <w:color w:val="auto"/>
              </w:rPr>
            </w:pPr>
            <w:r>
              <w:rPr>
                <w:rFonts w:ascii="Arial" w:cs="Arial" w:eastAsia="Arial" w:hAnsi="Arial"/>
                <w:sz w:val="20"/>
                <w:szCs w:val="20"/>
                <w:color w:val="auto"/>
                <w:w w:val="98"/>
              </w:rPr>
              <w:t>[†]</w:t>
            </w:r>
          </w:p>
        </w:tc>
        <w:tc>
          <w:tcPr>
            <w:tcW w:w="1800" w:type="dxa"/>
            <w:vAlign w:val="bottom"/>
            <w:tcBorders>
              <w:bottom w:val="single" w:sz="8" w:color="auto"/>
              <w:right w:val="single" w:sz="8" w:color="auto"/>
            </w:tcBorders>
          </w:tcPr>
          <w:p>
            <w:pPr>
              <w:jc w:val="center"/>
              <w:spacing w:after="0" w:line="223" w:lineRule="exact"/>
              <w:rPr>
                <w:sz w:val="20"/>
                <w:szCs w:val="20"/>
                <w:color w:val="auto"/>
              </w:rPr>
            </w:pPr>
            <w:r>
              <w:rPr>
                <w:rFonts w:ascii="Arial" w:cs="Arial" w:eastAsia="Arial" w:hAnsi="Arial"/>
                <w:sz w:val="20"/>
                <w:szCs w:val="20"/>
                <w:color w:val="auto"/>
              </w:rPr>
              <w:t>[†]</w:t>
            </w:r>
          </w:p>
        </w:tc>
        <w:tc>
          <w:tcPr>
            <w:tcW w:w="1900" w:type="dxa"/>
            <w:vAlign w:val="bottom"/>
            <w:tcBorders>
              <w:bottom w:val="single" w:sz="8" w:color="auto"/>
              <w:right w:val="single" w:sz="8" w:color="auto"/>
            </w:tcBorders>
          </w:tcPr>
          <w:p>
            <w:pPr>
              <w:jc w:val="center"/>
              <w:spacing w:after="0" w:line="223" w:lineRule="exact"/>
              <w:rPr>
                <w:sz w:val="20"/>
                <w:szCs w:val="20"/>
                <w:color w:val="auto"/>
              </w:rPr>
            </w:pPr>
            <w:r>
              <w:rPr>
                <w:rFonts w:ascii="Arial" w:cs="Arial" w:eastAsia="Arial" w:hAnsi="Arial"/>
                <w:sz w:val="20"/>
                <w:szCs w:val="20"/>
                <w:color w:val="auto"/>
              </w:rPr>
              <w:t>[†]</w:t>
            </w:r>
          </w:p>
        </w:tc>
        <w:tc>
          <w:tcPr>
            <w:tcW w:w="3280" w:type="dxa"/>
            <w:vAlign w:val="bottom"/>
            <w:tcBorders>
              <w:bottom w:val="single" w:sz="8" w:color="auto"/>
              <w:right w:val="single" w:sz="8" w:color="auto"/>
            </w:tcBorders>
          </w:tcPr>
          <w:p>
            <w:pPr>
              <w:jc w:val="center"/>
              <w:spacing w:after="0" w:line="223" w:lineRule="exact"/>
              <w:rPr>
                <w:sz w:val="20"/>
                <w:szCs w:val="20"/>
                <w:color w:val="auto"/>
              </w:rPr>
            </w:pPr>
            <w:r>
              <w:rPr>
                <w:rFonts w:ascii="Arial" w:cs="Arial" w:eastAsia="Arial" w:hAnsi="Arial"/>
                <w:sz w:val="20"/>
                <w:szCs w:val="20"/>
                <w:color w:val="auto"/>
                <w:w w:val="98"/>
              </w:rPr>
              <w:t>[†]</w:t>
            </w:r>
          </w:p>
        </w:tc>
      </w:tr>
      <w:tr>
        <w:trPr>
          <w:trHeight w:val="223"/>
        </w:trPr>
        <w:tc>
          <w:tcPr>
            <w:tcW w:w="2780" w:type="dxa"/>
            <w:vAlign w:val="bottom"/>
            <w:tcBorders>
              <w:left w:val="single" w:sz="8" w:color="auto"/>
              <w:bottom w:val="single" w:sz="8" w:color="auto"/>
              <w:right w:val="single" w:sz="8" w:color="auto"/>
            </w:tcBorders>
          </w:tcPr>
          <w:p>
            <w:pPr>
              <w:jc w:val="center"/>
              <w:spacing w:after="0" w:line="223" w:lineRule="exact"/>
              <w:rPr>
                <w:sz w:val="20"/>
                <w:szCs w:val="20"/>
                <w:color w:val="auto"/>
              </w:rPr>
            </w:pPr>
            <w:r>
              <w:rPr>
                <w:rFonts w:ascii="Arial" w:cs="Arial" w:eastAsia="Arial" w:hAnsi="Arial"/>
                <w:sz w:val="20"/>
                <w:szCs w:val="20"/>
                <w:color w:val="auto"/>
              </w:rPr>
              <w:t>[†]</w:t>
            </w:r>
          </w:p>
        </w:tc>
        <w:tc>
          <w:tcPr>
            <w:tcW w:w="1620" w:type="dxa"/>
            <w:vAlign w:val="bottom"/>
            <w:tcBorders>
              <w:bottom w:val="single" w:sz="8" w:color="auto"/>
              <w:right w:val="single" w:sz="8" w:color="auto"/>
            </w:tcBorders>
          </w:tcPr>
          <w:p>
            <w:pPr>
              <w:jc w:val="center"/>
              <w:spacing w:after="0" w:line="223" w:lineRule="exact"/>
              <w:rPr>
                <w:sz w:val="20"/>
                <w:szCs w:val="20"/>
                <w:color w:val="auto"/>
              </w:rPr>
            </w:pPr>
            <w:r>
              <w:rPr>
                <w:rFonts w:ascii="Arial" w:cs="Arial" w:eastAsia="Arial" w:hAnsi="Arial"/>
                <w:sz w:val="20"/>
                <w:szCs w:val="20"/>
                <w:color w:val="auto"/>
                <w:w w:val="98"/>
              </w:rPr>
              <w:t>[†]</w:t>
            </w:r>
          </w:p>
        </w:tc>
        <w:tc>
          <w:tcPr>
            <w:tcW w:w="1800" w:type="dxa"/>
            <w:vAlign w:val="bottom"/>
            <w:tcBorders>
              <w:bottom w:val="single" w:sz="8" w:color="auto"/>
              <w:right w:val="single" w:sz="8" w:color="auto"/>
            </w:tcBorders>
          </w:tcPr>
          <w:p>
            <w:pPr>
              <w:jc w:val="center"/>
              <w:spacing w:after="0" w:line="223" w:lineRule="exact"/>
              <w:rPr>
                <w:sz w:val="20"/>
                <w:szCs w:val="20"/>
                <w:color w:val="auto"/>
              </w:rPr>
            </w:pPr>
            <w:r>
              <w:rPr>
                <w:rFonts w:ascii="Arial" w:cs="Arial" w:eastAsia="Arial" w:hAnsi="Arial"/>
                <w:sz w:val="20"/>
                <w:szCs w:val="20"/>
                <w:color w:val="auto"/>
              </w:rPr>
              <w:t>[†]</w:t>
            </w:r>
          </w:p>
        </w:tc>
        <w:tc>
          <w:tcPr>
            <w:tcW w:w="1900" w:type="dxa"/>
            <w:vAlign w:val="bottom"/>
            <w:tcBorders>
              <w:bottom w:val="single" w:sz="8" w:color="auto"/>
              <w:right w:val="single" w:sz="8" w:color="auto"/>
            </w:tcBorders>
          </w:tcPr>
          <w:p>
            <w:pPr>
              <w:jc w:val="center"/>
              <w:spacing w:after="0" w:line="223" w:lineRule="exact"/>
              <w:rPr>
                <w:sz w:val="20"/>
                <w:szCs w:val="20"/>
                <w:color w:val="auto"/>
              </w:rPr>
            </w:pPr>
            <w:r>
              <w:rPr>
                <w:rFonts w:ascii="Arial" w:cs="Arial" w:eastAsia="Arial" w:hAnsi="Arial"/>
                <w:sz w:val="20"/>
                <w:szCs w:val="20"/>
                <w:color w:val="auto"/>
              </w:rPr>
              <w:t>[†]</w:t>
            </w:r>
          </w:p>
        </w:tc>
        <w:tc>
          <w:tcPr>
            <w:tcW w:w="3280" w:type="dxa"/>
            <w:vAlign w:val="bottom"/>
            <w:tcBorders>
              <w:bottom w:val="single" w:sz="8" w:color="auto"/>
              <w:right w:val="single" w:sz="8" w:color="auto"/>
            </w:tcBorders>
          </w:tcPr>
          <w:p>
            <w:pPr>
              <w:jc w:val="center"/>
              <w:spacing w:after="0" w:line="223" w:lineRule="exact"/>
              <w:rPr>
                <w:sz w:val="20"/>
                <w:szCs w:val="20"/>
                <w:color w:val="auto"/>
              </w:rPr>
            </w:pPr>
            <w:r>
              <w:rPr>
                <w:rFonts w:ascii="Arial" w:cs="Arial" w:eastAsia="Arial" w:hAnsi="Arial"/>
                <w:sz w:val="20"/>
                <w:szCs w:val="20"/>
                <w:color w:val="auto"/>
                <w:w w:val="98"/>
              </w:rPr>
              <w:t>[†]</w:t>
            </w:r>
          </w:p>
        </w:tc>
      </w:tr>
      <w:tr>
        <w:trPr>
          <w:trHeight w:val="223"/>
        </w:trPr>
        <w:tc>
          <w:tcPr>
            <w:tcW w:w="2780" w:type="dxa"/>
            <w:vAlign w:val="bottom"/>
            <w:tcBorders>
              <w:left w:val="single" w:sz="8" w:color="auto"/>
              <w:bottom w:val="single" w:sz="8" w:color="auto"/>
              <w:right w:val="single" w:sz="8" w:color="auto"/>
            </w:tcBorders>
          </w:tcPr>
          <w:p>
            <w:pPr>
              <w:jc w:val="center"/>
              <w:spacing w:after="0" w:line="223" w:lineRule="exact"/>
              <w:rPr>
                <w:sz w:val="20"/>
                <w:szCs w:val="20"/>
                <w:color w:val="auto"/>
              </w:rPr>
            </w:pPr>
            <w:r>
              <w:rPr>
                <w:rFonts w:ascii="Arial" w:cs="Arial" w:eastAsia="Arial" w:hAnsi="Arial"/>
                <w:sz w:val="20"/>
                <w:szCs w:val="20"/>
                <w:color w:val="auto"/>
              </w:rPr>
              <w:t>[†]</w:t>
            </w:r>
          </w:p>
        </w:tc>
        <w:tc>
          <w:tcPr>
            <w:tcW w:w="1620" w:type="dxa"/>
            <w:vAlign w:val="bottom"/>
            <w:tcBorders>
              <w:bottom w:val="single" w:sz="8" w:color="auto"/>
              <w:right w:val="single" w:sz="8" w:color="auto"/>
            </w:tcBorders>
          </w:tcPr>
          <w:p>
            <w:pPr>
              <w:jc w:val="center"/>
              <w:spacing w:after="0" w:line="223" w:lineRule="exact"/>
              <w:rPr>
                <w:sz w:val="20"/>
                <w:szCs w:val="20"/>
                <w:color w:val="auto"/>
              </w:rPr>
            </w:pPr>
            <w:r>
              <w:rPr>
                <w:rFonts w:ascii="Arial" w:cs="Arial" w:eastAsia="Arial" w:hAnsi="Arial"/>
                <w:sz w:val="20"/>
                <w:szCs w:val="20"/>
                <w:color w:val="auto"/>
                <w:w w:val="98"/>
              </w:rPr>
              <w:t>[†]</w:t>
            </w:r>
          </w:p>
        </w:tc>
        <w:tc>
          <w:tcPr>
            <w:tcW w:w="1800" w:type="dxa"/>
            <w:vAlign w:val="bottom"/>
            <w:tcBorders>
              <w:bottom w:val="single" w:sz="8" w:color="auto"/>
              <w:right w:val="single" w:sz="8" w:color="auto"/>
            </w:tcBorders>
          </w:tcPr>
          <w:p>
            <w:pPr>
              <w:jc w:val="center"/>
              <w:spacing w:after="0" w:line="223" w:lineRule="exact"/>
              <w:rPr>
                <w:sz w:val="20"/>
                <w:szCs w:val="20"/>
                <w:color w:val="auto"/>
              </w:rPr>
            </w:pPr>
            <w:r>
              <w:rPr>
                <w:rFonts w:ascii="Arial" w:cs="Arial" w:eastAsia="Arial" w:hAnsi="Arial"/>
                <w:sz w:val="20"/>
                <w:szCs w:val="20"/>
                <w:color w:val="auto"/>
              </w:rPr>
              <w:t>[†]</w:t>
            </w:r>
          </w:p>
        </w:tc>
        <w:tc>
          <w:tcPr>
            <w:tcW w:w="1900" w:type="dxa"/>
            <w:vAlign w:val="bottom"/>
            <w:tcBorders>
              <w:bottom w:val="single" w:sz="8" w:color="auto"/>
              <w:right w:val="single" w:sz="8" w:color="auto"/>
            </w:tcBorders>
          </w:tcPr>
          <w:p>
            <w:pPr>
              <w:jc w:val="center"/>
              <w:spacing w:after="0" w:line="223" w:lineRule="exact"/>
              <w:rPr>
                <w:sz w:val="20"/>
                <w:szCs w:val="20"/>
                <w:color w:val="auto"/>
              </w:rPr>
            </w:pPr>
            <w:r>
              <w:rPr>
                <w:rFonts w:ascii="Arial" w:cs="Arial" w:eastAsia="Arial" w:hAnsi="Arial"/>
                <w:sz w:val="20"/>
                <w:szCs w:val="20"/>
                <w:color w:val="auto"/>
              </w:rPr>
              <w:t>[†]</w:t>
            </w:r>
          </w:p>
        </w:tc>
        <w:tc>
          <w:tcPr>
            <w:tcW w:w="3280" w:type="dxa"/>
            <w:vAlign w:val="bottom"/>
            <w:tcBorders>
              <w:bottom w:val="single" w:sz="8" w:color="auto"/>
              <w:right w:val="single" w:sz="8" w:color="auto"/>
            </w:tcBorders>
          </w:tcPr>
          <w:p>
            <w:pPr>
              <w:jc w:val="center"/>
              <w:spacing w:after="0" w:line="223" w:lineRule="exact"/>
              <w:rPr>
                <w:sz w:val="20"/>
                <w:szCs w:val="20"/>
                <w:color w:val="auto"/>
              </w:rPr>
            </w:pPr>
            <w:r>
              <w:rPr>
                <w:rFonts w:ascii="Arial" w:cs="Arial" w:eastAsia="Arial" w:hAnsi="Arial"/>
                <w:sz w:val="20"/>
                <w:szCs w:val="20"/>
                <w:color w:val="auto"/>
                <w:w w:val="98"/>
              </w:rPr>
              <w:t>[†]</w:t>
            </w:r>
          </w:p>
        </w:tc>
      </w:tr>
      <w:tr>
        <w:trPr>
          <w:trHeight w:val="223"/>
        </w:trPr>
        <w:tc>
          <w:tcPr>
            <w:tcW w:w="2780" w:type="dxa"/>
            <w:vAlign w:val="bottom"/>
            <w:tcBorders>
              <w:left w:val="single" w:sz="8" w:color="auto"/>
              <w:bottom w:val="single" w:sz="8" w:color="auto"/>
              <w:right w:val="single" w:sz="8" w:color="auto"/>
            </w:tcBorders>
          </w:tcPr>
          <w:p>
            <w:pPr>
              <w:jc w:val="center"/>
              <w:spacing w:after="0" w:line="223" w:lineRule="exact"/>
              <w:rPr>
                <w:sz w:val="20"/>
                <w:szCs w:val="20"/>
                <w:color w:val="auto"/>
              </w:rPr>
            </w:pPr>
            <w:r>
              <w:rPr>
                <w:rFonts w:ascii="Arial" w:cs="Arial" w:eastAsia="Arial" w:hAnsi="Arial"/>
                <w:sz w:val="20"/>
                <w:szCs w:val="20"/>
                <w:color w:val="auto"/>
              </w:rPr>
              <w:t>[†]</w:t>
            </w:r>
          </w:p>
        </w:tc>
        <w:tc>
          <w:tcPr>
            <w:tcW w:w="1620" w:type="dxa"/>
            <w:vAlign w:val="bottom"/>
            <w:tcBorders>
              <w:bottom w:val="single" w:sz="8" w:color="auto"/>
              <w:right w:val="single" w:sz="8" w:color="auto"/>
            </w:tcBorders>
          </w:tcPr>
          <w:p>
            <w:pPr>
              <w:jc w:val="center"/>
              <w:spacing w:after="0" w:line="223" w:lineRule="exact"/>
              <w:rPr>
                <w:sz w:val="20"/>
                <w:szCs w:val="20"/>
                <w:color w:val="auto"/>
              </w:rPr>
            </w:pPr>
            <w:r>
              <w:rPr>
                <w:rFonts w:ascii="Arial" w:cs="Arial" w:eastAsia="Arial" w:hAnsi="Arial"/>
                <w:sz w:val="20"/>
                <w:szCs w:val="20"/>
                <w:color w:val="auto"/>
                <w:w w:val="98"/>
              </w:rPr>
              <w:t>[†]</w:t>
            </w:r>
          </w:p>
        </w:tc>
        <w:tc>
          <w:tcPr>
            <w:tcW w:w="1800" w:type="dxa"/>
            <w:vAlign w:val="bottom"/>
            <w:tcBorders>
              <w:bottom w:val="single" w:sz="8" w:color="auto"/>
              <w:right w:val="single" w:sz="8" w:color="auto"/>
            </w:tcBorders>
          </w:tcPr>
          <w:p>
            <w:pPr>
              <w:jc w:val="center"/>
              <w:spacing w:after="0" w:line="223" w:lineRule="exact"/>
              <w:rPr>
                <w:sz w:val="20"/>
                <w:szCs w:val="20"/>
                <w:color w:val="auto"/>
              </w:rPr>
            </w:pPr>
            <w:r>
              <w:rPr>
                <w:rFonts w:ascii="Arial" w:cs="Arial" w:eastAsia="Arial" w:hAnsi="Arial"/>
                <w:sz w:val="20"/>
                <w:szCs w:val="20"/>
                <w:color w:val="auto"/>
              </w:rPr>
              <w:t>[†]</w:t>
            </w:r>
          </w:p>
        </w:tc>
        <w:tc>
          <w:tcPr>
            <w:tcW w:w="1900" w:type="dxa"/>
            <w:vAlign w:val="bottom"/>
            <w:tcBorders>
              <w:bottom w:val="single" w:sz="8" w:color="auto"/>
              <w:right w:val="single" w:sz="8" w:color="auto"/>
            </w:tcBorders>
          </w:tcPr>
          <w:p>
            <w:pPr>
              <w:jc w:val="center"/>
              <w:spacing w:after="0" w:line="223" w:lineRule="exact"/>
              <w:rPr>
                <w:sz w:val="20"/>
                <w:szCs w:val="20"/>
                <w:color w:val="auto"/>
              </w:rPr>
            </w:pPr>
            <w:r>
              <w:rPr>
                <w:rFonts w:ascii="Arial" w:cs="Arial" w:eastAsia="Arial" w:hAnsi="Arial"/>
                <w:sz w:val="20"/>
                <w:szCs w:val="20"/>
                <w:color w:val="auto"/>
              </w:rPr>
              <w:t>[†]</w:t>
            </w:r>
          </w:p>
        </w:tc>
        <w:tc>
          <w:tcPr>
            <w:tcW w:w="3280" w:type="dxa"/>
            <w:vAlign w:val="bottom"/>
            <w:tcBorders>
              <w:bottom w:val="single" w:sz="8" w:color="auto"/>
              <w:right w:val="single" w:sz="8" w:color="auto"/>
            </w:tcBorders>
          </w:tcPr>
          <w:p>
            <w:pPr>
              <w:jc w:val="center"/>
              <w:spacing w:after="0" w:line="223" w:lineRule="exact"/>
              <w:rPr>
                <w:sz w:val="20"/>
                <w:szCs w:val="20"/>
                <w:color w:val="auto"/>
              </w:rPr>
            </w:pPr>
            <w:r>
              <w:rPr>
                <w:rFonts w:ascii="Arial" w:cs="Arial" w:eastAsia="Arial" w:hAnsi="Arial"/>
                <w:sz w:val="20"/>
                <w:szCs w:val="20"/>
                <w:color w:val="auto"/>
                <w:w w:val="98"/>
              </w:rPr>
              <w:t>[†]</w:t>
            </w:r>
          </w:p>
        </w:tc>
      </w:tr>
      <w:tr>
        <w:trPr>
          <w:trHeight w:val="223"/>
        </w:trPr>
        <w:tc>
          <w:tcPr>
            <w:tcW w:w="2780" w:type="dxa"/>
            <w:vAlign w:val="bottom"/>
            <w:tcBorders>
              <w:left w:val="single" w:sz="8" w:color="auto"/>
              <w:bottom w:val="single" w:sz="8" w:color="auto"/>
              <w:right w:val="single" w:sz="8" w:color="auto"/>
            </w:tcBorders>
          </w:tcPr>
          <w:p>
            <w:pPr>
              <w:jc w:val="center"/>
              <w:spacing w:after="0" w:line="223" w:lineRule="exact"/>
              <w:rPr>
                <w:sz w:val="20"/>
                <w:szCs w:val="20"/>
                <w:color w:val="auto"/>
              </w:rPr>
            </w:pPr>
            <w:r>
              <w:rPr>
                <w:rFonts w:ascii="Arial" w:cs="Arial" w:eastAsia="Arial" w:hAnsi="Arial"/>
                <w:sz w:val="20"/>
                <w:szCs w:val="20"/>
                <w:color w:val="auto"/>
              </w:rPr>
              <w:t>[†]</w:t>
            </w:r>
          </w:p>
        </w:tc>
        <w:tc>
          <w:tcPr>
            <w:tcW w:w="1620" w:type="dxa"/>
            <w:vAlign w:val="bottom"/>
            <w:tcBorders>
              <w:bottom w:val="single" w:sz="8" w:color="auto"/>
              <w:right w:val="single" w:sz="8" w:color="auto"/>
            </w:tcBorders>
          </w:tcPr>
          <w:p>
            <w:pPr>
              <w:jc w:val="center"/>
              <w:spacing w:after="0" w:line="223" w:lineRule="exact"/>
              <w:rPr>
                <w:sz w:val="20"/>
                <w:szCs w:val="20"/>
                <w:color w:val="auto"/>
              </w:rPr>
            </w:pPr>
            <w:r>
              <w:rPr>
                <w:rFonts w:ascii="Arial" w:cs="Arial" w:eastAsia="Arial" w:hAnsi="Arial"/>
                <w:sz w:val="20"/>
                <w:szCs w:val="20"/>
                <w:color w:val="auto"/>
                <w:w w:val="98"/>
              </w:rPr>
              <w:t>[†]</w:t>
            </w:r>
          </w:p>
        </w:tc>
        <w:tc>
          <w:tcPr>
            <w:tcW w:w="1800" w:type="dxa"/>
            <w:vAlign w:val="bottom"/>
            <w:tcBorders>
              <w:bottom w:val="single" w:sz="8" w:color="auto"/>
              <w:right w:val="single" w:sz="8" w:color="auto"/>
            </w:tcBorders>
          </w:tcPr>
          <w:p>
            <w:pPr>
              <w:jc w:val="center"/>
              <w:spacing w:after="0" w:line="223" w:lineRule="exact"/>
              <w:rPr>
                <w:sz w:val="20"/>
                <w:szCs w:val="20"/>
                <w:color w:val="auto"/>
              </w:rPr>
            </w:pPr>
            <w:r>
              <w:rPr>
                <w:rFonts w:ascii="Arial" w:cs="Arial" w:eastAsia="Arial" w:hAnsi="Arial"/>
                <w:sz w:val="20"/>
                <w:szCs w:val="20"/>
                <w:color w:val="auto"/>
              </w:rPr>
              <w:t>[†]</w:t>
            </w:r>
          </w:p>
        </w:tc>
        <w:tc>
          <w:tcPr>
            <w:tcW w:w="1900" w:type="dxa"/>
            <w:vAlign w:val="bottom"/>
            <w:tcBorders>
              <w:bottom w:val="single" w:sz="8" w:color="auto"/>
              <w:right w:val="single" w:sz="8" w:color="auto"/>
            </w:tcBorders>
          </w:tcPr>
          <w:p>
            <w:pPr>
              <w:jc w:val="center"/>
              <w:spacing w:after="0" w:line="223" w:lineRule="exact"/>
              <w:rPr>
                <w:sz w:val="20"/>
                <w:szCs w:val="20"/>
                <w:color w:val="auto"/>
              </w:rPr>
            </w:pPr>
            <w:r>
              <w:rPr>
                <w:rFonts w:ascii="Arial" w:cs="Arial" w:eastAsia="Arial" w:hAnsi="Arial"/>
                <w:sz w:val="20"/>
                <w:szCs w:val="20"/>
                <w:color w:val="auto"/>
              </w:rPr>
              <w:t>[†]</w:t>
            </w:r>
          </w:p>
        </w:tc>
        <w:tc>
          <w:tcPr>
            <w:tcW w:w="3280" w:type="dxa"/>
            <w:vAlign w:val="bottom"/>
            <w:tcBorders>
              <w:bottom w:val="single" w:sz="8" w:color="auto"/>
              <w:right w:val="single" w:sz="8" w:color="auto"/>
            </w:tcBorders>
          </w:tcPr>
          <w:p>
            <w:pPr>
              <w:jc w:val="center"/>
              <w:spacing w:after="0" w:line="223" w:lineRule="exact"/>
              <w:rPr>
                <w:sz w:val="20"/>
                <w:szCs w:val="20"/>
                <w:color w:val="auto"/>
              </w:rPr>
            </w:pPr>
            <w:r>
              <w:rPr>
                <w:rFonts w:ascii="Arial" w:cs="Arial" w:eastAsia="Arial" w:hAnsi="Arial"/>
                <w:sz w:val="20"/>
                <w:szCs w:val="20"/>
                <w:color w:val="auto"/>
                <w:w w:val="98"/>
              </w:rPr>
              <w:t>[†]</w:t>
            </w:r>
          </w:p>
        </w:tc>
      </w:tr>
      <w:tr>
        <w:trPr>
          <w:trHeight w:val="223"/>
        </w:trPr>
        <w:tc>
          <w:tcPr>
            <w:tcW w:w="2780" w:type="dxa"/>
            <w:vAlign w:val="bottom"/>
            <w:tcBorders>
              <w:left w:val="single" w:sz="8" w:color="auto"/>
              <w:bottom w:val="single" w:sz="8" w:color="auto"/>
              <w:right w:val="single" w:sz="8" w:color="auto"/>
            </w:tcBorders>
          </w:tcPr>
          <w:p>
            <w:pPr>
              <w:jc w:val="center"/>
              <w:spacing w:after="0" w:line="223" w:lineRule="exact"/>
              <w:rPr>
                <w:sz w:val="20"/>
                <w:szCs w:val="20"/>
                <w:color w:val="auto"/>
              </w:rPr>
            </w:pPr>
            <w:r>
              <w:rPr>
                <w:rFonts w:ascii="Arial" w:cs="Arial" w:eastAsia="Arial" w:hAnsi="Arial"/>
                <w:sz w:val="20"/>
                <w:szCs w:val="20"/>
                <w:color w:val="auto"/>
              </w:rPr>
              <w:t>[†]</w:t>
            </w:r>
          </w:p>
        </w:tc>
        <w:tc>
          <w:tcPr>
            <w:tcW w:w="1620" w:type="dxa"/>
            <w:vAlign w:val="bottom"/>
            <w:tcBorders>
              <w:bottom w:val="single" w:sz="8" w:color="auto"/>
              <w:right w:val="single" w:sz="8" w:color="auto"/>
            </w:tcBorders>
          </w:tcPr>
          <w:p>
            <w:pPr>
              <w:jc w:val="center"/>
              <w:spacing w:after="0" w:line="223" w:lineRule="exact"/>
              <w:rPr>
                <w:sz w:val="20"/>
                <w:szCs w:val="20"/>
                <w:color w:val="auto"/>
              </w:rPr>
            </w:pPr>
            <w:r>
              <w:rPr>
                <w:rFonts w:ascii="Arial" w:cs="Arial" w:eastAsia="Arial" w:hAnsi="Arial"/>
                <w:sz w:val="20"/>
                <w:szCs w:val="20"/>
                <w:color w:val="auto"/>
                <w:w w:val="98"/>
              </w:rPr>
              <w:t>[†]</w:t>
            </w:r>
          </w:p>
        </w:tc>
        <w:tc>
          <w:tcPr>
            <w:tcW w:w="1800" w:type="dxa"/>
            <w:vAlign w:val="bottom"/>
            <w:tcBorders>
              <w:bottom w:val="single" w:sz="8" w:color="auto"/>
              <w:right w:val="single" w:sz="8" w:color="auto"/>
            </w:tcBorders>
          </w:tcPr>
          <w:p>
            <w:pPr>
              <w:jc w:val="center"/>
              <w:spacing w:after="0" w:line="223" w:lineRule="exact"/>
              <w:rPr>
                <w:sz w:val="20"/>
                <w:szCs w:val="20"/>
                <w:color w:val="auto"/>
              </w:rPr>
            </w:pPr>
            <w:r>
              <w:rPr>
                <w:rFonts w:ascii="Arial" w:cs="Arial" w:eastAsia="Arial" w:hAnsi="Arial"/>
                <w:sz w:val="20"/>
                <w:szCs w:val="20"/>
                <w:color w:val="auto"/>
              </w:rPr>
              <w:t>[†]</w:t>
            </w:r>
          </w:p>
        </w:tc>
        <w:tc>
          <w:tcPr>
            <w:tcW w:w="1900" w:type="dxa"/>
            <w:vAlign w:val="bottom"/>
            <w:tcBorders>
              <w:bottom w:val="single" w:sz="8" w:color="auto"/>
              <w:right w:val="single" w:sz="8" w:color="auto"/>
            </w:tcBorders>
          </w:tcPr>
          <w:p>
            <w:pPr>
              <w:jc w:val="center"/>
              <w:spacing w:after="0" w:line="223" w:lineRule="exact"/>
              <w:rPr>
                <w:sz w:val="20"/>
                <w:szCs w:val="20"/>
                <w:color w:val="auto"/>
              </w:rPr>
            </w:pPr>
            <w:r>
              <w:rPr>
                <w:rFonts w:ascii="Arial" w:cs="Arial" w:eastAsia="Arial" w:hAnsi="Arial"/>
                <w:sz w:val="20"/>
                <w:szCs w:val="20"/>
                <w:color w:val="auto"/>
              </w:rPr>
              <w:t>[†]</w:t>
            </w:r>
          </w:p>
        </w:tc>
        <w:tc>
          <w:tcPr>
            <w:tcW w:w="3280" w:type="dxa"/>
            <w:vAlign w:val="bottom"/>
            <w:tcBorders>
              <w:bottom w:val="single" w:sz="8" w:color="auto"/>
              <w:right w:val="single" w:sz="8" w:color="auto"/>
            </w:tcBorders>
          </w:tcPr>
          <w:p>
            <w:pPr>
              <w:jc w:val="center"/>
              <w:spacing w:after="0" w:line="223" w:lineRule="exact"/>
              <w:rPr>
                <w:sz w:val="20"/>
                <w:szCs w:val="20"/>
                <w:color w:val="auto"/>
              </w:rPr>
            </w:pPr>
            <w:r>
              <w:rPr>
                <w:rFonts w:ascii="Arial" w:cs="Arial" w:eastAsia="Arial" w:hAnsi="Arial"/>
                <w:sz w:val="20"/>
                <w:szCs w:val="20"/>
                <w:color w:val="auto"/>
                <w:w w:val="98"/>
              </w:rPr>
              <w:t>[†]</w:t>
            </w:r>
          </w:p>
        </w:tc>
      </w:tr>
      <w:tr>
        <w:trPr>
          <w:trHeight w:val="223"/>
        </w:trPr>
        <w:tc>
          <w:tcPr>
            <w:tcW w:w="2780" w:type="dxa"/>
            <w:vAlign w:val="bottom"/>
            <w:tcBorders>
              <w:left w:val="single" w:sz="8" w:color="auto"/>
              <w:bottom w:val="single" w:sz="8" w:color="auto"/>
              <w:right w:val="single" w:sz="8" w:color="auto"/>
            </w:tcBorders>
          </w:tcPr>
          <w:p>
            <w:pPr>
              <w:jc w:val="center"/>
              <w:spacing w:after="0" w:line="223" w:lineRule="exact"/>
              <w:rPr>
                <w:sz w:val="20"/>
                <w:szCs w:val="20"/>
                <w:color w:val="auto"/>
              </w:rPr>
            </w:pPr>
            <w:r>
              <w:rPr>
                <w:rFonts w:ascii="Arial" w:cs="Arial" w:eastAsia="Arial" w:hAnsi="Arial"/>
                <w:sz w:val="20"/>
                <w:szCs w:val="20"/>
                <w:color w:val="auto"/>
              </w:rPr>
              <w:t>[†]</w:t>
            </w:r>
          </w:p>
        </w:tc>
        <w:tc>
          <w:tcPr>
            <w:tcW w:w="1620" w:type="dxa"/>
            <w:vAlign w:val="bottom"/>
            <w:tcBorders>
              <w:bottom w:val="single" w:sz="8" w:color="auto"/>
              <w:right w:val="single" w:sz="8" w:color="auto"/>
            </w:tcBorders>
          </w:tcPr>
          <w:p>
            <w:pPr>
              <w:jc w:val="center"/>
              <w:spacing w:after="0" w:line="223" w:lineRule="exact"/>
              <w:rPr>
                <w:sz w:val="20"/>
                <w:szCs w:val="20"/>
                <w:color w:val="auto"/>
              </w:rPr>
            </w:pPr>
            <w:r>
              <w:rPr>
                <w:rFonts w:ascii="Arial" w:cs="Arial" w:eastAsia="Arial" w:hAnsi="Arial"/>
                <w:sz w:val="20"/>
                <w:szCs w:val="20"/>
                <w:color w:val="auto"/>
                <w:w w:val="98"/>
              </w:rPr>
              <w:t>[†]</w:t>
            </w:r>
          </w:p>
        </w:tc>
        <w:tc>
          <w:tcPr>
            <w:tcW w:w="1800" w:type="dxa"/>
            <w:vAlign w:val="bottom"/>
            <w:tcBorders>
              <w:bottom w:val="single" w:sz="8" w:color="auto"/>
              <w:right w:val="single" w:sz="8" w:color="auto"/>
            </w:tcBorders>
          </w:tcPr>
          <w:p>
            <w:pPr>
              <w:jc w:val="center"/>
              <w:spacing w:after="0" w:line="223" w:lineRule="exact"/>
              <w:rPr>
                <w:sz w:val="20"/>
                <w:szCs w:val="20"/>
                <w:color w:val="auto"/>
              </w:rPr>
            </w:pPr>
            <w:r>
              <w:rPr>
                <w:rFonts w:ascii="Arial" w:cs="Arial" w:eastAsia="Arial" w:hAnsi="Arial"/>
                <w:sz w:val="20"/>
                <w:szCs w:val="20"/>
                <w:color w:val="auto"/>
              </w:rPr>
              <w:t>[†]</w:t>
            </w:r>
          </w:p>
        </w:tc>
        <w:tc>
          <w:tcPr>
            <w:tcW w:w="1900" w:type="dxa"/>
            <w:vAlign w:val="bottom"/>
            <w:tcBorders>
              <w:bottom w:val="single" w:sz="8" w:color="auto"/>
              <w:right w:val="single" w:sz="8" w:color="auto"/>
            </w:tcBorders>
          </w:tcPr>
          <w:p>
            <w:pPr>
              <w:jc w:val="center"/>
              <w:spacing w:after="0" w:line="223" w:lineRule="exact"/>
              <w:rPr>
                <w:sz w:val="20"/>
                <w:szCs w:val="20"/>
                <w:color w:val="auto"/>
              </w:rPr>
            </w:pPr>
            <w:r>
              <w:rPr>
                <w:rFonts w:ascii="Arial" w:cs="Arial" w:eastAsia="Arial" w:hAnsi="Arial"/>
                <w:sz w:val="20"/>
                <w:szCs w:val="20"/>
                <w:color w:val="auto"/>
              </w:rPr>
              <w:t>[†]</w:t>
            </w:r>
          </w:p>
        </w:tc>
        <w:tc>
          <w:tcPr>
            <w:tcW w:w="3280" w:type="dxa"/>
            <w:vAlign w:val="bottom"/>
            <w:tcBorders>
              <w:bottom w:val="single" w:sz="8" w:color="auto"/>
              <w:right w:val="single" w:sz="8" w:color="auto"/>
            </w:tcBorders>
          </w:tcPr>
          <w:p>
            <w:pPr>
              <w:jc w:val="center"/>
              <w:spacing w:after="0" w:line="223" w:lineRule="exact"/>
              <w:rPr>
                <w:sz w:val="20"/>
                <w:szCs w:val="20"/>
                <w:color w:val="auto"/>
              </w:rPr>
            </w:pPr>
            <w:r>
              <w:rPr>
                <w:rFonts w:ascii="Arial" w:cs="Arial" w:eastAsia="Arial" w:hAnsi="Arial"/>
                <w:sz w:val="20"/>
                <w:szCs w:val="20"/>
                <w:color w:val="auto"/>
                <w:w w:val="98"/>
              </w:rPr>
              <w:t>[†]</w:t>
            </w:r>
          </w:p>
        </w:tc>
      </w:tr>
      <w:tr>
        <w:trPr>
          <w:trHeight w:val="223"/>
        </w:trPr>
        <w:tc>
          <w:tcPr>
            <w:tcW w:w="2780" w:type="dxa"/>
            <w:vAlign w:val="bottom"/>
            <w:tcBorders>
              <w:left w:val="single" w:sz="8" w:color="auto"/>
              <w:bottom w:val="single" w:sz="8" w:color="auto"/>
              <w:right w:val="single" w:sz="8" w:color="auto"/>
            </w:tcBorders>
          </w:tcPr>
          <w:p>
            <w:pPr>
              <w:jc w:val="center"/>
              <w:spacing w:after="0" w:line="223" w:lineRule="exact"/>
              <w:rPr>
                <w:sz w:val="20"/>
                <w:szCs w:val="20"/>
                <w:color w:val="auto"/>
              </w:rPr>
            </w:pPr>
            <w:r>
              <w:rPr>
                <w:rFonts w:ascii="Arial" w:cs="Arial" w:eastAsia="Arial" w:hAnsi="Arial"/>
                <w:sz w:val="20"/>
                <w:szCs w:val="20"/>
                <w:color w:val="auto"/>
              </w:rPr>
              <w:t>[†]</w:t>
            </w:r>
          </w:p>
        </w:tc>
        <w:tc>
          <w:tcPr>
            <w:tcW w:w="1620" w:type="dxa"/>
            <w:vAlign w:val="bottom"/>
            <w:tcBorders>
              <w:bottom w:val="single" w:sz="8" w:color="auto"/>
              <w:right w:val="single" w:sz="8" w:color="auto"/>
            </w:tcBorders>
          </w:tcPr>
          <w:p>
            <w:pPr>
              <w:jc w:val="center"/>
              <w:spacing w:after="0" w:line="223" w:lineRule="exact"/>
              <w:rPr>
                <w:sz w:val="20"/>
                <w:szCs w:val="20"/>
                <w:color w:val="auto"/>
              </w:rPr>
            </w:pPr>
            <w:r>
              <w:rPr>
                <w:rFonts w:ascii="Arial" w:cs="Arial" w:eastAsia="Arial" w:hAnsi="Arial"/>
                <w:sz w:val="20"/>
                <w:szCs w:val="20"/>
                <w:color w:val="auto"/>
                <w:w w:val="98"/>
              </w:rPr>
              <w:t>[†]</w:t>
            </w:r>
          </w:p>
        </w:tc>
        <w:tc>
          <w:tcPr>
            <w:tcW w:w="1800" w:type="dxa"/>
            <w:vAlign w:val="bottom"/>
            <w:tcBorders>
              <w:bottom w:val="single" w:sz="8" w:color="auto"/>
              <w:right w:val="single" w:sz="8" w:color="auto"/>
            </w:tcBorders>
          </w:tcPr>
          <w:p>
            <w:pPr>
              <w:jc w:val="center"/>
              <w:spacing w:after="0" w:line="223" w:lineRule="exact"/>
              <w:rPr>
                <w:sz w:val="20"/>
                <w:szCs w:val="20"/>
                <w:color w:val="auto"/>
              </w:rPr>
            </w:pPr>
            <w:r>
              <w:rPr>
                <w:rFonts w:ascii="Arial" w:cs="Arial" w:eastAsia="Arial" w:hAnsi="Arial"/>
                <w:sz w:val="20"/>
                <w:szCs w:val="20"/>
                <w:color w:val="auto"/>
              </w:rPr>
              <w:t>[†]</w:t>
            </w:r>
          </w:p>
        </w:tc>
        <w:tc>
          <w:tcPr>
            <w:tcW w:w="1900" w:type="dxa"/>
            <w:vAlign w:val="bottom"/>
            <w:tcBorders>
              <w:bottom w:val="single" w:sz="8" w:color="auto"/>
              <w:right w:val="single" w:sz="8" w:color="auto"/>
            </w:tcBorders>
          </w:tcPr>
          <w:p>
            <w:pPr>
              <w:jc w:val="center"/>
              <w:spacing w:after="0" w:line="223" w:lineRule="exact"/>
              <w:rPr>
                <w:sz w:val="20"/>
                <w:szCs w:val="20"/>
                <w:color w:val="auto"/>
              </w:rPr>
            </w:pPr>
            <w:r>
              <w:rPr>
                <w:rFonts w:ascii="Arial" w:cs="Arial" w:eastAsia="Arial" w:hAnsi="Arial"/>
                <w:sz w:val="20"/>
                <w:szCs w:val="20"/>
                <w:color w:val="auto"/>
              </w:rPr>
              <w:t>[†]</w:t>
            </w:r>
          </w:p>
        </w:tc>
        <w:tc>
          <w:tcPr>
            <w:tcW w:w="3280" w:type="dxa"/>
            <w:vAlign w:val="bottom"/>
            <w:tcBorders>
              <w:bottom w:val="single" w:sz="8" w:color="auto"/>
              <w:right w:val="single" w:sz="8" w:color="auto"/>
            </w:tcBorders>
          </w:tcPr>
          <w:p>
            <w:pPr>
              <w:jc w:val="center"/>
              <w:spacing w:after="0" w:line="223" w:lineRule="exact"/>
              <w:rPr>
                <w:sz w:val="20"/>
                <w:szCs w:val="20"/>
                <w:color w:val="auto"/>
              </w:rPr>
            </w:pPr>
            <w:r>
              <w:rPr>
                <w:rFonts w:ascii="Arial" w:cs="Arial" w:eastAsia="Arial" w:hAnsi="Arial"/>
                <w:sz w:val="20"/>
                <w:szCs w:val="20"/>
                <w:color w:val="auto"/>
                <w:w w:val="98"/>
              </w:rPr>
              <w:t>[†]</w:t>
            </w:r>
          </w:p>
        </w:tc>
      </w:tr>
      <w:tr>
        <w:trPr>
          <w:trHeight w:val="223"/>
        </w:trPr>
        <w:tc>
          <w:tcPr>
            <w:tcW w:w="2780" w:type="dxa"/>
            <w:vAlign w:val="bottom"/>
            <w:tcBorders>
              <w:left w:val="single" w:sz="8" w:color="auto"/>
              <w:bottom w:val="single" w:sz="8" w:color="auto"/>
              <w:right w:val="single" w:sz="8" w:color="auto"/>
            </w:tcBorders>
          </w:tcPr>
          <w:p>
            <w:pPr>
              <w:jc w:val="center"/>
              <w:spacing w:after="0" w:line="223" w:lineRule="exact"/>
              <w:rPr>
                <w:sz w:val="20"/>
                <w:szCs w:val="20"/>
                <w:color w:val="auto"/>
              </w:rPr>
            </w:pPr>
            <w:r>
              <w:rPr>
                <w:rFonts w:ascii="Arial" w:cs="Arial" w:eastAsia="Arial" w:hAnsi="Arial"/>
                <w:sz w:val="20"/>
                <w:szCs w:val="20"/>
                <w:color w:val="auto"/>
              </w:rPr>
              <w:t>[†]</w:t>
            </w:r>
          </w:p>
        </w:tc>
        <w:tc>
          <w:tcPr>
            <w:tcW w:w="1620" w:type="dxa"/>
            <w:vAlign w:val="bottom"/>
            <w:tcBorders>
              <w:bottom w:val="single" w:sz="8" w:color="auto"/>
              <w:right w:val="single" w:sz="8" w:color="auto"/>
            </w:tcBorders>
          </w:tcPr>
          <w:p>
            <w:pPr>
              <w:jc w:val="center"/>
              <w:spacing w:after="0" w:line="223" w:lineRule="exact"/>
              <w:rPr>
                <w:sz w:val="20"/>
                <w:szCs w:val="20"/>
                <w:color w:val="auto"/>
              </w:rPr>
            </w:pPr>
            <w:r>
              <w:rPr>
                <w:rFonts w:ascii="Arial" w:cs="Arial" w:eastAsia="Arial" w:hAnsi="Arial"/>
                <w:sz w:val="20"/>
                <w:szCs w:val="20"/>
                <w:color w:val="auto"/>
                <w:w w:val="98"/>
              </w:rPr>
              <w:t>[†]</w:t>
            </w:r>
          </w:p>
        </w:tc>
        <w:tc>
          <w:tcPr>
            <w:tcW w:w="1800" w:type="dxa"/>
            <w:vAlign w:val="bottom"/>
            <w:tcBorders>
              <w:bottom w:val="single" w:sz="8" w:color="auto"/>
              <w:right w:val="single" w:sz="8" w:color="auto"/>
            </w:tcBorders>
          </w:tcPr>
          <w:p>
            <w:pPr>
              <w:jc w:val="center"/>
              <w:spacing w:after="0" w:line="223" w:lineRule="exact"/>
              <w:rPr>
                <w:sz w:val="20"/>
                <w:szCs w:val="20"/>
                <w:color w:val="auto"/>
              </w:rPr>
            </w:pPr>
            <w:r>
              <w:rPr>
                <w:rFonts w:ascii="Arial" w:cs="Arial" w:eastAsia="Arial" w:hAnsi="Arial"/>
                <w:sz w:val="20"/>
                <w:szCs w:val="20"/>
                <w:color w:val="auto"/>
              </w:rPr>
              <w:t>[†]</w:t>
            </w:r>
          </w:p>
        </w:tc>
        <w:tc>
          <w:tcPr>
            <w:tcW w:w="1900" w:type="dxa"/>
            <w:vAlign w:val="bottom"/>
            <w:tcBorders>
              <w:bottom w:val="single" w:sz="8" w:color="auto"/>
              <w:right w:val="single" w:sz="8" w:color="auto"/>
            </w:tcBorders>
          </w:tcPr>
          <w:p>
            <w:pPr>
              <w:jc w:val="center"/>
              <w:spacing w:after="0" w:line="223" w:lineRule="exact"/>
              <w:rPr>
                <w:sz w:val="20"/>
                <w:szCs w:val="20"/>
                <w:color w:val="auto"/>
              </w:rPr>
            </w:pPr>
            <w:r>
              <w:rPr>
                <w:rFonts w:ascii="Arial" w:cs="Arial" w:eastAsia="Arial" w:hAnsi="Arial"/>
                <w:sz w:val="20"/>
                <w:szCs w:val="20"/>
                <w:color w:val="auto"/>
              </w:rPr>
              <w:t>[†]</w:t>
            </w:r>
          </w:p>
        </w:tc>
        <w:tc>
          <w:tcPr>
            <w:tcW w:w="3280" w:type="dxa"/>
            <w:vAlign w:val="bottom"/>
            <w:tcBorders>
              <w:bottom w:val="single" w:sz="8" w:color="auto"/>
              <w:right w:val="single" w:sz="8" w:color="auto"/>
            </w:tcBorders>
          </w:tcPr>
          <w:p>
            <w:pPr>
              <w:jc w:val="center"/>
              <w:spacing w:after="0" w:line="223" w:lineRule="exact"/>
              <w:rPr>
                <w:sz w:val="20"/>
                <w:szCs w:val="20"/>
                <w:color w:val="auto"/>
              </w:rPr>
            </w:pPr>
            <w:r>
              <w:rPr>
                <w:rFonts w:ascii="Arial" w:cs="Arial" w:eastAsia="Arial" w:hAnsi="Arial"/>
                <w:sz w:val="20"/>
                <w:szCs w:val="20"/>
                <w:color w:val="auto"/>
                <w:w w:val="98"/>
              </w:rPr>
              <w:t>[†]</w:t>
            </w:r>
          </w:p>
        </w:tc>
      </w:tr>
      <w:tr>
        <w:trPr>
          <w:trHeight w:val="223"/>
        </w:trPr>
        <w:tc>
          <w:tcPr>
            <w:tcW w:w="2780" w:type="dxa"/>
            <w:vAlign w:val="bottom"/>
            <w:tcBorders>
              <w:left w:val="single" w:sz="8" w:color="auto"/>
              <w:bottom w:val="single" w:sz="8" w:color="auto"/>
              <w:right w:val="single" w:sz="8" w:color="auto"/>
            </w:tcBorders>
          </w:tcPr>
          <w:p>
            <w:pPr>
              <w:jc w:val="center"/>
              <w:spacing w:after="0" w:line="223" w:lineRule="exact"/>
              <w:rPr>
                <w:sz w:val="20"/>
                <w:szCs w:val="20"/>
                <w:color w:val="auto"/>
              </w:rPr>
            </w:pPr>
            <w:r>
              <w:rPr>
                <w:rFonts w:ascii="Arial" w:cs="Arial" w:eastAsia="Arial" w:hAnsi="Arial"/>
                <w:sz w:val="20"/>
                <w:szCs w:val="20"/>
                <w:color w:val="auto"/>
              </w:rPr>
              <w:t>[†]</w:t>
            </w:r>
          </w:p>
        </w:tc>
        <w:tc>
          <w:tcPr>
            <w:tcW w:w="1620" w:type="dxa"/>
            <w:vAlign w:val="bottom"/>
            <w:tcBorders>
              <w:bottom w:val="single" w:sz="8" w:color="auto"/>
              <w:right w:val="single" w:sz="8" w:color="auto"/>
            </w:tcBorders>
          </w:tcPr>
          <w:p>
            <w:pPr>
              <w:jc w:val="center"/>
              <w:spacing w:after="0" w:line="223" w:lineRule="exact"/>
              <w:rPr>
                <w:sz w:val="20"/>
                <w:szCs w:val="20"/>
                <w:color w:val="auto"/>
              </w:rPr>
            </w:pPr>
            <w:r>
              <w:rPr>
                <w:rFonts w:ascii="Arial" w:cs="Arial" w:eastAsia="Arial" w:hAnsi="Arial"/>
                <w:sz w:val="20"/>
                <w:szCs w:val="20"/>
                <w:color w:val="auto"/>
                <w:w w:val="98"/>
              </w:rPr>
              <w:t>[†]</w:t>
            </w:r>
          </w:p>
        </w:tc>
        <w:tc>
          <w:tcPr>
            <w:tcW w:w="1800" w:type="dxa"/>
            <w:vAlign w:val="bottom"/>
            <w:tcBorders>
              <w:bottom w:val="single" w:sz="8" w:color="auto"/>
              <w:right w:val="single" w:sz="8" w:color="auto"/>
            </w:tcBorders>
          </w:tcPr>
          <w:p>
            <w:pPr>
              <w:jc w:val="center"/>
              <w:spacing w:after="0" w:line="223" w:lineRule="exact"/>
              <w:rPr>
                <w:sz w:val="20"/>
                <w:szCs w:val="20"/>
                <w:color w:val="auto"/>
              </w:rPr>
            </w:pPr>
            <w:r>
              <w:rPr>
                <w:rFonts w:ascii="Arial" w:cs="Arial" w:eastAsia="Arial" w:hAnsi="Arial"/>
                <w:sz w:val="20"/>
                <w:szCs w:val="20"/>
                <w:color w:val="auto"/>
              </w:rPr>
              <w:t>[†]</w:t>
            </w:r>
          </w:p>
        </w:tc>
        <w:tc>
          <w:tcPr>
            <w:tcW w:w="1900" w:type="dxa"/>
            <w:vAlign w:val="bottom"/>
            <w:tcBorders>
              <w:bottom w:val="single" w:sz="8" w:color="auto"/>
              <w:right w:val="single" w:sz="8" w:color="auto"/>
            </w:tcBorders>
          </w:tcPr>
          <w:p>
            <w:pPr>
              <w:jc w:val="center"/>
              <w:spacing w:after="0" w:line="223" w:lineRule="exact"/>
              <w:rPr>
                <w:sz w:val="20"/>
                <w:szCs w:val="20"/>
                <w:color w:val="auto"/>
              </w:rPr>
            </w:pPr>
            <w:r>
              <w:rPr>
                <w:rFonts w:ascii="Arial" w:cs="Arial" w:eastAsia="Arial" w:hAnsi="Arial"/>
                <w:sz w:val="20"/>
                <w:szCs w:val="20"/>
                <w:color w:val="auto"/>
              </w:rPr>
              <w:t>[†]</w:t>
            </w:r>
          </w:p>
        </w:tc>
        <w:tc>
          <w:tcPr>
            <w:tcW w:w="3280" w:type="dxa"/>
            <w:vAlign w:val="bottom"/>
            <w:tcBorders>
              <w:bottom w:val="single" w:sz="8" w:color="auto"/>
              <w:right w:val="single" w:sz="8" w:color="auto"/>
            </w:tcBorders>
          </w:tcPr>
          <w:p>
            <w:pPr>
              <w:jc w:val="center"/>
              <w:spacing w:after="0" w:line="223" w:lineRule="exact"/>
              <w:rPr>
                <w:sz w:val="20"/>
                <w:szCs w:val="20"/>
                <w:color w:val="auto"/>
              </w:rPr>
            </w:pPr>
            <w:r>
              <w:rPr>
                <w:rFonts w:ascii="Arial" w:cs="Arial" w:eastAsia="Arial" w:hAnsi="Arial"/>
                <w:sz w:val="20"/>
                <w:szCs w:val="20"/>
                <w:color w:val="auto"/>
                <w:w w:val="98"/>
              </w:rPr>
              <w:t>[†]</w:t>
            </w:r>
          </w:p>
        </w:tc>
      </w:tr>
    </w:tbl>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right="40" w:firstLine="8"/>
        <w:spacing w:after="0" w:line="253" w:lineRule="auto"/>
        <w:tabs>
          <w:tab w:leader="none" w:pos="204" w:val="left"/>
        </w:tabs>
        <w:numPr>
          <w:ilvl w:val="0"/>
          <w:numId w:val="189"/>
        </w:numPr>
        <w:rPr>
          <w:rFonts w:ascii="Arial" w:cs="Arial" w:eastAsia="Arial" w:hAnsi="Arial"/>
          <w:sz w:val="14"/>
          <w:szCs w:val="14"/>
          <w:color w:val="auto"/>
        </w:rPr>
      </w:pPr>
      <w:r>
        <w:rPr>
          <w:rFonts w:ascii="Arial" w:cs="Arial" w:eastAsia="Arial" w:hAnsi="Arial"/>
          <w:sz w:val="14"/>
          <w:szCs w:val="14"/>
          <w:color w:val="auto"/>
        </w:rPr>
        <w:t>DESIGNATES PORTIONS OF THIS DOCUMENT THAT HAVE BEEN OMITTED PURSUANT TO A REQUEST FOR CONFIDENTIAL TREATMENT FILED SEPARATELY WITH THE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40640</wp:posOffset>
            </wp:positionV>
            <wp:extent cx="7289165" cy="42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6" w:right="239" w:bottom="1440" w:gutter="0" w:footer="0" w:header="0"/>
        </w:sectPr>
      </w:pPr>
    </w:p>
    <w:bookmarkStart w:id="138" w:name="page139"/>
    <w:bookmarkEnd w:id="138"/>
    <w:p>
      <w:pPr>
        <w:spacing w:after="0"/>
        <w:rPr>
          <w:sz w:val="20"/>
          <w:szCs w:val="20"/>
          <w:color w:val="auto"/>
        </w:rPr>
      </w:pPr>
      <w:r>
        <w:rPr>
          <w:rFonts w:ascii="Arial" w:cs="Arial" w:eastAsia="Arial" w:hAnsi="Arial"/>
          <w:sz w:val="22"/>
          <w:szCs w:val="22"/>
          <w:b w:val="1"/>
          <w:bCs w:val="1"/>
          <w:u w:val="single" w:color="auto"/>
          <w:color w:val="auto"/>
        </w:rPr>
        <w:t>Schedule 4 - Seller Disclosure Schedule</w:t>
      </w:r>
    </w:p>
    <w:p>
      <w:pPr>
        <w:spacing w:after="0" w:line="220" w:lineRule="exact"/>
        <w:rPr>
          <w:sz w:val="20"/>
          <w:szCs w:val="20"/>
          <w:color w:val="auto"/>
        </w:rPr>
      </w:pPr>
    </w:p>
    <w:p>
      <w:pPr>
        <w:ind w:right="140" w:firstLine="846"/>
        <w:spacing w:after="0" w:line="218" w:lineRule="auto"/>
        <w:rPr>
          <w:sz w:val="20"/>
          <w:szCs w:val="20"/>
          <w:color w:val="auto"/>
        </w:rPr>
      </w:pPr>
      <w:r>
        <w:rPr>
          <w:rFonts w:ascii="Arial" w:cs="Arial" w:eastAsia="Arial" w:hAnsi="Arial"/>
          <w:sz w:val="20"/>
          <w:szCs w:val="20"/>
          <w:color w:val="auto"/>
        </w:rPr>
        <w:t>This Seller Disclosure Schedule is delivered pursuant to that certain Asset Purchase Agreement (the “</w:t>
      </w:r>
      <w:r>
        <w:rPr>
          <w:rFonts w:ascii="Arial" w:cs="Arial" w:eastAsia="Arial" w:hAnsi="Arial"/>
          <w:sz w:val="20"/>
          <w:szCs w:val="20"/>
          <w:b w:val="1"/>
          <w:bCs w:val="1"/>
          <w:color w:val="auto"/>
        </w:rPr>
        <w:t>Agreement</w:t>
      </w:r>
      <w:r>
        <w:rPr>
          <w:rFonts w:ascii="Arial" w:cs="Arial" w:eastAsia="Arial" w:hAnsi="Arial"/>
          <w:sz w:val="20"/>
          <w:szCs w:val="20"/>
          <w:color w:val="auto"/>
        </w:rPr>
        <w:t>”), dated as of April 2</w:t>
      </w:r>
      <w:r>
        <w:rPr>
          <w:rFonts w:ascii="Arial" w:cs="Arial" w:eastAsia="Arial" w:hAnsi="Arial"/>
          <w:sz w:val="19"/>
          <w:szCs w:val="19"/>
          <w:color w:val="auto"/>
        </w:rPr>
        <w:t>5, 2017, by and between 1</w:t>
      </w:r>
      <w:r>
        <w:rPr>
          <w:rFonts w:ascii="Arial" w:cs="Arial" w:eastAsia="Arial" w:hAnsi="Arial"/>
          <w:sz w:val="33"/>
          <w:szCs w:val="33"/>
          <w:color w:val="auto"/>
          <w:vertAlign w:val="superscript"/>
        </w:rPr>
        <w:t>st</w:t>
      </w:r>
      <w:r>
        <w:rPr>
          <w:rFonts w:ascii="Arial" w:cs="Arial" w:eastAsia="Arial" w:hAnsi="Arial"/>
          <w:sz w:val="20"/>
          <w:szCs w:val="20"/>
          <w:color w:val="auto"/>
        </w:rPr>
        <w:t xml:space="preserve"> </w:t>
      </w:r>
      <w:r>
        <w:rPr>
          <w:rFonts w:ascii="Arial" w:cs="Arial" w:eastAsia="Arial" w:hAnsi="Arial"/>
          <w:sz w:val="19"/>
          <w:szCs w:val="19"/>
          <w:color w:val="auto"/>
        </w:rPr>
        <w:t>Order Pharmaceuticals, Inc., a Delaware corporation and Xenon Pharmaceuticals Inc., a corporation</w:t>
      </w:r>
      <w:r>
        <w:rPr>
          <w:rFonts w:ascii="Arial" w:cs="Arial" w:eastAsia="Arial" w:hAnsi="Arial"/>
          <w:sz w:val="20"/>
          <w:szCs w:val="20"/>
          <w:color w:val="auto"/>
        </w:rPr>
        <w:t xml:space="preserve"> </w:t>
      </w:r>
      <w:r>
        <w:rPr>
          <w:rFonts w:ascii="Arial" w:cs="Arial" w:eastAsia="Arial" w:hAnsi="Arial"/>
          <w:sz w:val="19"/>
          <w:szCs w:val="19"/>
          <w:color w:val="auto"/>
        </w:rPr>
        <w:t>continued under the federal laws of Canada. All capitalized terms used and not otherwise defined herein have the meanings ascribed thereto in the Agreement.</w:t>
      </w:r>
    </w:p>
    <w:p>
      <w:pPr>
        <w:spacing w:after="0" w:line="197" w:lineRule="exact"/>
        <w:rPr>
          <w:sz w:val="20"/>
          <w:szCs w:val="20"/>
          <w:color w:val="auto"/>
        </w:rPr>
      </w:pPr>
    </w:p>
    <w:p>
      <w:pPr>
        <w:ind w:right="80" w:firstLine="846"/>
        <w:spacing w:after="0" w:line="243" w:lineRule="auto"/>
        <w:rPr>
          <w:sz w:val="20"/>
          <w:szCs w:val="20"/>
          <w:color w:val="auto"/>
        </w:rPr>
      </w:pPr>
      <w:r>
        <w:rPr>
          <w:rFonts w:ascii="Arial" w:cs="Arial" w:eastAsia="Arial" w:hAnsi="Arial"/>
          <w:sz w:val="20"/>
          <w:szCs w:val="20"/>
          <w:color w:val="auto"/>
        </w:rPr>
        <w:t>Any disclosure hereunder shall not be deemed to be an admission or acknowledgment by the Seller that such information is material to, or outside the ordinary course of business of, the Seller. Nothing herein constitutes an admission of liability. Nothing in this Seller Disclosure Schedule is intended to broaden the scope of any representation or warranty contained in the Agreement or to create any covenant. Any disclosure made in one section of this Disclosure Schedule is deemed to be a disclosure in each other section of this Disclosure Schedule, whether or not specifically mentioned in such other section, to the extent that it is reasonably apparent from the disclosure that such disclosure is applicable to such other section.</w:t>
      </w:r>
    </w:p>
    <w:p>
      <w:pPr>
        <w:spacing w:after="0" w:line="197" w:lineRule="exact"/>
        <w:rPr>
          <w:sz w:val="20"/>
          <w:szCs w:val="20"/>
          <w:color w:val="auto"/>
        </w:rPr>
      </w:pPr>
    </w:p>
    <w:p>
      <w:pPr>
        <w:ind w:right="160" w:firstLine="846"/>
        <w:spacing w:after="0" w:line="246" w:lineRule="auto"/>
        <w:rPr>
          <w:sz w:val="20"/>
          <w:szCs w:val="20"/>
          <w:color w:val="auto"/>
        </w:rPr>
      </w:pPr>
      <w:r>
        <w:rPr>
          <w:rFonts w:ascii="Arial" w:cs="Arial" w:eastAsia="Arial" w:hAnsi="Arial"/>
          <w:sz w:val="20"/>
          <w:szCs w:val="20"/>
          <w:color w:val="auto"/>
        </w:rPr>
        <w:t>The sections of the Seller Disclosure Schedule are numbered to correspond to the applicable section of the Agreement. The Seller Disclosure Schedules set forth, among other things, items the disclosure of which is necessary or appropriate either in response to an express disclosure requirement contained in a provision of the Agreement or as an exception to one or more representations or warranties contained in the corresponding section of the Agreement.</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Schedule 4.3 - No Conflict; Authorizations.</w:t>
      </w:r>
    </w:p>
    <w:p>
      <w:pPr>
        <w:spacing w:after="0" w:line="217" w:lineRule="exact"/>
        <w:rPr>
          <w:sz w:val="20"/>
          <w:szCs w:val="20"/>
          <w:color w:val="auto"/>
        </w:rPr>
      </w:pPr>
    </w:p>
    <w:p>
      <w:pPr>
        <w:spacing w:after="0"/>
        <w:rPr>
          <w:sz w:val="20"/>
          <w:szCs w:val="20"/>
          <w:color w:val="auto"/>
        </w:rPr>
      </w:pPr>
      <w:r>
        <w:rPr>
          <w:rFonts w:ascii="Arial" w:cs="Arial" w:eastAsia="Arial" w:hAnsi="Arial"/>
          <w:sz w:val="20"/>
          <w:szCs w:val="20"/>
          <w:color w:val="auto"/>
        </w:rPr>
        <w:t>None.</w:t>
      </w:r>
    </w:p>
    <w:p>
      <w:pPr>
        <w:spacing w:after="0" w:line="205" w:lineRule="exact"/>
        <w:rPr>
          <w:sz w:val="20"/>
          <w:szCs w:val="20"/>
          <w:color w:val="auto"/>
        </w:rPr>
      </w:pPr>
    </w:p>
    <w:p>
      <w:pPr>
        <w:ind w:left="4740"/>
        <w:spacing w:after="0"/>
        <w:rPr>
          <w:sz w:val="20"/>
          <w:szCs w:val="20"/>
          <w:color w:val="auto"/>
        </w:rPr>
      </w:pPr>
      <w:r>
        <w:rPr>
          <w:rFonts w:ascii="Arial" w:cs="Arial" w:eastAsia="Arial" w:hAnsi="Arial"/>
          <w:sz w:val="22"/>
          <w:szCs w:val="22"/>
          <w:b w:val="1"/>
          <w:bCs w:val="1"/>
          <w:u w:val="single" w:color="auto"/>
          <w:color w:val="auto"/>
        </w:rPr>
        <w:t>4.6 - Non-cGMP API</w:t>
      </w:r>
    </w:p>
    <w:p>
      <w:pPr>
        <w:spacing w:after="0" w:line="217" w:lineRule="exact"/>
        <w:rPr>
          <w:sz w:val="20"/>
          <w:szCs w:val="20"/>
          <w:color w:val="auto"/>
        </w:rPr>
      </w:pPr>
    </w:p>
    <w:p>
      <w:pPr>
        <w:spacing w:after="0"/>
        <w:rPr>
          <w:sz w:val="20"/>
          <w:szCs w:val="20"/>
          <w:color w:val="auto"/>
        </w:rPr>
      </w:pPr>
      <w:r>
        <w:rPr>
          <w:rFonts w:ascii="Arial" w:cs="Arial" w:eastAsia="Arial" w:hAnsi="Arial"/>
          <w:sz w:val="20"/>
          <w:szCs w:val="20"/>
          <w:color w:val="auto"/>
        </w:rPr>
        <w:t>The following APIs were not manufactured in accordance with GMPs:</w:t>
      </w:r>
    </w:p>
    <w:p>
      <w:pPr>
        <w:spacing w:after="0" w:line="226" w:lineRule="exact"/>
        <w:rPr>
          <w:sz w:val="20"/>
          <w:szCs w:val="20"/>
          <w:color w:val="auto"/>
        </w:rPr>
      </w:pPr>
    </w:p>
    <w:tbl>
      <w:tblPr>
        <w:tblLayout w:type="fixed"/>
        <w:tblInd w:w="10" w:type="dxa"/>
        <w:tblCellMar>
          <w:top w:w="0" w:type="dxa"/>
          <w:left w:w="0" w:type="dxa"/>
          <w:bottom w:w="0" w:type="dxa"/>
          <w:right w:w="0" w:type="dxa"/>
        </w:tblCellMar>
      </w:tblPr>
      <w:tr>
        <w:trPr>
          <w:trHeight w:val="567"/>
        </w:trPr>
        <w:tc>
          <w:tcPr>
            <w:tcW w:w="232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2"/>
                <w:szCs w:val="22"/>
                <w:b w:val="1"/>
                <w:bCs w:val="1"/>
                <w:color w:val="auto"/>
                <w:w w:val="90"/>
              </w:rPr>
              <w:t>Lot/Batch</w:t>
            </w:r>
          </w:p>
        </w:tc>
        <w:tc>
          <w:tcPr>
            <w:tcW w:w="226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2"/>
                <w:szCs w:val="22"/>
                <w:b w:val="1"/>
                <w:bCs w:val="1"/>
                <w:color w:val="auto"/>
                <w:w w:val="91"/>
              </w:rPr>
              <w:t>Quantity</w:t>
            </w:r>
          </w:p>
        </w:tc>
        <w:tc>
          <w:tcPr>
            <w:tcW w:w="186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2"/>
                <w:szCs w:val="22"/>
                <w:b w:val="1"/>
                <w:bCs w:val="1"/>
                <w:color w:val="auto"/>
                <w:w w:val="87"/>
              </w:rPr>
              <w:t>Sent to Ricerca</w:t>
            </w:r>
          </w:p>
        </w:tc>
        <w:tc>
          <w:tcPr>
            <w:tcW w:w="218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2"/>
                <w:szCs w:val="22"/>
                <w:b w:val="1"/>
                <w:bCs w:val="1"/>
                <w:color w:val="auto"/>
                <w:w w:val="87"/>
              </w:rPr>
              <w:t>Last Storage</w:t>
            </w:r>
          </w:p>
        </w:tc>
        <w:tc>
          <w:tcPr>
            <w:tcW w:w="280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2"/>
                <w:szCs w:val="22"/>
                <w:b w:val="1"/>
                <w:bCs w:val="1"/>
                <w:color w:val="auto"/>
                <w:w w:val="85"/>
              </w:rPr>
              <w:t>Details</w:t>
            </w:r>
          </w:p>
        </w:tc>
      </w:tr>
      <w:tr>
        <w:trPr>
          <w:trHeight w:val="223"/>
        </w:trPr>
        <w:tc>
          <w:tcPr>
            <w:tcW w:w="2320" w:type="dxa"/>
            <w:vAlign w:val="bottom"/>
            <w:tcBorders>
              <w:left w:val="single" w:sz="8" w:color="auto"/>
              <w:bottom w:val="single" w:sz="8" w:color="auto"/>
              <w:right w:val="single" w:sz="8" w:color="auto"/>
            </w:tcBorders>
          </w:tcPr>
          <w:p>
            <w:pPr>
              <w:jc w:val="center"/>
              <w:spacing w:after="0" w:line="223" w:lineRule="exact"/>
              <w:rPr>
                <w:sz w:val="20"/>
                <w:szCs w:val="20"/>
                <w:color w:val="auto"/>
              </w:rPr>
            </w:pPr>
            <w:r>
              <w:rPr>
                <w:rFonts w:ascii="Arial" w:cs="Arial" w:eastAsia="Arial" w:hAnsi="Arial"/>
                <w:sz w:val="20"/>
                <w:szCs w:val="20"/>
                <w:color w:val="auto"/>
              </w:rPr>
              <w:t>[†]</w:t>
            </w:r>
          </w:p>
        </w:tc>
        <w:tc>
          <w:tcPr>
            <w:tcW w:w="2260" w:type="dxa"/>
            <w:vAlign w:val="bottom"/>
            <w:tcBorders>
              <w:bottom w:val="single" w:sz="8" w:color="auto"/>
              <w:right w:val="single" w:sz="8" w:color="auto"/>
            </w:tcBorders>
          </w:tcPr>
          <w:p>
            <w:pPr>
              <w:jc w:val="center"/>
              <w:spacing w:after="0" w:line="223" w:lineRule="exact"/>
              <w:rPr>
                <w:sz w:val="20"/>
                <w:szCs w:val="20"/>
                <w:color w:val="auto"/>
              </w:rPr>
            </w:pPr>
            <w:r>
              <w:rPr>
                <w:rFonts w:ascii="Arial" w:cs="Arial" w:eastAsia="Arial" w:hAnsi="Arial"/>
                <w:sz w:val="20"/>
                <w:szCs w:val="20"/>
                <w:color w:val="auto"/>
                <w:w w:val="98"/>
              </w:rPr>
              <w:t>[†]</w:t>
            </w:r>
          </w:p>
        </w:tc>
        <w:tc>
          <w:tcPr>
            <w:tcW w:w="1860" w:type="dxa"/>
            <w:vAlign w:val="bottom"/>
            <w:tcBorders>
              <w:bottom w:val="single" w:sz="8" w:color="auto"/>
              <w:right w:val="single" w:sz="8" w:color="auto"/>
            </w:tcBorders>
          </w:tcPr>
          <w:p>
            <w:pPr>
              <w:jc w:val="center"/>
              <w:spacing w:after="0" w:line="223" w:lineRule="exact"/>
              <w:rPr>
                <w:sz w:val="20"/>
                <w:szCs w:val="20"/>
                <w:color w:val="auto"/>
              </w:rPr>
            </w:pPr>
            <w:r>
              <w:rPr>
                <w:rFonts w:ascii="Arial" w:cs="Arial" w:eastAsia="Arial" w:hAnsi="Arial"/>
                <w:sz w:val="20"/>
                <w:szCs w:val="20"/>
                <w:color w:val="auto"/>
              </w:rPr>
              <w:t>[†]</w:t>
            </w:r>
          </w:p>
        </w:tc>
        <w:tc>
          <w:tcPr>
            <w:tcW w:w="2180" w:type="dxa"/>
            <w:vAlign w:val="bottom"/>
            <w:tcBorders>
              <w:bottom w:val="single" w:sz="8" w:color="auto"/>
              <w:right w:val="single" w:sz="8" w:color="auto"/>
            </w:tcBorders>
          </w:tcPr>
          <w:p>
            <w:pPr>
              <w:jc w:val="center"/>
              <w:spacing w:after="0" w:line="223" w:lineRule="exact"/>
              <w:rPr>
                <w:sz w:val="20"/>
                <w:szCs w:val="20"/>
                <w:color w:val="auto"/>
              </w:rPr>
            </w:pPr>
            <w:r>
              <w:rPr>
                <w:rFonts w:ascii="Arial" w:cs="Arial" w:eastAsia="Arial" w:hAnsi="Arial"/>
                <w:sz w:val="20"/>
                <w:szCs w:val="20"/>
                <w:color w:val="auto"/>
              </w:rPr>
              <w:t>[†]</w:t>
            </w:r>
          </w:p>
        </w:tc>
        <w:tc>
          <w:tcPr>
            <w:tcW w:w="2800" w:type="dxa"/>
            <w:vAlign w:val="bottom"/>
            <w:tcBorders>
              <w:bottom w:val="single" w:sz="8" w:color="auto"/>
              <w:right w:val="single" w:sz="8" w:color="auto"/>
            </w:tcBorders>
          </w:tcPr>
          <w:p>
            <w:pPr>
              <w:jc w:val="center"/>
              <w:spacing w:after="0" w:line="223" w:lineRule="exact"/>
              <w:rPr>
                <w:sz w:val="20"/>
                <w:szCs w:val="20"/>
                <w:color w:val="auto"/>
              </w:rPr>
            </w:pPr>
            <w:r>
              <w:rPr>
                <w:rFonts w:ascii="Arial" w:cs="Arial" w:eastAsia="Arial" w:hAnsi="Arial"/>
                <w:sz w:val="20"/>
                <w:szCs w:val="20"/>
                <w:color w:val="auto"/>
                <w:w w:val="98"/>
              </w:rPr>
              <w:t>[†]</w:t>
            </w:r>
          </w:p>
        </w:tc>
      </w:tr>
      <w:tr>
        <w:trPr>
          <w:trHeight w:val="223"/>
        </w:trPr>
        <w:tc>
          <w:tcPr>
            <w:tcW w:w="2320" w:type="dxa"/>
            <w:vAlign w:val="bottom"/>
            <w:tcBorders>
              <w:left w:val="single" w:sz="8" w:color="auto"/>
              <w:bottom w:val="single" w:sz="8" w:color="auto"/>
              <w:right w:val="single" w:sz="8" w:color="auto"/>
            </w:tcBorders>
          </w:tcPr>
          <w:p>
            <w:pPr>
              <w:jc w:val="center"/>
              <w:spacing w:after="0" w:line="223" w:lineRule="exact"/>
              <w:rPr>
                <w:sz w:val="20"/>
                <w:szCs w:val="20"/>
                <w:color w:val="auto"/>
              </w:rPr>
            </w:pPr>
            <w:r>
              <w:rPr>
                <w:rFonts w:ascii="Arial" w:cs="Arial" w:eastAsia="Arial" w:hAnsi="Arial"/>
                <w:sz w:val="20"/>
                <w:szCs w:val="20"/>
                <w:color w:val="auto"/>
              </w:rPr>
              <w:t>[†]</w:t>
            </w:r>
          </w:p>
        </w:tc>
        <w:tc>
          <w:tcPr>
            <w:tcW w:w="2260" w:type="dxa"/>
            <w:vAlign w:val="bottom"/>
            <w:tcBorders>
              <w:bottom w:val="single" w:sz="8" w:color="auto"/>
              <w:right w:val="single" w:sz="8" w:color="auto"/>
            </w:tcBorders>
          </w:tcPr>
          <w:p>
            <w:pPr>
              <w:jc w:val="center"/>
              <w:spacing w:after="0" w:line="223" w:lineRule="exact"/>
              <w:rPr>
                <w:sz w:val="20"/>
                <w:szCs w:val="20"/>
                <w:color w:val="auto"/>
              </w:rPr>
            </w:pPr>
            <w:r>
              <w:rPr>
                <w:rFonts w:ascii="Arial" w:cs="Arial" w:eastAsia="Arial" w:hAnsi="Arial"/>
                <w:sz w:val="20"/>
                <w:szCs w:val="20"/>
                <w:color w:val="auto"/>
                <w:w w:val="98"/>
              </w:rPr>
              <w:t>[†]</w:t>
            </w:r>
          </w:p>
        </w:tc>
        <w:tc>
          <w:tcPr>
            <w:tcW w:w="1860" w:type="dxa"/>
            <w:vAlign w:val="bottom"/>
            <w:tcBorders>
              <w:bottom w:val="single" w:sz="8" w:color="auto"/>
              <w:right w:val="single" w:sz="8" w:color="auto"/>
            </w:tcBorders>
          </w:tcPr>
          <w:p>
            <w:pPr>
              <w:jc w:val="center"/>
              <w:spacing w:after="0" w:line="223" w:lineRule="exact"/>
              <w:rPr>
                <w:sz w:val="20"/>
                <w:szCs w:val="20"/>
                <w:color w:val="auto"/>
              </w:rPr>
            </w:pPr>
            <w:r>
              <w:rPr>
                <w:rFonts w:ascii="Arial" w:cs="Arial" w:eastAsia="Arial" w:hAnsi="Arial"/>
                <w:sz w:val="20"/>
                <w:szCs w:val="20"/>
                <w:color w:val="auto"/>
              </w:rPr>
              <w:t>[†]</w:t>
            </w:r>
          </w:p>
        </w:tc>
        <w:tc>
          <w:tcPr>
            <w:tcW w:w="2180" w:type="dxa"/>
            <w:vAlign w:val="bottom"/>
            <w:tcBorders>
              <w:bottom w:val="single" w:sz="8" w:color="auto"/>
              <w:right w:val="single" w:sz="8" w:color="auto"/>
            </w:tcBorders>
          </w:tcPr>
          <w:p>
            <w:pPr>
              <w:jc w:val="center"/>
              <w:spacing w:after="0" w:line="223" w:lineRule="exact"/>
              <w:rPr>
                <w:sz w:val="20"/>
                <w:szCs w:val="20"/>
                <w:color w:val="auto"/>
              </w:rPr>
            </w:pPr>
            <w:r>
              <w:rPr>
                <w:rFonts w:ascii="Arial" w:cs="Arial" w:eastAsia="Arial" w:hAnsi="Arial"/>
                <w:sz w:val="20"/>
                <w:szCs w:val="20"/>
                <w:color w:val="auto"/>
              </w:rPr>
              <w:t>[†]</w:t>
            </w:r>
          </w:p>
        </w:tc>
        <w:tc>
          <w:tcPr>
            <w:tcW w:w="2800" w:type="dxa"/>
            <w:vAlign w:val="bottom"/>
            <w:tcBorders>
              <w:bottom w:val="single" w:sz="8" w:color="auto"/>
              <w:right w:val="single" w:sz="8" w:color="auto"/>
            </w:tcBorders>
          </w:tcPr>
          <w:p>
            <w:pPr>
              <w:jc w:val="center"/>
              <w:spacing w:after="0" w:line="223" w:lineRule="exact"/>
              <w:rPr>
                <w:sz w:val="20"/>
                <w:szCs w:val="20"/>
                <w:color w:val="auto"/>
              </w:rPr>
            </w:pPr>
            <w:r>
              <w:rPr>
                <w:rFonts w:ascii="Arial" w:cs="Arial" w:eastAsia="Arial" w:hAnsi="Arial"/>
                <w:sz w:val="20"/>
                <w:szCs w:val="20"/>
                <w:color w:val="auto"/>
                <w:w w:val="98"/>
              </w:rPr>
              <w:t>[†]</w:t>
            </w:r>
          </w:p>
        </w:tc>
      </w:tr>
      <w:tr>
        <w:trPr>
          <w:trHeight w:val="223"/>
        </w:trPr>
        <w:tc>
          <w:tcPr>
            <w:tcW w:w="2320" w:type="dxa"/>
            <w:vAlign w:val="bottom"/>
            <w:tcBorders>
              <w:left w:val="single" w:sz="8" w:color="auto"/>
              <w:bottom w:val="single" w:sz="8" w:color="auto"/>
              <w:right w:val="single" w:sz="8" w:color="auto"/>
            </w:tcBorders>
          </w:tcPr>
          <w:p>
            <w:pPr>
              <w:jc w:val="center"/>
              <w:spacing w:after="0" w:line="223" w:lineRule="exact"/>
              <w:rPr>
                <w:sz w:val="20"/>
                <w:szCs w:val="20"/>
                <w:color w:val="auto"/>
              </w:rPr>
            </w:pPr>
            <w:r>
              <w:rPr>
                <w:rFonts w:ascii="Arial" w:cs="Arial" w:eastAsia="Arial" w:hAnsi="Arial"/>
                <w:sz w:val="20"/>
                <w:szCs w:val="20"/>
                <w:color w:val="auto"/>
              </w:rPr>
              <w:t>[†]</w:t>
            </w:r>
          </w:p>
        </w:tc>
        <w:tc>
          <w:tcPr>
            <w:tcW w:w="2260" w:type="dxa"/>
            <w:vAlign w:val="bottom"/>
            <w:tcBorders>
              <w:bottom w:val="single" w:sz="8" w:color="auto"/>
              <w:right w:val="single" w:sz="8" w:color="auto"/>
            </w:tcBorders>
          </w:tcPr>
          <w:p>
            <w:pPr>
              <w:jc w:val="center"/>
              <w:spacing w:after="0" w:line="223" w:lineRule="exact"/>
              <w:rPr>
                <w:sz w:val="20"/>
                <w:szCs w:val="20"/>
                <w:color w:val="auto"/>
              </w:rPr>
            </w:pPr>
            <w:r>
              <w:rPr>
                <w:rFonts w:ascii="Arial" w:cs="Arial" w:eastAsia="Arial" w:hAnsi="Arial"/>
                <w:sz w:val="20"/>
                <w:szCs w:val="20"/>
                <w:color w:val="auto"/>
                <w:w w:val="98"/>
              </w:rPr>
              <w:t>[†]</w:t>
            </w:r>
          </w:p>
        </w:tc>
        <w:tc>
          <w:tcPr>
            <w:tcW w:w="1860" w:type="dxa"/>
            <w:vAlign w:val="bottom"/>
            <w:tcBorders>
              <w:bottom w:val="single" w:sz="8" w:color="auto"/>
              <w:right w:val="single" w:sz="8" w:color="auto"/>
            </w:tcBorders>
          </w:tcPr>
          <w:p>
            <w:pPr>
              <w:jc w:val="center"/>
              <w:spacing w:after="0" w:line="223" w:lineRule="exact"/>
              <w:rPr>
                <w:sz w:val="20"/>
                <w:szCs w:val="20"/>
                <w:color w:val="auto"/>
              </w:rPr>
            </w:pPr>
            <w:r>
              <w:rPr>
                <w:rFonts w:ascii="Arial" w:cs="Arial" w:eastAsia="Arial" w:hAnsi="Arial"/>
                <w:sz w:val="20"/>
                <w:szCs w:val="20"/>
                <w:color w:val="auto"/>
              </w:rPr>
              <w:t>[†]</w:t>
            </w:r>
          </w:p>
        </w:tc>
        <w:tc>
          <w:tcPr>
            <w:tcW w:w="2180" w:type="dxa"/>
            <w:vAlign w:val="bottom"/>
            <w:tcBorders>
              <w:bottom w:val="single" w:sz="8" w:color="auto"/>
              <w:right w:val="single" w:sz="8" w:color="auto"/>
            </w:tcBorders>
          </w:tcPr>
          <w:p>
            <w:pPr>
              <w:jc w:val="center"/>
              <w:spacing w:after="0" w:line="223" w:lineRule="exact"/>
              <w:rPr>
                <w:sz w:val="20"/>
                <w:szCs w:val="20"/>
                <w:color w:val="auto"/>
              </w:rPr>
            </w:pPr>
            <w:r>
              <w:rPr>
                <w:rFonts w:ascii="Arial" w:cs="Arial" w:eastAsia="Arial" w:hAnsi="Arial"/>
                <w:sz w:val="20"/>
                <w:szCs w:val="20"/>
                <w:color w:val="auto"/>
              </w:rPr>
              <w:t>[†]</w:t>
            </w:r>
          </w:p>
        </w:tc>
        <w:tc>
          <w:tcPr>
            <w:tcW w:w="2800" w:type="dxa"/>
            <w:vAlign w:val="bottom"/>
            <w:tcBorders>
              <w:bottom w:val="single" w:sz="8" w:color="auto"/>
              <w:right w:val="single" w:sz="8" w:color="auto"/>
            </w:tcBorders>
          </w:tcPr>
          <w:p>
            <w:pPr>
              <w:jc w:val="center"/>
              <w:spacing w:after="0" w:line="223" w:lineRule="exact"/>
              <w:rPr>
                <w:sz w:val="20"/>
                <w:szCs w:val="20"/>
                <w:color w:val="auto"/>
              </w:rPr>
            </w:pPr>
            <w:r>
              <w:rPr>
                <w:rFonts w:ascii="Arial" w:cs="Arial" w:eastAsia="Arial" w:hAnsi="Arial"/>
                <w:sz w:val="20"/>
                <w:szCs w:val="20"/>
                <w:color w:val="auto"/>
                <w:w w:val="98"/>
              </w:rPr>
              <w:t>[†]</w:t>
            </w:r>
          </w:p>
        </w:tc>
      </w:tr>
      <w:tr>
        <w:trPr>
          <w:trHeight w:val="223"/>
        </w:trPr>
        <w:tc>
          <w:tcPr>
            <w:tcW w:w="2320" w:type="dxa"/>
            <w:vAlign w:val="bottom"/>
            <w:tcBorders>
              <w:left w:val="single" w:sz="8" w:color="auto"/>
              <w:bottom w:val="single" w:sz="8" w:color="auto"/>
              <w:right w:val="single" w:sz="8" w:color="auto"/>
            </w:tcBorders>
          </w:tcPr>
          <w:p>
            <w:pPr>
              <w:jc w:val="center"/>
              <w:spacing w:after="0" w:line="223" w:lineRule="exact"/>
              <w:rPr>
                <w:sz w:val="20"/>
                <w:szCs w:val="20"/>
                <w:color w:val="auto"/>
              </w:rPr>
            </w:pPr>
            <w:r>
              <w:rPr>
                <w:rFonts w:ascii="Arial" w:cs="Arial" w:eastAsia="Arial" w:hAnsi="Arial"/>
                <w:sz w:val="20"/>
                <w:szCs w:val="20"/>
                <w:color w:val="auto"/>
              </w:rPr>
              <w:t>[†]</w:t>
            </w:r>
          </w:p>
        </w:tc>
        <w:tc>
          <w:tcPr>
            <w:tcW w:w="2260" w:type="dxa"/>
            <w:vAlign w:val="bottom"/>
            <w:tcBorders>
              <w:bottom w:val="single" w:sz="8" w:color="auto"/>
              <w:right w:val="single" w:sz="8" w:color="auto"/>
            </w:tcBorders>
          </w:tcPr>
          <w:p>
            <w:pPr>
              <w:jc w:val="center"/>
              <w:spacing w:after="0" w:line="223" w:lineRule="exact"/>
              <w:rPr>
                <w:sz w:val="20"/>
                <w:szCs w:val="20"/>
                <w:color w:val="auto"/>
              </w:rPr>
            </w:pPr>
            <w:r>
              <w:rPr>
                <w:rFonts w:ascii="Arial" w:cs="Arial" w:eastAsia="Arial" w:hAnsi="Arial"/>
                <w:sz w:val="20"/>
                <w:szCs w:val="20"/>
                <w:color w:val="auto"/>
                <w:w w:val="98"/>
              </w:rPr>
              <w:t>[†]</w:t>
            </w:r>
          </w:p>
        </w:tc>
        <w:tc>
          <w:tcPr>
            <w:tcW w:w="1860" w:type="dxa"/>
            <w:vAlign w:val="bottom"/>
            <w:tcBorders>
              <w:bottom w:val="single" w:sz="8" w:color="auto"/>
              <w:right w:val="single" w:sz="8" w:color="auto"/>
            </w:tcBorders>
          </w:tcPr>
          <w:p>
            <w:pPr>
              <w:jc w:val="center"/>
              <w:spacing w:after="0" w:line="223" w:lineRule="exact"/>
              <w:rPr>
                <w:sz w:val="20"/>
                <w:szCs w:val="20"/>
                <w:color w:val="auto"/>
              </w:rPr>
            </w:pPr>
            <w:r>
              <w:rPr>
                <w:rFonts w:ascii="Arial" w:cs="Arial" w:eastAsia="Arial" w:hAnsi="Arial"/>
                <w:sz w:val="20"/>
                <w:szCs w:val="20"/>
                <w:color w:val="auto"/>
              </w:rPr>
              <w:t>[†]</w:t>
            </w:r>
          </w:p>
        </w:tc>
        <w:tc>
          <w:tcPr>
            <w:tcW w:w="2180" w:type="dxa"/>
            <w:vAlign w:val="bottom"/>
            <w:tcBorders>
              <w:bottom w:val="single" w:sz="8" w:color="auto"/>
              <w:right w:val="single" w:sz="8" w:color="auto"/>
            </w:tcBorders>
          </w:tcPr>
          <w:p>
            <w:pPr>
              <w:jc w:val="center"/>
              <w:spacing w:after="0" w:line="223" w:lineRule="exact"/>
              <w:rPr>
                <w:sz w:val="20"/>
                <w:szCs w:val="20"/>
                <w:color w:val="auto"/>
              </w:rPr>
            </w:pPr>
            <w:r>
              <w:rPr>
                <w:rFonts w:ascii="Arial" w:cs="Arial" w:eastAsia="Arial" w:hAnsi="Arial"/>
                <w:sz w:val="20"/>
                <w:szCs w:val="20"/>
                <w:color w:val="auto"/>
              </w:rPr>
              <w:t>[†]</w:t>
            </w:r>
          </w:p>
        </w:tc>
        <w:tc>
          <w:tcPr>
            <w:tcW w:w="2800" w:type="dxa"/>
            <w:vAlign w:val="bottom"/>
            <w:tcBorders>
              <w:bottom w:val="single" w:sz="8" w:color="auto"/>
              <w:right w:val="single" w:sz="8" w:color="auto"/>
            </w:tcBorders>
          </w:tcPr>
          <w:p>
            <w:pPr>
              <w:jc w:val="center"/>
              <w:spacing w:after="0" w:line="223" w:lineRule="exact"/>
              <w:rPr>
                <w:sz w:val="20"/>
                <w:szCs w:val="20"/>
                <w:color w:val="auto"/>
              </w:rPr>
            </w:pPr>
            <w:r>
              <w:rPr>
                <w:rFonts w:ascii="Arial" w:cs="Arial" w:eastAsia="Arial" w:hAnsi="Arial"/>
                <w:sz w:val="20"/>
                <w:szCs w:val="20"/>
                <w:color w:val="auto"/>
                <w:w w:val="98"/>
              </w:rPr>
              <w:t>[†]</w:t>
            </w:r>
          </w:p>
        </w:tc>
      </w:tr>
      <w:tr>
        <w:trPr>
          <w:trHeight w:val="223"/>
        </w:trPr>
        <w:tc>
          <w:tcPr>
            <w:tcW w:w="2320" w:type="dxa"/>
            <w:vAlign w:val="bottom"/>
            <w:tcBorders>
              <w:left w:val="single" w:sz="8" w:color="auto"/>
              <w:bottom w:val="single" w:sz="8" w:color="auto"/>
              <w:right w:val="single" w:sz="8" w:color="auto"/>
            </w:tcBorders>
          </w:tcPr>
          <w:p>
            <w:pPr>
              <w:jc w:val="center"/>
              <w:spacing w:after="0" w:line="223" w:lineRule="exact"/>
              <w:rPr>
                <w:sz w:val="20"/>
                <w:szCs w:val="20"/>
                <w:color w:val="auto"/>
              </w:rPr>
            </w:pPr>
            <w:r>
              <w:rPr>
                <w:rFonts w:ascii="Arial" w:cs="Arial" w:eastAsia="Arial" w:hAnsi="Arial"/>
                <w:sz w:val="20"/>
                <w:szCs w:val="20"/>
                <w:color w:val="auto"/>
              </w:rPr>
              <w:t>[†]</w:t>
            </w:r>
          </w:p>
        </w:tc>
        <w:tc>
          <w:tcPr>
            <w:tcW w:w="2260" w:type="dxa"/>
            <w:vAlign w:val="bottom"/>
            <w:tcBorders>
              <w:bottom w:val="single" w:sz="8" w:color="auto"/>
              <w:right w:val="single" w:sz="8" w:color="auto"/>
            </w:tcBorders>
          </w:tcPr>
          <w:p>
            <w:pPr>
              <w:jc w:val="center"/>
              <w:spacing w:after="0" w:line="223" w:lineRule="exact"/>
              <w:rPr>
                <w:sz w:val="20"/>
                <w:szCs w:val="20"/>
                <w:color w:val="auto"/>
              </w:rPr>
            </w:pPr>
            <w:r>
              <w:rPr>
                <w:rFonts w:ascii="Arial" w:cs="Arial" w:eastAsia="Arial" w:hAnsi="Arial"/>
                <w:sz w:val="20"/>
                <w:szCs w:val="20"/>
                <w:color w:val="auto"/>
                <w:w w:val="98"/>
              </w:rPr>
              <w:t>[†]</w:t>
            </w:r>
          </w:p>
        </w:tc>
        <w:tc>
          <w:tcPr>
            <w:tcW w:w="1860" w:type="dxa"/>
            <w:vAlign w:val="bottom"/>
            <w:tcBorders>
              <w:bottom w:val="single" w:sz="8" w:color="auto"/>
              <w:right w:val="single" w:sz="8" w:color="auto"/>
            </w:tcBorders>
          </w:tcPr>
          <w:p>
            <w:pPr>
              <w:jc w:val="center"/>
              <w:spacing w:after="0" w:line="223" w:lineRule="exact"/>
              <w:rPr>
                <w:sz w:val="20"/>
                <w:szCs w:val="20"/>
                <w:color w:val="auto"/>
              </w:rPr>
            </w:pPr>
            <w:r>
              <w:rPr>
                <w:rFonts w:ascii="Arial" w:cs="Arial" w:eastAsia="Arial" w:hAnsi="Arial"/>
                <w:sz w:val="20"/>
                <w:szCs w:val="20"/>
                <w:color w:val="auto"/>
              </w:rPr>
              <w:t>[†]</w:t>
            </w:r>
          </w:p>
        </w:tc>
        <w:tc>
          <w:tcPr>
            <w:tcW w:w="2180" w:type="dxa"/>
            <w:vAlign w:val="bottom"/>
            <w:tcBorders>
              <w:bottom w:val="single" w:sz="8" w:color="auto"/>
              <w:right w:val="single" w:sz="8" w:color="auto"/>
            </w:tcBorders>
          </w:tcPr>
          <w:p>
            <w:pPr>
              <w:jc w:val="center"/>
              <w:spacing w:after="0" w:line="223" w:lineRule="exact"/>
              <w:rPr>
                <w:sz w:val="20"/>
                <w:szCs w:val="20"/>
                <w:color w:val="auto"/>
              </w:rPr>
            </w:pPr>
            <w:r>
              <w:rPr>
                <w:rFonts w:ascii="Arial" w:cs="Arial" w:eastAsia="Arial" w:hAnsi="Arial"/>
                <w:sz w:val="20"/>
                <w:szCs w:val="20"/>
                <w:color w:val="auto"/>
              </w:rPr>
              <w:t>[†]</w:t>
            </w:r>
          </w:p>
        </w:tc>
        <w:tc>
          <w:tcPr>
            <w:tcW w:w="2800" w:type="dxa"/>
            <w:vAlign w:val="bottom"/>
            <w:tcBorders>
              <w:bottom w:val="single" w:sz="8" w:color="auto"/>
              <w:right w:val="single" w:sz="8" w:color="auto"/>
            </w:tcBorders>
          </w:tcPr>
          <w:p>
            <w:pPr>
              <w:jc w:val="center"/>
              <w:spacing w:after="0" w:line="223" w:lineRule="exact"/>
              <w:rPr>
                <w:sz w:val="20"/>
                <w:szCs w:val="20"/>
                <w:color w:val="auto"/>
              </w:rPr>
            </w:pPr>
            <w:r>
              <w:rPr>
                <w:rFonts w:ascii="Arial" w:cs="Arial" w:eastAsia="Arial" w:hAnsi="Arial"/>
                <w:sz w:val="20"/>
                <w:szCs w:val="20"/>
                <w:color w:val="auto"/>
                <w:w w:val="98"/>
              </w:rPr>
              <w:t>[†]</w:t>
            </w:r>
          </w:p>
        </w:tc>
      </w:tr>
      <w:tr>
        <w:trPr>
          <w:trHeight w:val="223"/>
        </w:trPr>
        <w:tc>
          <w:tcPr>
            <w:tcW w:w="2320" w:type="dxa"/>
            <w:vAlign w:val="bottom"/>
            <w:tcBorders>
              <w:left w:val="single" w:sz="8" w:color="auto"/>
              <w:bottom w:val="single" w:sz="8" w:color="auto"/>
              <w:right w:val="single" w:sz="8" w:color="auto"/>
            </w:tcBorders>
          </w:tcPr>
          <w:p>
            <w:pPr>
              <w:jc w:val="center"/>
              <w:spacing w:after="0" w:line="223" w:lineRule="exact"/>
              <w:rPr>
                <w:sz w:val="20"/>
                <w:szCs w:val="20"/>
                <w:color w:val="auto"/>
              </w:rPr>
            </w:pPr>
            <w:r>
              <w:rPr>
                <w:rFonts w:ascii="Arial" w:cs="Arial" w:eastAsia="Arial" w:hAnsi="Arial"/>
                <w:sz w:val="20"/>
                <w:szCs w:val="20"/>
                <w:color w:val="auto"/>
              </w:rPr>
              <w:t>[†]</w:t>
            </w:r>
          </w:p>
        </w:tc>
        <w:tc>
          <w:tcPr>
            <w:tcW w:w="2260" w:type="dxa"/>
            <w:vAlign w:val="bottom"/>
            <w:tcBorders>
              <w:bottom w:val="single" w:sz="8" w:color="auto"/>
              <w:right w:val="single" w:sz="8" w:color="auto"/>
            </w:tcBorders>
          </w:tcPr>
          <w:p>
            <w:pPr>
              <w:jc w:val="center"/>
              <w:spacing w:after="0" w:line="223" w:lineRule="exact"/>
              <w:rPr>
                <w:sz w:val="20"/>
                <w:szCs w:val="20"/>
                <w:color w:val="auto"/>
              </w:rPr>
            </w:pPr>
            <w:r>
              <w:rPr>
                <w:rFonts w:ascii="Arial" w:cs="Arial" w:eastAsia="Arial" w:hAnsi="Arial"/>
                <w:sz w:val="20"/>
                <w:szCs w:val="20"/>
                <w:color w:val="auto"/>
                <w:w w:val="98"/>
              </w:rPr>
              <w:t>[†]</w:t>
            </w:r>
          </w:p>
        </w:tc>
        <w:tc>
          <w:tcPr>
            <w:tcW w:w="1860" w:type="dxa"/>
            <w:vAlign w:val="bottom"/>
            <w:tcBorders>
              <w:bottom w:val="single" w:sz="8" w:color="auto"/>
              <w:right w:val="single" w:sz="8" w:color="auto"/>
            </w:tcBorders>
          </w:tcPr>
          <w:p>
            <w:pPr>
              <w:jc w:val="center"/>
              <w:spacing w:after="0" w:line="223" w:lineRule="exact"/>
              <w:rPr>
                <w:sz w:val="20"/>
                <w:szCs w:val="20"/>
                <w:color w:val="auto"/>
              </w:rPr>
            </w:pPr>
            <w:r>
              <w:rPr>
                <w:rFonts w:ascii="Arial" w:cs="Arial" w:eastAsia="Arial" w:hAnsi="Arial"/>
                <w:sz w:val="20"/>
                <w:szCs w:val="20"/>
                <w:color w:val="auto"/>
              </w:rPr>
              <w:t>[†]</w:t>
            </w:r>
          </w:p>
        </w:tc>
        <w:tc>
          <w:tcPr>
            <w:tcW w:w="2180" w:type="dxa"/>
            <w:vAlign w:val="bottom"/>
            <w:tcBorders>
              <w:bottom w:val="single" w:sz="8" w:color="auto"/>
              <w:right w:val="single" w:sz="8" w:color="auto"/>
            </w:tcBorders>
          </w:tcPr>
          <w:p>
            <w:pPr>
              <w:jc w:val="center"/>
              <w:spacing w:after="0" w:line="223" w:lineRule="exact"/>
              <w:rPr>
                <w:sz w:val="20"/>
                <w:szCs w:val="20"/>
                <w:color w:val="auto"/>
              </w:rPr>
            </w:pPr>
            <w:r>
              <w:rPr>
                <w:rFonts w:ascii="Arial" w:cs="Arial" w:eastAsia="Arial" w:hAnsi="Arial"/>
                <w:sz w:val="20"/>
                <w:szCs w:val="20"/>
                <w:color w:val="auto"/>
              </w:rPr>
              <w:t>[†]</w:t>
            </w:r>
          </w:p>
        </w:tc>
        <w:tc>
          <w:tcPr>
            <w:tcW w:w="2800" w:type="dxa"/>
            <w:vAlign w:val="bottom"/>
            <w:tcBorders>
              <w:bottom w:val="single" w:sz="8" w:color="auto"/>
              <w:right w:val="single" w:sz="8" w:color="auto"/>
            </w:tcBorders>
          </w:tcPr>
          <w:p>
            <w:pPr>
              <w:jc w:val="center"/>
              <w:spacing w:after="0" w:line="223" w:lineRule="exact"/>
              <w:rPr>
                <w:sz w:val="20"/>
                <w:szCs w:val="20"/>
                <w:color w:val="auto"/>
              </w:rPr>
            </w:pPr>
            <w:r>
              <w:rPr>
                <w:rFonts w:ascii="Arial" w:cs="Arial" w:eastAsia="Arial" w:hAnsi="Arial"/>
                <w:sz w:val="20"/>
                <w:szCs w:val="20"/>
                <w:color w:val="auto"/>
                <w:w w:val="98"/>
              </w:rPr>
              <w:t>[†]</w:t>
            </w:r>
          </w:p>
        </w:tc>
      </w:tr>
      <w:tr>
        <w:trPr>
          <w:trHeight w:val="247"/>
        </w:trPr>
        <w:tc>
          <w:tcPr>
            <w:tcW w:w="232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rPr>
              <w:t>[†]</w:t>
            </w:r>
          </w:p>
        </w:tc>
        <w:tc>
          <w:tcPr>
            <w:tcW w:w="22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8"/>
              </w:rPr>
              <w:t>[†]</w:t>
            </w:r>
          </w:p>
        </w:tc>
        <w:tc>
          <w:tcPr>
            <w:tcW w:w="1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rPr>
              <w:t>[†]</w:t>
            </w:r>
          </w:p>
        </w:tc>
        <w:tc>
          <w:tcPr>
            <w:tcW w:w="21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rPr>
              <w:t>[†]</w:t>
            </w:r>
          </w:p>
        </w:tc>
        <w:tc>
          <w:tcPr>
            <w:tcW w:w="28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8"/>
              </w:rPr>
              <w:t>[†]</w:t>
            </w:r>
          </w:p>
        </w:tc>
      </w:tr>
      <w:tr>
        <w:trPr>
          <w:trHeight w:val="226"/>
        </w:trPr>
        <w:tc>
          <w:tcPr>
            <w:tcW w:w="2320" w:type="dxa"/>
            <w:vAlign w:val="bottom"/>
            <w:tcBorders>
              <w:left w:val="single" w:sz="8" w:color="auto"/>
              <w:bottom w:val="single" w:sz="8" w:color="auto"/>
              <w:right w:val="single" w:sz="8" w:color="auto"/>
            </w:tcBorders>
          </w:tcPr>
          <w:p>
            <w:pPr>
              <w:jc w:val="center"/>
              <w:spacing w:after="0" w:line="227" w:lineRule="exact"/>
              <w:rPr>
                <w:sz w:val="20"/>
                <w:szCs w:val="20"/>
                <w:color w:val="auto"/>
              </w:rPr>
            </w:pPr>
            <w:r>
              <w:rPr>
                <w:rFonts w:ascii="Arial" w:cs="Arial" w:eastAsia="Arial" w:hAnsi="Arial"/>
                <w:sz w:val="20"/>
                <w:szCs w:val="20"/>
                <w:color w:val="auto"/>
              </w:rPr>
              <w:t>[†]</w:t>
            </w:r>
          </w:p>
        </w:tc>
        <w:tc>
          <w:tcPr>
            <w:tcW w:w="2260" w:type="dxa"/>
            <w:vAlign w:val="bottom"/>
            <w:tcBorders>
              <w:bottom w:val="single" w:sz="8" w:color="auto"/>
              <w:right w:val="single" w:sz="8" w:color="auto"/>
            </w:tcBorders>
          </w:tcPr>
          <w:p>
            <w:pPr>
              <w:jc w:val="center"/>
              <w:spacing w:after="0" w:line="227" w:lineRule="exact"/>
              <w:rPr>
                <w:sz w:val="20"/>
                <w:szCs w:val="20"/>
                <w:color w:val="auto"/>
              </w:rPr>
            </w:pPr>
            <w:r>
              <w:rPr>
                <w:rFonts w:ascii="Arial" w:cs="Arial" w:eastAsia="Arial" w:hAnsi="Arial"/>
                <w:sz w:val="20"/>
                <w:szCs w:val="20"/>
                <w:color w:val="auto"/>
                <w:w w:val="98"/>
              </w:rPr>
              <w:t>[†]</w:t>
            </w:r>
          </w:p>
        </w:tc>
        <w:tc>
          <w:tcPr>
            <w:tcW w:w="1860" w:type="dxa"/>
            <w:vAlign w:val="bottom"/>
            <w:tcBorders>
              <w:bottom w:val="single" w:sz="8" w:color="auto"/>
              <w:right w:val="single" w:sz="8" w:color="auto"/>
            </w:tcBorders>
          </w:tcPr>
          <w:p>
            <w:pPr>
              <w:jc w:val="center"/>
              <w:spacing w:after="0" w:line="227" w:lineRule="exact"/>
              <w:rPr>
                <w:sz w:val="20"/>
                <w:szCs w:val="20"/>
                <w:color w:val="auto"/>
              </w:rPr>
            </w:pPr>
            <w:r>
              <w:rPr>
                <w:rFonts w:ascii="Arial" w:cs="Arial" w:eastAsia="Arial" w:hAnsi="Arial"/>
                <w:sz w:val="20"/>
                <w:szCs w:val="20"/>
                <w:color w:val="auto"/>
              </w:rPr>
              <w:t>[†]</w:t>
            </w:r>
          </w:p>
        </w:tc>
        <w:tc>
          <w:tcPr>
            <w:tcW w:w="2180" w:type="dxa"/>
            <w:vAlign w:val="bottom"/>
            <w:tcBorders>
              <w:bottom w:val="single" w:sz="8" w:color="auto"/>
              <w:right w:val="single" w:sz="8" w:color="auto"/>
            </w:tcBorders>
          </w:tcPr>
          <w:p>
            <w:pPr>
              <w:jc w:val="center"/>
              <w:spacing w:after="0" w:line="227" w:lineRule="exact"/>
              <w:rPr>
                <w:sz w:val="20"/>
                <w:szCs w:val="20"/>
                <w:color w:val="auto"/>
              </w:rPr>
            </w:pPr>
            <w:r>
              <w:rPr>
                <w:rFonts w:ascii="Arial" w:cs="Arial" w:eastAsia="Arial" w:hAnsi="Arial"/>
                <w:sz w:val="20"/>
                <w:szCs w:val="20"/>
                <w:color w:val="auto"/>
              </w:rPr>
              <w:t>[†]</w:t>
            </w:r>
          </w:p>
        </w:tc>
        <w:tc>
          <w:tcPr>
            <w:tcW w:w="2800" w:type="dxa"/>
            <w:vAlign w:val="bottom"/>
            <w:tcBorders>
              <w:bottom w:val="single" w:sz="8" w:color="auto"/>
              <w:right w:val="single" w:sz="8" w:color="auto"/>
            </w:tcBorders>
          </w:tcPr>
          <w:p>
            <w:pPr>
              <w:jc w:val="center"/>
              <w:spacing w:after="0" w:line="227" w:lineRule="exact"/>
              <w:rPr>
                <w:sz w:val="20"/>
                <w:szCs w:val="20"/>
                <w:color w:val="auto"/>
              </w:rPr>
            </w:pPr>
            <w:r>
              <w:rPr>
                <w:rFonts w:ascii="Arial" w:cs="Arial" w:eastAsia="Arial" w:hAnsi="Arial"/>
                <w:sz w:val="20"/>
                <w:szCs w:val="20"/>
                <w:color w:val="auto"/>
                <w:w w:val="98"/>
              </w:rPr>
              <w:t>[†]</w:t>
            </w:r>
          </w:p>
        </w:tc>
      </w:tr>
      <w:tr>
        <w:trPr>
          <w:trHeight w:val="223"/>
        </w:trPr>
        <w:tc>
          <w:tcPr>
            <w:tcW w:w="2320" w:type="dxa"/>
            <w:vAlign w:val="bottom"/>
            <w:tcBorders>
              <w:left w:val="single" w:sz="8" w:color="auto"/>
              <w:bottom w:val="single" w:sz="8" w:color="auto"/>
              <w:right w:val="single" w:sz="8" w:color="auto"/>
            </w:tcBorders>
          </w:tcPr>
          <w:p>
            <w:pPr>
              <w:jc w:val="center"/>
              <w:spacing w:after="0" w:line="223" w:lineRule="exact"/>
              <w:rPr>
                <w:sz w:val="20"/>
                <w:szCs w:val="20"/>
                <w:color w:val="auto"/>
              </w:rPr>
            </w:pPr>
            <w:r>
              <w:rPr>
                <w:rFonts w:ascii="Arial" w:cs="Arial" w:eastAsia="Arial" w:hAnsi="Arial"/>
                <w:sz w:val="20"/>
                <w:szCs w:val="20"/>
                <w:color w:val="auto"/>
              </w:rPr>
              <w:t>[†]</w:t>
            </w:r>
          </w:p>
        </w:tc>
        <w:tc>
          <w:tcPr>
            <w:tcW w:w="2260" w:type="dxa"/>
            <w:vAlign w:val="bottom"/>
            <w:tcBorders>
              <w:bottom w:val="single" w:sz="8" w:color="auto"/>
              <w:right w:val="single" w:sz="8" w:color="auto"/>
            </w:tcBorders>
          </w:tcPr>
          <w:p>
            <w:pPr>
              <w:jc w:val="center"/>
              <w:spacing w:after="0" w:line="223" w:lineRule="exact"/>
              <w:rPr>
                <w:sz w:val="20"/>
                <w:szCs w:val="20"/>
                <w:color w:val="auto"/>
              </w:rPr>
            </w:pPr>
            <w:r>
              <w:rPr>
                <w:rFonts w:ascii="Arial" w:cs="Arial" w:eastAsia="Arial" w:hAnsi="Arial"/>
                <w:sz w:val="20"/>
                <w:szCs w:val="20"/>
                <w:color w:val="auto"/>
                <w:w w:val="98"/>
              </w:rPr>
              <w:t>[†]</w:t>
            </w:r>
          </w:p>
        </w:tc>
        <w:tc>
          <w:tcPr>
            <w:tcW w:w="1860" w:type="dxa"/>
            <w:vAlign w:val="bottom"/>
            <w:tcBorders>
              <w:bottom w:val="single" w:sz="8" w:color="auto"/>
              <w:right w:val="single" w:sz="8" w:color="auto"/>
            </w:tcBorders>
          </w:tcPr>
          <w:p>
            <w:pPr>
              <w:jc w:val="center"/>
              <w:spacing w:after="0" w:line="223" w:lineRule="exact"/>
              <w:rPr>
                <w:sz w:val="20"/>
                <w:szCs w:val="20"/>
                <w:color w:val="auto"/>
              </w:rPr>
            </w:pPr>
            <w:r>
              <w:rPr>
                <w:rFonts w:ascii="Arial" w:cs="Arial" w:eastAsia="Arial" w:hAnsi="Arial"/>
                <w:sz w:val="20"/>
                <w:szCs w:val="20"/>
                <w:color w:val="auto"/>
              </w:rPr>
              <w:t>[†]</w:t>
            </w:r>
          </w:p>
        </w:tc>
        <w:tc>
          <w:tcPr>
            <w:tcW w:w="2180" w:type="dxa"/>
            <w:vAlign w:val="bottom"/>
            <w:tcBorders>
              <w:bottom w:val="single" w:sz="8" w:color="auto"/>
              <w:right w:val="single" w:sz="8" w:color="auto"/>
            </w:tcBorders>
          </w:tcPr>
          <w:p>
            <w:pPr>
              <w:jc w:val="center"/>
              <w:spacing w:after="0" w:line="223" w:lineRule="exact"/>
              <w:rPr>
                <w:sz w:val="20"/>
                <w:szCs w:val="20"/>
                <w:color w:val="auto"/>
              </w:rPr>
            </w:pPr>
            <w:r>
              <w:rPr>
                <w:rFonts w:ascii="Arial" w:cs="Arial" w:eastAsia="Arial" w:hAnsi="Arial"/>
                <w:sz w:val="20"/>
                <w:szCs w:val="20"/>
                <w:color w:val="auto"/>
              </w:rPr>
              <w:t>[†]</w:t>
            </w:r>
          </w:p>
        </w:tc>
        <w:tc>
          <w:tcPr>
            <w:tcW w:w="2800" w:type="dxa"/>
            <w:vAlign w:val="bottom"/>
            <w:tcBorders>
              <w:bottom w:val="single" w:sz="8" w:color="auto"/>
              <w:right w:val="single" w:sz="8" w:color="auto"/>
            </w:tcBorders>
          </w:tcPr>
          <w:p>
            <w:pPr>
              <w:jc w:val="center"/>
              <w:spacing w:after="0" w:line="223" w:lineRule="exact"/>
              <w:rPr>
                <w:sz w:val="20"/>
                <w:szCs w:val="20"/>
                <w:color w:val="auto"/>
              </w:rPr>
            </w:pPr>
            <w:r>
              <w:rPr>
                <w:rFonts w:ascii="Arial" w:cs="Arial" w:eastAsia="Arial" w:hAnsi="Arial"/>
                <w:sz w:val="20"/>
                <w:szCs w:val="20"/>
                <w:color w:val="auto"/>
                <w:w w:val="98"/>
              </w:rPr>
              <w:t>[†]</w:t>
            </w:r>
          </w:p>
        </w:tc>
      </w:tr>
      <w:tr>
        <w:trPr>
          <w:trHeight w:val="223"/>
        </w:trPr>
        <w:tc>
          <w:tcPr>
            <w:tcW w:w="2320" w:type="dxa"/>
            <w:vAlign w:val="bottom"/>
            <w:tcBorders>
              <w:left w:val="single" w:sz="8" w:color="auto"/>
              <w:bottom w:val="single" w:sz="8" w:color="auto"/>
              <w:right w:val="single" w:sz="8" w:color="auto"/>
            </w:tcBorders>
          </w:tcPr>
          <w:p>
            <w:pPr>
              <w:jc w:val="center"/>
              <w:spacing w:after="0" w:line="223" w:lineRule="exact"/>
              <w:rPr>
                <w:sz w:val="20"/>
                <w:szCs w:val="20"/>
                <w:color w:val="auto"/>
              </w:rPr>
            </w:pPr>
            <w:r>
              <w:rPr>
                <w:rFonts w:ascii="Arial" w:cs="Arial" w:eastAsia="Arial" w:hAnsi="Arial"/>
                <w:sz w:val="20"/>
                <w:szCs w:val="20"/>
                <w:color w:val="auto"/>
              </w:rPr>
              <w:t>[†]</w:t>
            </w:r>
          </w:p>
        </w:tc>
        <w:tc>
          <w:tcPr>
            <w:tcW w:w="2260" w:type="dxa"/>
            <w:vAlign w:val="bottom"/>
            <w:tcBorders>
              <w:bottom w:val="single" w:sz="8" w:color="auto"/>
              <w:right w:val="single" w:sz="8" w:color="auto"/>
            </w:tcBorders>
          </w:tcPr>
          <w:p>
            <w:pPr>
              <w:jc w:val="center"/>
              <w:spacing w:after="0" w:line="223" w:lineRule="exact"/>
              <w:rPr>
                <w:sz w:val="20"/>
                <w:szCs w:val="20"/>
                <w:color w:val="auto"/>
              </w:rPr>
            </w:pPr>
            <w:r>
              <w:rPr>
                <w:rFonts w:ascii="Arial" w:cs="Arial" w:eastAsia="Arial" w:hAnsi="Arial"/>
                <w:sz w:val="20"/>
                <w:szCs w:val="20"/>
                <w:color w:val="auto"/>
                <w:w w:val="98"/>
              </w:rPr>
              <w:t>[†]</w:t>
            </w:r>
          </w:p>
        </w:tc>
        <w:tc>
          <w:tcPr>
            <w:tcW w:w="1860" w:type="dxa"/>
            <w:vAlign w:val="bottom"/>
            <w:tcBorders>
              <w:bottom w:val="single" w:sz="8" w:color="auto"/>
              <w:right w:val="single" w:sz="8" w:color="auto"/>
            </w:tcBorders>
          </w:tcPr>
          <w:p>
            <w:pPr>
              <w:jc w:val="center"/>
              <w:spacing w:after="0" w:line="223" w:lineRule="exact"/>
              <w:rPr>
                <w:sz w:val="20"/>
                <w:szCs w:val="20"/>
                <w:color w:val="auto"/>
              </w:rPr>
            </w:pPr>
            <w:r>
              <w:rPr>
                <w:rFonts w:ascii="Arial" w:cs="Arial" w:eastAsia="Arial" w:hAnsi="Arial"/>
                <w:sz w:val="20"/>
                <w:szCs w:val="20"/>
                <w:color w:val="auto"/>
              </w:rPr>
              <w:t>[†]</w:t>
            </w:r>
          </w:p>
        </w:tc>
        <w:tc>
          <w:tcPr>
            <w:tcW w:w="2180" w:type="dxa"/>
            <w:vAlign w:val="bottom"/>
            <w:tcBorders>
              <w:bottom w:val="single" w:sz="8" w:color="auto"/>
              <w:right w:val="single" w:sz="8" w:color="auto"/>
            </w:tcBorders>
          </w:tcPr>
          <w:p>
            <w:pPr>
              <w:jc w:val="center"/>
              <w:spacing w:after="0" w:line="223" w:lineRule="exact"/>
              <w:rPr>
                <w:sz w:val="20"/>
                <w:szCs w:val="20"/>
                <w:color w:val="auto"/>
              </w:rPr>
            </w:pPr>
            <w:r>
              <w:rPr>
                <w:rFonts w:ascii="Arial" w:cs="Arial" w:eastAsia="Arial" w:hAnsi="Arial"/>
                <w:sz w:val="20"/>
                <w:szCs w:val="20"/>
                <w:color w:val="auto"/>
              </w:rPr>
              <w:t>[†]</w:t>
            </w:r>
          </w:p>
        </w:tc>
        <w:tc>
          <w:tcPr>
            <w:tcW w:w="2800" w:type="dxa"/>
            <w:vAlign w:val="bottom"/>
            <w:tcBorders>
              <w:bottom w:val="single" w:sz="8" w:color="auto"/>
              <w:right w:val="single" w:sz="8" w:color="auto"/>
            </w:tcBorders>
          </w:tcPr>
          <w:p>
            <w:pPr>
              <w:jc w:val="center"/>
              <w:spacing w:after="0" w:line="223" w:lineRule="exact"/>
              <w:rPr>
                <w:sz w:val="20"/>
                <w:szCs w:val="20"/>
                <w:color w:val="auto"/>
              </w:rPr>
            </w:pPr>
            <w:r>
              <w:rPr>
                <w:rFonts w:ascii="Arial" w:cs="Arial" w:eastAsia="Arial" w:hAnsi="Arial"/>
                <w:sz w:val="20"/>
                <w:szCs w:val="20"/>
                <w:color w:val="auto"/>
                <w:w w:val="98"/>
              </w:rPr>
              <w:t>[†]</w:t>
            </w:r>
          </w:p>
        </w:tc>
      </w:tr>
      <w:tr>
        <w:trPr>
          <w:trHeight w:val="223"/>
        </w:trPr>
        <w:tc>
          <w:tcPr>
            <w:tcW w:w="2320" w:type="dxa"/>
            <w:vAlign w:val="bottom"/>
            <w:tcBorders>
              <w:left w:val="single" w:sz="8" w:color="auto"/>
              <w:bottom w:val="single" w:sz="8" w:color="auto"/>
              <w:right w:val="single" w:sz="8" w:color="auto"/>
            </w:tcBorders>
          </w:tcPr>
          <w:p>
            <w:pPr>
              <w:jc w:val="center"/>
              <w:spacing w:after="0" w:line="223" w:lineRule="exact"/>
              <w:rPr>
                <w:sz w:val="20"/>
                <w:szCs w:val="20"/>
                <w:color w:val="auto"/>
              </w:rPr>
            </w:pPr>
            <w:r>
              <w:rPr>
                <w:rFonts w:ascii="Arial" w:cs="Arial" w:eastAsia="Arial" w:hAnsi="Arial"/>
                <w:sz w:val="20"/>
                <w:szCs w:val="20"/>
                <w:color w:val="auto"/>
              </w:rPr>
              <w:t>[†]</w:t>
            </w:r>
          </w:p>
        </w:tc>
        <w:tc>
          <w:tcPr>
            <w:tcW w:w="2260" w:type="dxa"/>
            <w:vAlign w:val="bottom"/>
            <w:tcBorders>
              <w:bottom w:val="single" w:sz="8" w:color="auto"/>
              <w:right w:val="single" w:sz="8" w:color="auto"/>
            </w:tcBorders>
          </w:tcPr>
          <w:p>
            <w:pPr>
              <w:jc w:val="center"/>
              <w:spacing w:after="0" w:line="223" w:lineRule="exact"/>
              <w:rPr>
                <w:sz w:val="20"/>
                <w:szCs w:val="20"/>
                <w:color w:val="auto"/>
              </w:rPr>
            </w:pPr>
            <w:r>
              <w:rPr>
                <w:rFonts w:ascii="Arial" w:cs="Arial" w:eastAsia="Arial" w:hAnsi="Arial"/>
                <w:sz w:val="20"/>
                <w:szCs w:val="20"/>
                <w:color w:val="auto"/>
                <w:w w:val="98"/>
              </w:rPr>
              <w:t>[†]</w:t>
            </w:r>
          </w:p>
        </w:tc>
        <w:tc>
          <w:tcPr>
            <w:tcW w:w="1860" w:type="dxa"/>
            <w:vAlign w:val="bottom"/>
            <w:tcBorders>
              <w:bottom w:val="single" w:sz="8" w:color="auto"/>
              <w:right w:val="single" w:sz="8" w:color="auto"/>
            </w:tcBorders>
          </w:tcPr>
          <w:p>
            <w:pPr>
              <w:jc w:val="center"/>
              <w:spacing w:after="0" w:line="223" w:lineRule="exact"/>
              <w:rPr>
                <w:sz w:val="20"/>
                <w:szCs w:val="20"/>
                <w:color w:val="auto"/>
              </w:rPr>
            </w:pPr>
            <w:r>
              <w:rPr>
                <w:rFonts w:ascii="Arial" w:cs="Arial" w:eastAsia="Arial" w:hAnsi="Arial"/>
                <w:sz w:val="20"/>
                <w:szCs w:val="20"/>
                <w:color w:val="auto"/>
              </w:rPr>
              <w:t>[†]</w:t>
            </w:r>
          </w:p>
        </w:tc>
        <w:tc>
          <w:tcPr>
            <w:tcW w:w="2180" w:type="dxa"/>
            <w:vAlign w:val="bottom"/>
            <w:tcBorders>
              <w:bottom w:val="single" w:sz="8" w:color="auto"/>
              <w:right w:val="single" w:sz="8" w:color="auto"/>
            </w:tcBorders>
          </w:tcPr>
          <w:p>
            <w:pPr>
              <w:jc w:val="center"/>
              <w:spacing w:after="0" w:line="223" w:lineRule="exact"/>
              <w:rPr>
                <w:sz w:val="20"/>
                <w:szCs w:val="20"/>
                <w:color w:val="auto"/>
              </w:rPr>
            </w:pPr>
            <w:r>
              <w:rPr>
                <w:rFonts w:ascii="Arial" w:cs="Arial" w:eastAsia="Arial" w:hAnsi="Arial"/>
                <w:sz w:val="20"/>
                <w:szCs w:val="20"/>
                <w:color w:val="auto"/>
              </w:rPr>
              <w:t>[†]</w:t>
            </w:r>
          </w:p>
        </w:tc>
        <w:tc>
          <w:tcPr>
            <w:tcW w:w="2800" w:type="dxa"/>
            <w:vAlign w:val="bottom"/>
            <w:tcBorders>
              <w:bottom w:val="single" w:sz="8" w:color="auto"/>
              <w:right w:val="single" w:sz="8" w:color="auto"/>
            </w:tcBorders>
          </w:tcPr>
          <w:p>
            <w:pPr>
              <w:jc w:val="center"/>
              <w:spacing w:after="0" w:line="223" w:lineRule="exact"/>
              <w:rPr>
                <w:sz w:val="20"/>
                <w:szCs w:val="20"/>
                <w:color w:val="auto"/>
              </w:rPr>
            </w:pPr>
            <w:r>
              <w:rPr>
                <w:rFonts w:ascii="Arial" w:cs="Arial" w:eastAsia="Arial" w:hAnsi="Arial"/>
                <w:sz w:val="20"/>
                <w:szCs w:val="20"/>
                <w:color w:val="auto"/>
                <w:w w:val="98"/>
              </w:rPr>
              <w:t>[†]</w:t>
            </w:r>
          </w:p>
        </w:tc>
      </w:tr>
      <w:tr>
        <w:trPr>
          <w:trHeight w:val="223"/>
        </w:trPr>
        <w:tc>
          <w:tcPr>
            <w:tcW w:w="2320" w:type="dxa"/>
            <w:vAlign w:val="bottom"/>
            <w:tcBorders>
              <w:left w:val="single" w:sz="8" w:color="auto"/>
              <w:bottom w:val="single" w:sz="8" w:color="auto"/>
              <w:right w:val="single" w:sz="8" w:color="auto"/>
            </w:tcBorders>
          </w:tcPr>
          <w:p>
            <w:pPr>
              <w:jc w:val="center"/>
              <w:spacing w:after="0" w:line="223" w:lineRule="exact"/>
              <w:rPr>
                <w:sz w:val="20"/>
                <w:szCs w:val="20"/>
                <w:color w:val="auto"/>
              </w:rPr>
            </w:pPr>
            <w:r>
              <w:rPr>
                <w:rFonts w:ascii="Arial" w:cs="Arial" w:eastAsia="Arial" w:hAnsi="Arial"/>
                <w:sz w:val="20"/>
                <w:szCs w:val="20"/>
                <w:color w:val="auto"/>
              </w:rPr>
              <w:t>[†]</w:t>
            </w:r>
          </w:p>
        </w:tc>
        <w:tc>
          <w:tcPr>
            <w:tcW w:w="2260" w:type="dxa"/>
            <w:vAlign w:val="bottom"/>
            <w:tcBorders>
              <w:bottom w:val="single" w:sz="8" w:color="auto"/>
              <w:right w:val="single" w:sz="8" w:color="auto"/>
            </w:tcBorders>
          </w:tcPr>
          <w:p>
            <w:pPr>
              <w:jc w:val="center"/>
              <w:spacing w:after="0" w:line="223" w:lineRule="exact"/>
              <w:rPr>
                <w:sz w:val="20"/>
                <w:szCs w:val="20"/>
                <w:color w:val="auto"/>
              </w:rPr>
            </w:pPr>
            <w:r>
              <w:rPr>
                <w:rFonts w:ascii="Arial" w:cs="Arial" w:eastAsia="Arial" w:hAnsi="Arial"/>
                <w:sz w:val="20"/>
                <w:szCs w:val="20"/>
                <w:color w:val="auto"/>
                <w:w w:val="98"/>
              </w:rPr>
              <w:t>[†]</w:t>
            </w:r>
          </w:p>
        </w:tc>
        <w:tc>
          <w:tcPr>
            <w:tcW w:w="1860" w:type="dxa"/>
            <w:vAlign w:val="bottom"/>
            <w:tcBorders>
              <w:bottom w:val="single" w:sz="8" w:color="auto"/>
              <w:right w:val="single" w:sz="8" w:color="auto"/>
            </w:tcBorders>
          </w:tcPr>
          <w:p>
            <w:pPr>
              <w:jc w:val="center"/>
              <w:spacing w:after="0" w:line="223" w:lineRule="exact"/>
              <w:rPr>
                <w:sz w:val="20"/>
                <w:szCs w:val="20"/>
                <w:color w:val="auto"/>
              </w:rPr>
            </w:pPr>
            <w:r>
              <w:rPr>
                <w:rFonts w:ascii="Arial" w:cs="Arial" w:eastAsia="Arial" w:hAnsi="Arial"/>
                <w:sz w:val="20"/>
                <w:szCs w:val="20"/>
                <w:color w:val="auto"/>
              </w:rPr>
              <w:t>[†]</w:t>
            </w:r>
          </w:p>
        </w:tc>
        <w:tc>
          <w:tcPr>
            <w:tcW w:w="2180" w:type="dxa"/>
            <w:vAlign w:val="bottom"/>
            <w:tcBorders>
              <w:bottom w:val="single" w:sz="8" w:color="auto"/>
              <w:right w:val="single" w:sz="8" w:color="auto"/>
            </w:tcBorders>
          </w:tcPr>
          <w:p>
            <w:pPr>
              <w:jc w:val="center"/>
              <w:spacing w:after="0" w:line="223" w:lineRule="exact"/>
              <w:rPr>
                <w:sz w:val="20"/>
                <w:szCs w:val="20"/>
                <w:color w:val="auto"/>
              </w:rPr>
            </w:pPr>
            <w:r>
              <w:rPr>
                <w:rFonts w:ascii="Arial" w:cs="Arial" w:eastAsia="Arial" w:hAnsi="Arial"/>
                <w:sz w:val="20"/>
                <w:szCs w:val="20"/>
                <w:color w:val="auto"/>
              </w:rPr>
              <w:t>[†]</w:t>
            </w:r>
          </w:p>
        </w:tc>
        <w:tc>
          <w:tcPr>
            <w:tcW w:w="2800" w:type="dxa"/>
            <w:vAlign w:val="bottom"/>
            <w:tcBorders>
              <w:bottom w:val="single" w:sz="8" w:color="auto"/>
              <w:right w:val="single" w:sz="8" w:color="auto"/>
            </w:tcBorders>
          </w:tcPr>
          <w:p>
            <w:pPr>
              <w:jc w:val="center"/>
              <w:spacing w:after="0" w:line="223" w:lineRule="exact"/>
              <w:rPr>
                <w:sz w:val="20"/>
                <w:szCs w:val="20"/>
                <w:color w:val="auto"/>
              </w:rPr>
            </w:pPr>
            <w:r>
              <w:rPr>
                <w:rFonts w:ascii="Arial" w:cs="Arial" w:eastAsia="Arial" w:hAnsi="Arial"/>
                <w:sz w:val="20"/>
                <w:szCs w:val="20"/>
                <w:color w:val="auto"/>
                <w:w w:val="98"/>
              </w:rPr>
              <w:t>[†]</w:t>
            </w:r>
          </w:p>
        </w:tc>
      </w:tr>
      <w:tr>
        <w:trPr>
          <w:trHeight w:val="223"/>
        </w:trPr>
        <w:tc>
          <w:tcPr>
            <w:tcW w:w="2320" w:type="dxa"/>
            <w:vAlign w:val="bottom"/>
            <w:tcBorders>
              <w:left w:val="single" w:sz="8" w:color="auto"/>
              <w:bottom w:val="single" w:sz="8" w:color="auto"/>
              <w:right w:val="single" w:sz="8" w:color="auto"/>
            </w:tcBorders>
          </w:tcPr>
          <w:p>
            <w:pPr>
              <w:jc w:val="center"/>
              <w:spacing w:after="0" w:line="223" w:lineRule="exact"/>
              <w:rPr>
                <w:sz w:val="20"/>
                <w:szCs w:val="20"/>
                <w:color w:val="auto"/>
              </w:rPr>
            </w:pPr>
            <w:r>
              <w:rPr>
                <w:rFonts w:ascii="Arial" w:cs="Arial" w:eastAsia="Arial" w:hAnsi="Arial"/>
                <w:sz w:val="20"/>
                <w:szCs w:val="20"/>
                <w:color w:val="auto"/>
              </w:rPr>
              <w:t>[†]</w:t>
            </w:r>
          </w:p>
        </w:tc>
        <w:tc>
          <w:tcPr>
            <w:tcW w:w="2260" w:type="dxa"/>
            <w:vAlign w:val="bottom"/>
            <w:tcBorders>
              <w:bottom w:val="single" w:sz="8" w:color="auto"/>
              <w:right w:val="single" w:sz="8" w:color="auto"/>
            </w:tcBorders>
          </w:tcPr>
          <w:p>
            <w:pPr>
              <w:jc w:val="center"/>
              <w:spacing w:after="0" w:line="223" w:lineRule="exact"/>
              <w:rPr>
                <w:sz w:val="20"/>
                <w:szCs w:val="20"/>
                <w:color w:val="auto"/>
              </w:rPr>
            </w:pPr>
            <w:r>
              <w:rPr>
                <w:rFonts w:ascii="Arial" w:cs="Arial" w:eastAsia="Arial" w:hAnsi="Arial"/>
                <w:sz w:val="20"/>
                <w:szCs w:val="20"/>
                <w:color w:val="auto"/>
                <w:w w:val="98"/>
              </w:rPr>
              <w:t>[†]</w:t>
            </w:r>
          </w:p>
        </w:tc>
        <w:tc>
          <w:tcPr>
            <w:tcW w:w="1860" w:type="dxa"/>
            <w:vAlign w:val="bottom"/>
            <w:tcBorders>
              <w:bottom w:val="single" w:sz="8" w:color="auto"/>
              <w:right w:val="single" w:sz="8" w:color="auto"/>
            </w:tcBorders>
          </w:tcPr>
          <w:p>
            <w:pPr>
              <w:jc w:val="center"/>
              <w:spacing w:after="0" w:line="223" w:lineRule="exact"/>
              <w:rPr>
                <w:sz w:val="20"/>
                <w:szCs w:val="20"/>
                <w:color w:val="auto"/>
              </w:rPr>
            </w:pPr>
            <w:r>
              <w:rPr>
                <w:rFonts w:ascii="Arial" w:cs="Arial" w:eastAsia="Arial" w:hAnsi="Arial"/>
                <w:sz w:val="20"/>
                <w:szCs w:val="20"/>
                <w:color w:val="auto"/>
              </w:rPr>
              <w:t>[†]</w:t>
            </w:r>
          </w:p>
        </w:tc>
        <w:tc>
          <w:tcPr>
            <w:tcW w:w="2180" w:type="dxa"/>
            <w:vAlign w:val="bottom"/>
            <w:tcBorders>
              <w:bottom w:val="single" w:sz="8" w:color="auto"/>
              <w:right w:val="single" w:sz="8" w:color="auto"/>
            </w:tcBorders>
          </w:tcPr>
          <w:p>
            <w:pPr>
              <w:jc w:val="center"/>
              <w:spacing w:after="0" w:line="223" w:lineRule="exact"/>
              <w:rPr>
                <w:sz w:val="20"/>
                <w:szCs w:val="20"/>
                <w:color w:val="auto"/>
              </w:rPr>
            </w:pPr>
            <w:r>
              <w:rPr>
                <w:rFonts w:ascii="Arial" w:cs="Arial" w:eastAsia="Arial" w:hAnsi="Arial"/>
                <w:sz w:val="20"/>
                <w:szCs w:val="20"/>
                <w:color w:val="auto"/>
              </w:rPr>
              <w:t>[†]</w:t>
            </w:r>
          </w:p>
        </w:tc>
        <w:tc>
          <w:tcPr>
            <w:tcW w:w="2800" w:type="dxa"/>
            <w:vAlign w:val="bottom"/>
            <w:tcBorders>
              <w:bottom w:val="single" w:sz="8" w:color="auto"/>
              <w:right w:val="single" w:sz="8" w:color="auto"/>
            </w:tcBorders>
          </w:tcPr>
          <w:p>
            <w:pPr>
              <w:jc w:val="center"/>
              <w:spacing w:after="0" w:line="223" w:lineRule="exact"/>
              <w:rPr>
                <w:sz w:val="20"/>
                <w:szCs w:val="20"/>
                <w:color w:val="auto"/>
              </w:rPr>
            </w:pPr>
            <w:r>
              <w:rPr>
                <w:rFonts w:ascii="Arial" w:cs="Arial" w:eastAsia="Arial" w:hAnsi="Arial"/>
                <w:sz w:val="20"/>
                <w:szCs w:val="20"/>
                <w:color w:val="auto"/>
                <w:w w:val="98"/>
              </w:rPr>
              <w:t>[†]</w:t>
            </w:r>
          </w:p>
        </w:tc>
      </w:tr>
      <w:tr>
        <w:trPr>
          <w:trHeight w:val="223"/>
        </w:trPr>
        <w:tc>
          <w:tcPr>
            <w:tcW w:w="2320" w:type="dxa"/>
            <w:vAlign w:val="bottom"/>
            <w:tcBorders>
              <w:left w:val="single" w:sz="8" w:color="auto"/>
              <w:bottom w:val="single" w:sz="8" w:color="auto"/>
              <w:right w:val="single" w:sz="8" w:color="auto"/>
            </w:tcBorders>
          </w:tcPr>
          <w:p>
            <w:pPr>
              <w:jc w:val="center"/>
              <w:spacing w:after="0" w:line="223" w:lineRule="exact"/>
              <w:rPr>
                <w:sz w:val="20"/>
                <w:szCs w:val="20"/>
                <w:color w:val="auto"/>
              </w:rPr>
            </w:pPr>
            <w:r>
              <w:rPr>
                <w:rFonts w:ascii="Arial" w:cs="Arial" w:eastAsia="Arial" w:hAnsi="Arial"/>
                <w:sz w:val="20"/>
                <w:szCs w:val="20"/>
                <w:color w:val="auto"/>
              </w:rPr>
              <w:t>[†]</w:t>
            </w:r>
          </w:p>
        </w:tc>
        <w:tc>
          <w:tcPr>
            <w:tcW w:w="2260" w:type="dxa"/>
            <w:vAlign w:val="bottom"/>
            <w:tcBorders>
              <w:bottom w:val="single" w:sz="8" w:color="auto"/>
              <w:right w:val="single" w:sz="8" w:color="auto"/>
            </w:tcBorders>
          </w:tcPr>
          <w:p>
            <w:pPr>
              <w:jc w:val="center"/>
              <w:spacing w:after="0" w:line="223" w:lineRule="exact"/>
              <w:rPr>
                <w:sz w:val="20"/>
                <w:szCs w:val="20"/>
                <w:color w:val="auto"/>
              </w:rPr>
            </w:pPr>
            <w:r>
              <w:rPr>
                <w:rFonts w:ascii="Arial" w:cs="Arial" w:eastAsia="Arial" w:hAnsi="Arial"/>
                <w:sz w:val="20"/>
                <w:szCs w:val="20"/>
                <w:color w:val="auto"/>
                <w:w w:val="98"/>
              </w:rPr>
              <w:t>[†]</w:t>
            </w:r>
          </w:p>
        </w:tc>
        <w:tc>
          <w:tcPr>
            <w:tcW w:w="1860" w:type="dxa"/>
            <w:vAlign w:val="bottom"/>
            <w:tcBorders>
              <w:bottom w:val="single" w:sz="8" w:color="auto"/>
              <w:right w:val="single" w:sz="8" w:color="auto"/>
            </w:tcBorders>
          </w:tcPr>
          <w:p>
            <w:pPr>
              <w:jc w:val="center"/>
              <w:spacing w:after="0" w:line="223" w:lineRule="exact"/>
              <w:rPr>
                <w:sz w:val="20"/>
                <w:szCs w:val="20"/>
                <w:color w:val="auto"/>
              </w:rPr>
            </w:pPr>
            <w:r>
              <w:rPr>
                <w:rFonts w:ascii="Arial" w:cs="Arial" w:eastAsia="Arial" w:hAnsi="Arial"/>
                <w:sz w:val="20"/>
                <w:szCs w:val="20"/>
                <w:color w:val="auto"/>
              </w:rPr>
              <w:t>[†]</w:t>
            </w:r>
          </w:p>
        </w:tc>
        <w:tc>
          <w:tcPr>
            <w:tcW w:w="2180" w:type="dxa"/>
            <w:vAlign w:val="bottom"/>
            <w:tcBorders>
              <w:bottom w:val="single" w:sz="8" w:color="auto"/>
              <w:right w:val="single" w:sz="8" w:color="auto"/>
            </w:tcBorders>
          </w:tcPr>
          <w:p>
            <w:pPr>
              <w:jc w:val="center"/>
              <w:spacing w:after="0" w:line="223" w:lineRule="exact"/>
              <w:rPr>
                <w:sz w:val="20"/>
                <w:szCs w:val="20"/>
                <w:color w:val="auto"/>
              </w:rPr>
            </w:pPr>
            <w:r>
              <w:rPr>
                <w:rFonts w:ascii="Arial" w:cs="Arial" w:eastAsia="Arial" w:hAnsi="Arial"/>
                <w:sz w:val="20"/>
                <w:szCs w:val="20"/>
                <w:color w:val="auto"/>
              </w:rPr>
              <w:t>[†]</w:t>
            </w:r>
          </w:p>
        </w:tc>
        <w:tc>
          <w:tcPr>
            <w:tcW w:w="2800" w:type="dxa"/>
            <w:vAlign w:val="bottom"/>
            <w:tcBorders>
              <w:bottom w:val="single" w:sz="8" w:color="auto"/>
              <w:right w:val="single" w:sz="8" w:color="auto"/>
            </w:tcBorders>
          </w:tcPr>
          <w:p>
            <w:pPr>
              <w:jc w:val="center"/>
              <w:spacing w:after="0" w:line="223" w:lineRule="exact"/>
              <w:rPr>
                <w:sz w:val="20"/>
                <w:szCs w:val="20"/>
                <w:color w:val="auto"/>
              </w:rPr>
            </w:pPr>
            <w:r>
              <w:rPr>
                <w:rFonts w:ascii="Arial" w:cs="Arial" w:eastAsia="Arial" w:hAnsi="Arial"/>
                <w:sz w:val="20"/>
                <w:szCs w:val="20"/>
                <w:color w:val="auto"/>
                <w:w w:val="98"/>
              </w:rPr>
              <w:t>[†]</w:t>
            </w:r>
          </w:p>
        </w:tc>
      </w:tr>
      <w:tr>
        <w:trPr>
          <w:trHeight w:val="223"/>
        </w:trPr>
        <w:tc>
          <w:tcPr>
            <w:tcW w:w="2320" w:type="dxa"/>
            <w:vAlign w:val="bottom"/>
            <w:tcBorders>
              <w:left w:val="single" w:sz="8" w:color="auto"/>
              <w:bottom w:val="single" w:sz="8" w:color="auto"/>
              <w:right w:val="single" w:sz="8" w:color="auto"/>
            </w:tcBorders>
          </w:tcPr>
          <w:p>
            <w:pPr>
              <w:jc w:val="center"/>
              <w:spacing w:after="0" w:line="223" w:lineRule="exact"/>
              <w:rPr>
                <w:sz w:val="20"/>
                <w:szCs w:val="20"/>
                <w:color w:val="auto"/>
              </w:rPr>
            </w:pPr>
            <w:r>
              <w:rPr>
                <w:rFonts w:ascii="Arial" w:cs="Arial" w:eastAsia="Arial" w:hAnsi="Arial"/>
                <w:sz w:val="20"/>
                <w:szCs w:val="20"/>
                <w:color w:val="auto"/>
              </w:rPr>
              <w:t>[†]</w:t>
            </w:r>
          </w:p>
        </w:tc>
        <w:tc>
          <w:tcPr>
            <w:tcW w:w="2260" w:type="dxa"/>
            <w:vAlign w:val="bottom"/>
            <w:tcBorders>
              <w:bottom w:val="single" w:sz="8" w:color="auto"/>
              <w:right w:val="single" w:sz="8" w:color="auto"/>
            </w:tcBorders>
          </w:tcPr>
          <w:p>
            <w:pPr>
              <w:jc w:val="center"/>
              <w:spacing w:after="0" w:line="223" w:lineRule="exact"/>
              <w:rPr>
                <w:sz w:val="20"/>
                <w:szCs w:val="20"/>
                <w:color w:val="auto"/>
              </w:rPr>
            </w:pPr>
            <w:r>
              <w:rPr>
                <w:rFonts w:ascii="Arial" w:cs="Arial" w:eastAsia="Arial" w:hAnsi="Arial"/>
                <w:sz w:val="20"/>
                <w:szCs w:val="20"/>
                <w:color w:val="auto"/>
                <w:w w:val="98"/>
              </w:rPr>
              <w:t>[†]</w:t>
            </w:r>
          </w:p>
        </w:tc>
        <w:tc>
          <w:tcPr>
            <w:tcW w:w="1860" w:type="dxa"/>
            <w:vAlign w:val="bottom"/>
            <w:tcBorders>
              <w:bottom w:val="single" w:sz="8" w:color="auto"/>
              <w:right w:val="single" w:sz="8" w:color="auto"/>
            </w:tcBorders>
          </w:tcPr>
          <w:p>
            <w:pPr>
              <w:jc w:val="center"/>
              <w:spacing w:after="0" w:line="223" w:lineRule="exact"/>
              <w:rPr>
                <w:sz w:val="20"/>
                <w:szCs w:val="20"/>
                <w:color w:val="auto"/>
              </w:rPr>
            </w:pPr>
            <w:r>
              <w:rPr>
                <w:rFonts w:ascii="Arial" w:cs="Arial" w:eastAsia="Arial" w:hAnsi="Arial"/>
                <w:sz w:val="20"/>
                <w:szCs w:val="20"/>
                <w:color w:val="auto"/>
              </w:rPr>
              <w:t>[†]</w:t>
            </w:r>
          </w:p>
        </w:tc>
        <w:tc>
          <w:tcPr>
            <w:tcW w:w="2180" w:type="dxa"/>
            <w:vAlign w:val="bottom"/>
            <w:tcBorders>
              <w:bottom w:val="single" w:sz="8" w:color="auto"/>
              <w:right w:val="single" w:sz="8" w:color="auto"/>
            </w:tcBorders>
          </w:tcPr>
          <w:p>
            <w:pPr>
              <w:jc w:val="center"/>
              <w:spacing w:after="0" w:line="223" w:lineRule="exact"/>
              <w:rPr>
                <w:sz w:val="20"/>
                <w:szCs w:val="20"/>
                <w:color w:val="auto"/>
              </w:rPr>
            </w:pPr>
            <w:r>
              <w:rPr>
                <w:rFonts w:ascii="Arial" w:cs="Arial" w:eastAsia="Arial" w:hAnsi="Arial"/>
                <w:sz w:val="20"/>
                <w:szCs w:val="20"/>
                <w:color w:val="auto"/>
              </w:rPr>
              <w:t>[†]</w:t>
            </w:r>
          </w:p>
        </w:tc>
        <w:tc>
          <w:tcPr>
            <w:tcW w:w="2800" w:type="dxa"/>
            <w:vAlign w:val="bottom"/>
            <w:tcBorders>
              <w:bottom w:val="single" w:sz="8" w:color="auto"/>
              <w:right w:val="single" w:sz="8" w:color="auto"/>
            </w:tcBorders>
          </w:tcPr>
          <w:p>
            <w:pPr>
              <w:jc w:val="center"/>
              <w:spacing w:after="0" w:line="223" w:lineRule="exact"/>
              <w:rPr>
                <w:sz w:val="20"/>
                <w:szCs w:val="20"/>
                <w:color w:val="auto"/>
              </w:rPr>
            </w:pPr>
            <w:r>
              <w:rPr>
                <w:rFonts w:ascii="Arial" w:cs="Arial" w:eastAsia="Arial" w:hAnsi="Arial"/>
                <w:sz w:val="20"/>
                <w:szCs w:val="20"/>
                <w:color w:val="auto"/>
                <w:w w:val="98"/>
              </w:rPr>
              <w:t>[†]</w:t>
            </w:r>
          </w:p>
        </w:tc>
      </w:tr>
    </w:tbl>
    <w:p>
      <w:pPr>
        <w:spacing w:after="0" w:line="197" w:lineRule="exact"/>
        <w:rPr>
          <w:sz w:val="20"/>
          <w:szCs w:val="20"/>
          <w:color w:val="auto"/>
        </w:rPr>
      </w:pPr>
    </w:p>
    <w:p>
      <w:pPr>
        <w:ind w:right="40" w:firstLine="8"/>
        <w:spacing w:after="0" w:line="253" w:lineRule="auto"/>
        <w:tabs>
          <w:tab w:leader="none" w:pos="204" w:val="left"/>
        </w:tabs>
        <w:numPr>
          <w:ilvl w:val="0"/>
          <w:numId w:val="190"/>
        </w:numPr>
        <w:rPr>
          <w:rFonts w:ascii="Arial" w:cs="Arial" w:eastAsia="Arial" w:hAnsi="Arial"/>
          <w:sz w:val="14"/>
          <w:szCs w:val="14"/>
          <w:color w:val="auto"/>
        </w:rPr>
      </w:pPr>
      <w:r>
        <w:rPr>
          <w:rFonts w:ascii="Arial" w:cs="Arial" w:eastAsia="Arial" w:hAnsi="Arial"/>
          <w:sz w:val="14"/>
          <w:szCs w:val="14"/>
          <w:color w:val="auto"/>
        </w:rPr>
        <w:t>DESIGNATES PORTIONS OF THIS DOCUMENT THAT HAVE BEEN OMITTED PURSUANT TO A REQUEST FOR CONFIDENTIAL TREATMENT FILED SEPARATELY WITH THE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40640</wp:posOffset>
            </wp:positionV>
            <wp:extent cx="7289165" cy="425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8" w:right="239" w:bottom="1440" w:gutter="0" w:footer="0" w:header="0"/>
        </w:sectPr>
      </w:pPr>
    </w:p>
    <w:bookmarkStart w:id="139" w:name="page140"/>
    <w:bookmarkEnd w:id="139"/>
    <w:tbl>
      <w:tblPr>
        <w:tblLayout w:type="fixed"/>
        <w:tblInd w:w="10" w:type="dxa"/>
        <w:tblCellMar>
          <w:top w:w="0" w:type="dxa"/>
          <w:left w:w="0" w:type="dxa"/>
          <w:bottom w:w="0" w:type="dxa"/>
          <w:right w:w="0" w:type="dxa"/>
        </w:tblCellMar>
      </w:tblPr>
      <w:tr>
        <w:trPr>
          <w:trHeight w:val="243"/>
        </w:trPr>
        <w:tc>
          <w:tcPr>
            <w:tcW w:w="2320" w:type="dxa"/>
            <w:vAlign w:val="bottom"/>
            <w:tcBorders>
              <w:top w:val="single" w:sz="8" w:color="auto"/>
              <w:left w:val="single" w:sz="8" w:color="auto"/>
              <w:bottom w:val="single" w:sz="8" w:color="auto"/>
              <w:right w:val="single" w:sz="8" w:color="auto"/>
            </w:tcBorders>
          </w:tcPr>
          <w:p>
            <w:pPr>
              <w:ind w:left="1040"/>
              <w:spacing w:after="0"/>
              <w:rPr>
                <w:sz w:val="20"/>
                <w:szCs w:val="20"/>
                <w:color w:val="auto"/>
              </w:rPr>
            </w:pPr>
            <w:r>
              <w:rPr>
                <w:rFonts w:ascii="Arial" w:cs="Arial" w:eastAsia="Arial" w:hAnsi="Arial"/>
                <w:sz w:val="20"/>
                <w:szCs w:val="20"/>
                <w:color w:val="auto"/>
              </w:rPr>
              <w:t>[†]</w:t>
            </w:r>
          </w:p>
        </w:tc>
        <w:tc>
          <w:tcPr>
            <w:tcW w:w="2040" w:type="dxa"/>
            <w:vAlign w:val="bottom"/>
            <w:tcBorders>
              <w:top w:val="single" w:sz="8" w:color="auto"/>
              <w:bottom w:val="single" w:sz="8" w:color="auto"/>
            </w:tcBorders>
          </w:tcPr>
          <w:p>
            <w:pPr>
              <w:ind w:left="1000"/>
              <w:spacing w:after="0"/>
              <w:rPr>
                <w:sz w:val="20"/>
                <w:szCs w:val="20"/>
                <w:color w:val="auto"/>
              </w:rPr>
            </w:pPr>
            <w:r>
              <w:rPr>
                <w:rFonts w:ascii="Arial" w:cs="Arial" w:eastAsia="Arial" w:hAnsi="Arial"/>
                <w:sz w:val="20"/>
                <w:szCs w:val="20"/>
                <w:color w:val="auto"/>
              </w:rPr>
              <w:t>[†]</w:t>
            </w:r>
          </w:p>
        </w:tc>
        <w:tc>
          <w:tcPr>
            <w:tcW w:w="220" w:type="dxa"/>
            <w:vAlign w:val="bottom"/>
            <w:tcBorders>
              <w:top w:val="single" w:sz="8" w:color="auto"/>
              <w:bottom w:val="single" w:sz="8" w:color="auto"/>
              <w:right w:val="single" w:sz="8" w:color="auto"/>
            </w:tcBorders>
          </w:tcPr>
          <w:p>
            <w:pPr>
              <w:spacing w:after="0"/>
              <w:rPr>
                <w:sz w:val="21"/>
                <w:szCs w:val="21"/>
                <w:color w:val="auto"/>
              </w:rPr>
            </w:pPr>
          </w:p>
        </w:tc>
        <w:tc>
          <w:tcPr>
            <w:tcW w:w="1860" w:type="dxa"/>
            <w:vAlign w:val="bottom"/>
            <w:tcBorders>
              <w:top w:val="single" w:sz="8" w:color="auto"/>
              <w:bottom w:val="single" w:sz="8" w:color="auto"/>
              <w:right w:val="single" w:sz="8" w:color="auto"/>
            </w:tcBorders>
          </w:tcPr>
          <w:p>
            <w:pPr>
              <w:ind w:left="800"/>
              <w:spacing w:after="0"/>
              <w:rPr>
                <w:sz w:val="20"/>
                <w:szCs w:val="20"/>
                <w:color w:val="auto"/>
              </w:rPr>
            </w:pPr>
            <w:r>
              <w:rPr>
                <w:rFonts w:ascii="Arial" w:cs="Arial" w:eastAsia="Arial" w:hAnsi="Arial"/>
                <w:sz w:val="20"/>
                <w:szCs w:val="20"/>
                <w:color w:val="auto"/>
              </w:rPr>
              <w:t>[†]</w:t>
            </w:r>
          </w:p>
        </w:tc>
        <w:tc>
          <w:tcPr>
            <w:tcW w:w="620" w:type="dxa"/>
            <w:vAlign w:val="bottom"/>
            <w:tcBorders>
              <w:top w:val="single" w:sz="8" w:color="auto"/>
              <w:bottom w:val="single" w:sz="8" w:color="auto"/>
            </w:tcBorders>
          </w:tcPr>
          <w:p>
            <w:pPr>
              <w:spacing w:after="0"/>
              <w:rPr>
                <w:sz w:val="21"/>
                <w:szCs w:val="21"/>
                <w:color w:val="auto"/>
              </w:rPr>
            </w:pPr>
          </w:p>
        </w:tc>
        <w:tc>
          <w:tcPr>
            <w:tcW w:w="1540" w:type="dxa"/>
            <w:vAlign w:val="bottom"/>
            <w:tcBorders>
              <w:top w:val="single" w:sz="8" w:color="auto"/>
              <w:bottom w:val="single" w:sz="8" w:color="auto"/>
              <w:right w:val="single" w:sz="8" w:color="auto"/>
            </w:tcBorders>
          </w:tcPr>
          <w:p>
            <w:pPr>
              <w:ind w:left="340"/>
              <w:spacing w:after="0"/>
              <w:rPr>
                <w:sz w:val="20"/>
                <w:szCs w:val="20"/>
                <w:color w:val="auto"/>
              </w:rPr>
            </w:pPr>
            <w:r>
              <w:rPr>
                <w:rFonts w:ascii="Arial" w:cs="Arial" w:eastAsia="Arial" w:hAnsi="Arial"/>
                <w:sz w:val="20"/>
                <w:szCs w:val="20"/>
                <w:color w:val="auto"/>
              </w:rPr>
              <w:t>[†]</w:t>
            </w:r>
          </w:p>
        </w:tc>
        <w:tc>
          <w:tcPr>
            <w:tcW w:w="2820" w:type="dxa"/>
            <w:vAlign w:val="bottom"/>
            <w:tcBorders>
              <w:top w:val="single" w:sz="8" w:color="auto"/>
              <w:bottom w:val="single" w:sz="8" w:color="auto"/>
              <w:right w:val="single" w:sz="8" w:color="auto"/>
            </w:tcBorders>
          </w:tcPr>
          <w:p>
            <w:pPr>
              <w:ind w:left="1280"/>
              <w:spacing w:after="0"/>
              <w:rPr>
                <w:sz w:val="20"/>
                <w:szCs w:val="20"/>
                <w:color w:val="auto"/>
              </w:rPr>
            </w:pPr>
            <w:r>
              <w:rPr>
                <w:rFonts w:ascii="Arial" w:cs="Arial" w:eastAsia="Arial" w:hAnsi="Arial"/>
                <w:sz w:val="20"/>
                <w:szCs w:val="20"/>
                <w:color w:val="auto"/>
              </w:rPr>
              <w:t>[†]</w:t>
            </w:r>
          </w:p>
        </w:tc>
      </w:tr>
      <w:tr>
        <w:trPr>
          <w:trHeight w:val="223"/>
        </w:trPr>
        <w:tc>
          <w:tcPr>
            <w:tcW w:w="2320" w:type="dxa"/>
            <w:vAlign w:val="bottom"/>
            <w:tcBorders>
              <w:left w:val="single" w:sz="8" w:color="auto"/>
              <w:bottom w:val="single" w:sz="8" w:color="auto"/>
              <w:right w:val="single" w:sz="8" w:color="auto"/>
            </w:tcBorders>
          </w:tcPr>
          <w:p>
            <w:pPr>
              <w:ind w:left="1040"/>
              <w:spacing w:after="0" w:line="223" w:lineRule="exact"/>
              <w:rPr>
                <w:sz w:val="20"/>
                <w:szCs w:val="20"/>
                <w:color w:val="auto"/>
              </w:rPr>
            </w:pPr>
            <w:r>
              <w:rPr>
                <w:rFonts w:ascii="Arial" w:cs="Arial" w:eastAsia="Arial" w:hAnsi="Arial"/>
                <w:sz w:val="20"/>
                <w:szCs w:val="20"/>
                <w:color w:val="auto"/>
              </w:rPr>
              <w:t>[†]</w:t>
            </w:r>
          </w:p>
        </w:tc>
        <w:tc>
          <w:tcPr>
            <w:tcW w:w="2040" w:type="dxa"/>
            <w:vAlign w:val="bottom"/>
            <w:tcBorders>
              <w:bottom w:val="single" w:sz="8" w:color="auto"/>
            </w:tcBorders>
          </w:tcPr>
          <w:p>
            <w:pPr>
              <w:ind w:left="1000"/>
              <w:spacing w:after="0" w:line="223" w:lineRule="exact"/>
              <w:rPr>
                <w:sz w:val="20"/>
                <w:szCs w:val="20"/>
                <w:color w:val="auto"/>
              </w:rPr>
            </w:pPr>
            <w:r>
              <w:rPr>
                <w:rFonts w:ascii="Arial" w:cs="Arial" w:eastAsia="Arial" w:hAnsi="Arial"/>
                <w:sz w:val="20"/>
                <w:szCs w:val="20"/>
                <w:color w:val="auto"/>
              </w:rPr>
              <w:t>[†]</w:t>
            </w:r>
          </w:p>
        </w:tc>
        <w:tc>
          <w:tcPr>
            <w:tcW w:w="220" w:type="dxa"/>
            <w:vAlign w:val="bottom"/>
            <w:tcBorders>
              <w:bottom w:val="single" w:sz="8" w:color="auto"/>
              <w:right w:val="single" w:sz="8" w:color="auto"/>
            </w:tcBorders>
          </w:tcPr>
          <w:p>
            <w:pPr>
              <w:spacing w:after="0"/>
              <w:rPr>
                <w:sz w:val="19"/>
                <w:szCs w:val="19"/>
                <w:color w:val="auto"/>
              </w:rPr>
            </w:pPr>
          </w:p>
        </w:tc>
        <w:tc>
          <w:tcPr>
            <w:tcW w:w="1860" w:type="dxa"/>
            <w:vAlign w:val="bottom"/>
            <w:tcBorders>
              <w:bottom w:val="single" w:sz="8" w:color="auto"/>
              <w:right w:val="single" w:sz="8" w:color="auto"/>
            </w:tcBorders>
          </w:tcPr>
          <w:p>
            <w:pPr>
              <w:ind w:left="800"/>
              <w:spacing w:after="0" w:line="223" w:lineRule="exact"/>
              <w:rPr>
                <w:sz w:val="20"/>
                <w:szCs w:val="20"/>
                <w:color w:val="auto"/>
              </w:rPr>
            </w:pPr>
            <w:r>
              <w:rPr>
                <w:rFonts w:ascii="Arial" w:cs="Arial" w:eastAsia="Arial" w:hAnsi="Arial"/>
                <w:sz w:val="20"/>
                <w:szCs w:val="20"/>
                <w:color w:val="auto"/>
              </w:rPr>
              <w:t>[†]</w:t>
            </w:r>
          </w:p>
        </w:tc>
        <w:tc>
          <w:tcPr>
            <w:tcW w:w="620" w:type="dxa"/>
            <w:vAlign w:val="bottom"/>
            <w:tcBorders>
              <w:bottom w:val="single" w:sz="8" w:color="auto"/>
            </w:tcBorders>
          </w:tcPr>
          <w:p>
            <w:pPr>
              <w:spacing w:after="0"/>
              <w:rPr>
                <w:sz w:val="19"/>
                <w:szCs w:val="19"/>
                <w:color w:val="auto"/>
              </w:rPr>
            </w:pPr>
          </w:p>
        </w:tc>
        <w:tc>
          <w:tcPr>
            <w:tcW w:w="1540" w:type="dxa"/>
            <w:vAlign w:val="bottom"/>
            <w:tcBorders>
              <w:bottom w:val="single" w:sz="8" w:color="auto"/>
              <w:right w:val="single" w:sz="8" w:color="auto"/>
            </w:tcBorders>
          </w:tcPr>
          <w:p>
            <w:pPr>
              <w:ind w:left="340"/>
              <w:spacing w:after="0" w:line="223" w:lineRule="exact"/>
              <w:rPr>
                <w:sz w:val="20"/>
                <w:szCs w:val="20"/>
                <w:color w:val="auto"/>
              </w:rPr>
            </w:pPr>
            <w:r>
              <w:rPr>
                <w:rFonts w:ascii="Arial" w:cs="Arial" w:eastAsia="Arial" w:hAnsi="Arial"/>
                <w:sz w:val="20"/>
                <w:szCs w:val="20"/>
                <w:color w:val="auto"/>
              </w:rPr>
              <w:t>[†]</w:t>
            </w:r>
          </w:p>
        </w:tc>
        <w:tc>
          <w:tcPr>
            <w:tcW w:w="2820" w:type="dxa"/>
            <w:vAlign w:val="bottom"/>
            <w:tcBorders>
              <w:bottom w:val="single" w:sz="8" w:color="auto"/>
              <w:right w:val="single" w:sz="8" w:color="auto"/>
            </w:tcBorders>
          </w:tcPr>
          <w:p>
            <w:pPr>
              <w:ind w:left="1280"/>
              <w:spacing w:after="0" w:line="223" w:lineRule="exact"/>
              <w:rPr>
                <w:sz w:val="20"/>
                <w:szCs w:val="20"/>
                <w:color w:val="auto"/>
              </w:rPr>
            </w:pPr>
            <w:r>
              <w:rPr>
                <w:rFonts w:ascii="Arial" w:cs="Arial" w:eastAsia="Arial" w:hAnsi="Arial"/>
                <w:sz w:val="20"/>
                <w:szCs w:val="20"/>
                <w:color w:val="auto"/>
              </w:rPr>
              <w:t>[†]</w:t>
            </w:r>
          </w:p>
        </w:tc>
      </w:tr>
      <w:tr>
        <w:trPr>
          <w:trHeight w:val="223"/>
        </w:trPr>
        <w:tc>
          <w:tcPr>
            <w:tcW w:w="2320" w:type="dxa"/>
            <w:vAlign w:val="bottom"/>
            <w:tcBorders>
              <w:left w:val="single" w:sz="8" w:color="auto"/>
              <w:bottom w:val="single" w:sz="8" w:color="auto"/>
              <w:right w:val="single" w:sz="8" w:color="auto"/>
            </w:tcBorders>
          </w:tcPr>
          <w:p>
            <w:pPr>
              <w:ind w:left="1040"/>
              <w:spacing w:after="0" w:line="223" w:lineRule="exact"/>
              <w:rPr>
                <w:sz w:val="20"/>
                <w:szCs w:val="20"/>
                <w:color w:val="auto"/>
              </w:rPr>
            </w:pPr>
            <w:r>
              <w:rPr>
                <w:rFonts w:ascii="Arial" w:cs="Arial" w:eastAsia="Arial" w:hAnsi="Arial"/>
                <w:sz w:val="20"/>
                <w:szCs w:val="20"/>
                <w:color w:val="auto"/>
              </w:rPr>
              <w:t>[†]</w:t>
            </w:r>
          </w:p>
        </w:tc>
        <w:tc>
          <w:tcPr>
            <w:tcW w:w="2040" w:type="dxa"/>
            <w:vAlign w:val="bottom"/>
            <w:tcBorders>
              <w:bottom w:val="single" w:sz="8" w:color="auto"/>
            </w:tcBorders>
          </w:tcPr>
          <w:p>
            <w:pPr>
              <w:ind w:left="1000"/>
              <w:spacing w:after="0" w:line="223" w:lineRule="exact"/>
              <w:rPr>
                <w:sz w:val="20"/>
                <w:szCs w:val="20"/>
                <w:color w:val="auto"/>
              </w:rPr>
            </w:pPr>
            <w:r>
              <w:rPr>
                <w:rFonts w:ascii="Arial" w:cs="Arial" w:eastAsia="Arial" w:hAnsi="Arial"/>
                <w:sz w:val="20"/>
                <w:szCs w:val="20"/>
                <w:color w:val="auto"/>
              </w:rPr>
              <w:t>[†]</w:t>
            </w:r>
          </w:p>
        </w:tc>
        <w:tc>
          <w:tcPr>
            <w:tcW w:w="220" w:type="dxa"/>
            <w:vAlign w:val="bottom"/>
            <w:tcBorders>
              <w:bottom w:val="single" w:sz="8" w:color="auto"/>
              <w:right w:val="single" w:sz="8" w:color="auto"/>
            </w:tcBorders>
          </w:tcPr>
          <w:p>
            <w:pPr>
              <w:spacing w:after="0"/>
              <w:rPr>
                <w:sz w:val="19"/>
                <w:szCs w:val="19"/>
                <w:color w:val="auto"/>
              </w:rPr>
            </w:pPr>
          </w:p>
        </w:tc>
        <w:tc>
          <w:tcPr>
            <w:tcW w:w="1860" w:type="dxa"/>
            <w:vAlign w:val="bottom"/>
            <w:tcBorders>
              <w:bottom w:val="single" w:sz="8" w:color="auto"/>
              <w:right w:val="single" w:sz="8" w:color="auto"/>
            </w:tcBorders>
          </w:tcPr>
          <w:p>
            <w:pPr>
              <w:ind w:left="800"/>
              <w:spacing w:after="0" w:line="223" w:lineRule="exact"/>
              <w:rPr>
                <w:sz w:val="20"/>
                <w:szCs w:val="20"/>
                <w:color w:val="auto"/>
              </w:rPr>
            </w:pPr>
            <w:r>
              <w:rPr>
                <w:rFonts w:ascii="Arial" w:cs="Arial" w:eastAsia="Arial" w:hAnsi="Arial"/>
                <w:sz w:val="20"/>
                <w:szCs w:val="20"/>
                <w:color w:val="auto"/>
              </w:rPr>
              <w:t>[†]</w:t>
            </w:r>
          </w:p>
        </w:tc>
        <w:tc>
          <w:tcPr>
            <w:tcW w:w="620" w:type="dxa"/>
            <w:vAlign w:val="bottom"/>
            <w:tcBorders>
              <w:bottom w:val="single" w:sz="8" w:color="auto"/>
            </w:tcBorders>
          </w:tcPr>
          <w:p>
            <w:pPr>
              <w:spacing w:after="0"/>
              <w:rPr>
                <w:sz w:val="19"/>
                <w:szCs w:val="19"/>
                <w:color w:val="auto"/>
              </w:rPr>
            </w:pPr>
          </w:p>
        </w:tc>
        <w:tc>
          <w:tcPr>
            <w:tcW w:w="1540" w:type="dxa"/>
            <w:vAlign w:val="bottom"/>
            <w:tcBorders>
              <w:bottom w:val="single" w:sz="8" w:color="auto"/>
              <w:right w:val="single" w:sz="8" w:color="auto"/>
            </w:tcBorders>
          </w:tcPr>
          <w:p>
            <w:pPr>
              <w:ind w:left="340"/>
              <w:spacing w:after="0" w:line="223" w:lineRule="exact"/>
              <w:rPr>
                <w:sz w:val="20"/>
                <w:szCs w:val="20"/>
                <w:color w:val="auto"/>
              </w:rPr>
            </w:pPr>
            <w:r>
              <w:rPr>
                <w:rFonts w:ascii="Arial" w:cs="Arial" w:eastAsia="Arial" w:hAnsi="Arial"/>
                <w:sz w:val="20"/>
                <w:szCs w:val="20"/>
                <w:color w:val="auto"/>
              </w:rPr>
              <w:t>[†]</w:t>
            </w:r>
          </w:p>
        </w:tc>
        <w:tc>
          <w:tcPr>
            <w:tcW w:w="2820" w:type="dxa"/>
            <w:vAlign w:val="bottom"/>
            <w:tcBorders>
              <w:bottom w:val="single" w:sz="8" w:color="auto"/>
              <w:right w:val="single" w:sz="8" w:color="auto"/>
            </w:tcBorders>
          </w:tcPr>
          <w:p>
            <w:pPr>
              <w:ind w:left="1280"/>
              <w:spacing w:after="0" w:line="223" w:lineRule="exact"/>
              <w:rPr>
                <w:sz w:val="20"/>
                <w:szCs w:val="20"/>
                <w:color w:val="auto"/>
              </w:rPr>
            </w:pPr>
            <w:r>
              <w:rPr>
                <w:rFonts w:ascii="Arial" w:cs="Arial" w:eastAsia="Arial" w:hAnsi="Arial"/>
                <w:sz w:val="20"/>
                <w:szCs w:val="20"/>
                <w:color w:val="auto"/>
              </w:rPr>
              <w:t>[†]</w:t>
            </w:r>
          </w:p>
        </w:tc>
      </w:tr>
      <w:tr>
        <w:trPr>
          <w:trHeight w:val="223"/>
        </w:trPr>
        <w:tc>
          <w:tcPr>
            <w:tcW w:w="2320" w:type="dxa"/>
            <w:vAlign w:val="bottom"/>
            <w:tcBorders>
              <w:left w:val="single" w:sz="8" w:color="auto"/>
              <w:bottom w:val="single" w:sz="8" w:color="auto"/>
              <w:right w:val="single" w:sz="8" w:color="auto"/>
            </w:tcBorders>
          </w:tcPr>
          <w:p>
            <w:pPr>
              <w:ind w:left="1040"/>
              <w:spacing w:after="0" w:line="223" w:lineRule="exact"/>
              <w:rPr>
                <w:sz w:val="20"/>
                <w:szCs w:val="20"/>
                <w:color w:val="auto"/>
              </w:rPr>
            </w:pPr>
            <w:r>
              <w:rPr>
                <w:rFonts w:ascii="Arial" w:cs="Arial" w:eastAsia="Arial" w:hAnsi="Arial"/>
                <w:sz w:val="20"/>
                <w:szCs w:val="20"/>
                <w:color w:val="auto"/>
              </w:rPr>
              <w:t>[†]</w:t>
            </w:r>
          </w:p>
        </w:tc>
        <w:tc>
          <w:tcPr>
            <w:tcW w:w="2040" w:type="dxa"/>
            <w:vAlign w:val="bottom"/>
            <w:tcBorders>
              <w:bottom w:val="single" w:sz="8" w:color="auto"/>
            </w:tcBorders>
          </w:tcPr>
          <w:p>
            <w:pPr>
              <w:ind w:left="1000"/>
              <w:spacing w:after="0" w:line="223" w:lineRule="exact"/>
              <w:rPr>
                <w:sz w:val="20"/>
                <w:szCs w:val="20"/>
                <w:color w:val="auto"/>
              </w:rPr>
            </w:pPr>
            <w:r>
              <w:rPr>
                <w:rFonts w:ascii="Arial" w:cs="Arial" w:eastAsia="Arial" w:hAnsi="Arial"/>
                <w:sz w:val="20"/>
                <w:szCs w:val="20"/>
                <w:color w:val="auto"/>
              </w:rPr>
              <w:t>[†]</w:t>
            </w:r>
          </w:p>
        </w:tc>
        <w:tc>
          <w:tcPr>
            <w:tcW w:w="220" w:type="dxa"/>
            <w:vAlign w:val="bottom"/>
            <w:tcBorders>
              <w:bottom w:val="single" w:sz="8" w:color="auto"/>
              <w:right w:val="single" w:sz="8" w:color="auto"/>
            </w:tcBorders>
          </w:tcPr>
          <w:p>
            <w:pPr>
              <w:spacing w:after="0"/>
              <w:rPr>
                <w:sz w:val="19"/>
                <w:szCs w:val="19"/>
                <w:color w:val="auto"/>
              </w:rPr>
            </w:pPr>
          </w:p>
        </w:tc>
        <w:tc>
          <w:tcPr>
            <w:tcW w:w="1860" w:type="dxa"/>
            <w:vAlign w:val="bottom"/>
            <w:tcBorders>
              <w:bottom w:val="single" w:sz="8" w:color="auto"/>
              <w:right w:val="single" w:sz="8" w:color="auto"/>
            </w:tcBorders>
          </w:tcPr>
          <w:p>
            <w:pPr>
              <w:ind w:left="800"/>
              <w:spacing w:after="0" w:line="223" w:lineRule="exact"/>
              <w:rPr>
                <w:sz w:val="20"/>
                <w:szCs w:val="20"/>
                <w:color w:val="auto"/>
              </w:rPr>
            </w:pPr>
            <w:r>
              <w:rPr>
                <w:rFonts w:ascii="Arial" w:cs="Arial" w:eastAsia="Arial" w:hAnsi="Arial"/>
                <w:sz w:val="20"/>
                <w:szCs w:val="20"/>
                <w:color w:val="auto"/>
              </w:rPr>
              <w:t>[†]</w:t>
            </w:r>
          </w:p>
        </w:tc>
        <w:tc>
          <w:tcPr>
            <w:tcW w:w="620" w:type="dxa"/>
            <w:vAlign w:val="bottom"/>
            <w:tcBorders>
              <w:bottom w:val="single" w:sz="8" w:color="auto"/>
            </w:tcBorders>
          </w:tcPr>
          <w:p>
            <w:pPr>
              <w:spacing w:after="0"/>
              <w:rPr>
                <w:sz w:val="19"/>
                <w:szCs w:val="19"/>
                <w:color w:val="auto"/>
              </w:rPr>
            </w:pPr>
          </w:p>
        </w:tc>
        <w:tc>
          <w:tcPr>
            <w:tcW w:w="1540" w:type="dxa"/>
            <w:vAlign w:val="bottom"/>
            <w:tcBorders>
              <w:bottom w:val="single" w:sz="8" w:color="auto"/>
              <w:right w:val="single" w:sz="8" w:color="auto"/>
            </w:tcBorders>
          </w:tcPr>
          <w:p>
            <w:pPr>
              <w:ind w:left="340"/>
              <w:spacing w:after="0" w:line="223" w:lineRule="exact"/>
              <w:rPr>
                <w:sz w:val="20"/>
                <w:szCs w:val="20"/>
                <w:color w:val="auto"/>
              </w:rPr>
            </w:pPr>
            <w:r>
              <w:rPr>
                <w:rFonts w:ascii="Arial" w:cs="Arial" w:eastAsia="Arial" w:hAnsi="Arial"/>
                <w:sz w:val="20"/>
                <w:szCs w:val="20"/>
                <w:color w:val="auto"/>
              </w:rPr>
              <w:t>[†]</w:t>
            </w:r>
          </w:p>
        </w:tc>
        <w:tc>
          <w:tcPr>
            <w:tcW w:w="2820" w:type="dxa"/>
            <w:vAlign w:val="bottom"/>
            <w:tcBorders>
              <w:bottom w:val="single" w:sz="8" w:color="auto"/>
              <w:right w:val="single" w:sz="8" w:color="auto"/>
            </w:tcBorders>
          </w:tcPr>
          <w:p>
            <w:pPr>
              <w:ind w:left="1280"/>
              <w:spacing w:after="0" w:line="223" w:lineRule="exact"/>
              <w:rPr>
                <w:sz w:val="20"/>
                <w:szCs w:val="20"/>
                <w:color w:val="auto"/>
              </w:rPr>
            </w:pPr>
            <w:r>
              <w:rPr>
                <w:rFonts w:ascii="Arial" w:cs="Arial" w:eastAsia="Arial" w:hAnsi="Arial"/>
                <w:sz w:val="20"/>
                <w:szCs w:val="20"/>
                <w:color w:val="auto"/>
              </w:rPr>
              <w:t>[†]</w:t>
            </w:r>
          </w:p>
        </w:tc>
      </w:tr>
      <w:tr>
        <w:trPr>
          <w:trHeight w:val="223"/>
        </w:trPr>
        <w:tc>
          <w:tcPr>
            <w:tcW w:w="2320" w:type="dxa"/>
            <w:vAlign w:val="bottom"/>
            <w:tcBorders>
              <w:left w:val="single" w:sz="8" w:color="auto"/>
              <w:bottom w:val="single" w:sz="8" w:color="auto"/>
              <w:right w:val="single" w:sz="8" w:color="auto"/>
            </w:tcBorders>
          </w:tcPr>
          <w:p>
            <w:pPr>
              <w:ind w:left="1040"/>
              <w:spacing w:after="0" w:line="223" w:lineRule="exact"/>
              <w:rPr>
                <w:sz w:val="20"/>
                <w:szCs w:val="20"/>
                <w:color w:val="auto"/>
              </w:rPr>
            </w:pPr>
            <w:r>
              <w:rPr>
                <w:rFonts w:ascii="Arial" w:cs="Arial" w:eastAsia="Arial" w:hAnsi="Arial"/>
                <w:sz w:val="20"/>
                <w:szCs w:val="20"/>
                <w:color w:val="auto"/>
              </w:rPr>
              <w:t>[†]</w:t>
            </w:r>
          </w:p>
        </w:tc>
        <w:tc>
          <w:tcPr>
            <w:tcW w:w="2040" w:type="dxa"/>
            <w:vAlign w:val="bottom"/>
            <w:tcBorders>
              <w:bottom w:val="single" w:sz="8" w:color="auto"/>
            </w:tcBorders>
          </w:tcPr>
          <w:p>
            <w:pPr>
              <w:ind w:left="1000"/>
              <w:spacing w:after="0" w:line="223" w:lineRule="exact"/>
              <w:rPr>
                <w:sz w:val="20"/>
                <w:szCs w:val="20"/>
                <w:color w:val="auto"/>
              </w:rPr>
            </w:pPr>
            <w:r>
              <w:rPr>
                <w:rFonts w:ascii="Arial" w:cs="Arial" w:eastAsia="Arial" w:hAnsi="Arial"/>
                <w:sz w:val="20"/>
                <w:szCs w:val="20"/>
                <w:color w:val="auto"/>
              </w:rPr>
              <w:t>[†]</w:t>
            </w:r>
          </w:p>
        </w:tc>
        <w:tc>
          <w:tcPr>
            <w:tcW w:w="220" w:type="dxa"/>
            <w:vAlign w:val="bottom"/>
            <w:tcBorders>
              <w:bottom w:val="single" w:sz="8" w:color="auto"/>
              <w:right w:val="single" w:sz="8" w:color="auto"/>
            </w:tcBorders>
          </w:tcPr>
          <w:p>
            <w:pPr>
              <w:spacing w:after="0"/>
              <w:rPr>
                <w:sz w:val="19"/>
                <w:szCs w:val="19"/>
                <w:color w:val="auto"/>
              </w:rPr>
            </w:pPr>
          </w:p>
        </w:tc>
        <w:tc>
          <w:tcPr>
            <w:tcW w:w="1860" w:type="dxa"/>
            <w:vAlign w:val="bottom"/>
            <w:tcBorders>
              <w:bottom w:val="single" w:sz="8" w:color="auto"/>
              <w:right w:val="single" w:sz="8" w:color="auto"/>
            </w:tcBorders>
          </w:tcPr>
          <w:p>
            <w:pPr>
              <w:ind w:left="800"/>
              <w:spacing w:after="0" w:line="223" w:lineRule="exact"/>
              <w:rPr>
                <w:sz w:val="20"/>
                <w:szCs w:val="20"/>
                <w:color w:val="auto"/>
              </w:rPr>
            </w:pPr>
            <w:r>
              <w:rPr>
                <w:rFonts w:ascii="Arial" w:cs="Arial" w:eastAsia="Arial" w:hAnsi="Arial"/>
                <w:sz w:val="20"/>
                <w:szCs w:val="20"/>
                <w:color w:val="auto"/>
              </w:rPr>
              <w:t>[†]</w:t>
            </w:r>
          </w:p>
        </w:tc>
        <w:tc>
          <w:tcPr>
            <w:tcW w:w="620" w:type="dxa"/>
            <w:vAlign w:val="bottom"/>
            <w:tcBorders>
              <w:bottom w:val="single" w:sz="8" w:color="auto"/>
            </w:tcBorders>
          </w:tcPr>
          <w:p>
            <w:pPr>
              <w:spacing w:after="0"/>
              <w:rPr>
                <w:sz w:val="19"/>
                <w:szCs w:val="19"/>
                <w:color w:val="auto"/>
              </w:rPr>
            </w:pPr>
          </w:p>
        </w:tc>
        <w:tc>
          <w:tcPr>
            <w:tcW w:w="1540" w:type="dxa"/>
            <w:vAlign w:val="bottom"/>
            <w:tcBorders>
              <w:bottom w:val="single" w:sz="8" w:color="auto"/>
              <w:right w:val="single" w:sz="8" w:color="auto"/>
            </w:tcBorders>
          </w:tcPr>
          <w:p>
            <w:pPr>
              <w:ind w:left="340"/>
              <w:spacing w:after="0" w:line="223" w:lineRule="exact"/>
              <w:rPr>
                <w:sz w:val="20"/>
                <w:szCs w:val="20"/>
                <w:color w:val="auto"/>
              </w:rPr>
            </w:pPr>
            <w:r>
              <w:rPr>
                <w:rFonts w:ascii="Arial" w:cs="Arial" w:eastAsia="Arial" w:hAnsi="Arial"/>
                <w:sz w:val="20"/>
                <w:szCs w:val="20"/>
                <w:color w:val="auto"/>
              </w:rPr>
              <w:t>[†]</w:t>
            </w:r>
          </w:p>
        </w:tc>
        <w:tc>
          <w:tcPr>
            <w:tcW w:w="2820" w:type="dxa"/>
            <w:vAlign w:val="bottom"/>
            <w:tcBorders>
              <w:bottom w:val="single" w:sz="8" w:color="auto"/>
              <w:right w:val="single" w:sz="8" w:color="auto"/>
            </w:tcBorders>
          </w:tcPr>
          <w:p>
            <w:pPr>
              <w:ind w:left="1280"/>
              <w:spacing w:after="0" w:line="223" w:lineRule="exact"/>
              <w:rPr>
                <w:sz w:val="20"/>
                <w:szCs w:val="20"/>
                <w:color w:val="auto"/>
              </w:rPr>
            </w:pPr>
            <w:r>
              <w:rPr>
                <w:rFonts w:ascii="Arial" w:cs="Arial" w:eastAsia="Arial" w:hAnsi="Arial"/>
                <w:sz w:val="20"/>
                <w:szCs w:val="20"/>
                <w:color w:val="auto"/>
              </w:rPr>
              <w:t>[†]</w:t>
            </w:r>
          </w:p>
        </w:tc>
      </w:tr>
      <w:tr>
        <w:trPr>
          <w:trHeight w:val="223"/>
        </w:trPr>
        <w:tc>
          <w:tcPr>
            <w:tcW w:w="2320" w:type="dxa"/>
            <w:vAlign w:val="bottom"/>
            <w:tcBorders>
              <w:left w:val="single" w:sz="8" w:color="auto"/>
              <w:bottom w:val="single" w:sz="8" w:color="auto"/>
              <w:right w:val="single" w:sz="8" w:color="auto"/>
            </w:tcBorders>
          </w:tcPr>
          <w:p>
            <w:pPr>
              <w:ind w:left="1040"/>
              <w:spacing w:after="0" w:line="223" w:lineRule="exact"/>
              <w:rPr>
                <w:sz w:val="20"/>
                <w:szCs w:val="20"/>
                <w:color w:val="auto"/>
              </w:rPr>
            </w:pPr>
            <w:r>
              <w:rPr>
                <w:rFonts w:ascii="Arial" w:cs="Arial" w:eastAsia="Arial" w:hAnsi="Arial"/>
                <w:sz w:val="20"/>
                <w:szCs w:val="20"/>
                <w:color w:val="auto"/>
              </w:rPr>
              <w:t>[†]</w:t>
            </w:r>
          </w:p>
        </w:tc>
        <w:tc>
          <w:tcPr>
            <w:tcW w:w="2040" w:type="dxa"/>
            <w:vAlign w:val="bottom"/>
            <w:tcBorders>
              <w:bottom w:val="single" w:sz="8" w:color="auto"/>
            </w:tcBorders>
          </w:tcPr>
          <w:p>
            <w:pPr>
              <w:ind w:left="1000"/>
              <w:spacing w:after="0" w:line="223" w:lineRule="exact"/>
              <w:rPr>
                <w:sz w:val="20"/>
                <w:szCs w:val="20"/>
                <w:color w:val="auto"/>
              </w:rPr>
            </w:pPr>
            <w:r>
              <w:rPr>
                <w:rFonts w:ascii="Arial" w:cs="Arial" w:eastAsia="Arial" w:hAnsi="Arial"/>
                <w:sz w:val="20"/>
                <w:szCs w:val="20"/>
                <w:color w:val="auto"/>
              </w:rPr>
              <w:t>[†]</w:t>
            </w:r>
          </w:p>
        </w:tc>
        <w:tc>
          <w:tcPr>
            <w:tcW w:w="220" w:type="dxa"/>
            <w:vAlign w:val="bottom"/>
            <w:tcBorders>
              <w:bottom w:val="single" w:sz="8" w:color="auto"/>
              <w:right w:val="single" w:sz="8" w:color="auto"/>
            </w:tcBorders>
          </w:tcPr>
          <w:p>
            <w:pPr>
              <w:spacing w:after="0"/>
              <w:rPr>
                <w:sz w:val="19"/>
                <w:szCs w:val="19"/>
                <w:color w:val="auto"/>
              </w:rPr>
            </w:pPr>
          </w:p>
        </w:tc>
        <w:tc>
          <w:tcPr>
            <w:tcW w:w="1860" w:type="dxa"/>
            <w:vAlign w:val="bottom"/>
            <w:tcBorders>
              <w:bottom w:val="single" w:sz="8" w:color="auto"/>
              <w:right w:val="single" w:sz="8" w:color="auto"/>
            </w:tcBorders>
          </w:tcPr>
          <w:p>
            <w:pPr>
              <w:ind w:left="800"/>
              <w:spacing w:after="0" w:line="223" w:lineRule="exact"/>
              <w:rPr>
                <w:sz w:val="20"/>
                <w:szCs w:val="20"/>
                <w:color w:val="auto"/>
              </w:rPr>
            </w:pPr>
            <w:r>
              <w:rPr>
                <w:rFonts w:ascii="Arial" w:cs="Arial" w:eastAsia="Arial" w:hAnsi="Arial"/>
                <w:sz w:val="20"/>
                <w:szCs w:val="20"/>
                <w:color w:val="auto"/>
              </w:rPr>
              <w:t>[†]</w:t>
            </w:r>
          </w:p>
        </w:tc>
        <w:tc>
          <w:tcPr>
            <w:tcW w:w="620" w:type="dxa"/>
            <w:vAlign w:val="bottom"/>
            <w:tcBorders>
              <w:bottom w:val="single" w:sz="8" w:color="auto"/>
            </w:tcBorders>
          </w:tcPr>
          <w:p>
            <w:pPr>
              <w:spacing w:after="0"/>
              <w:rPr>
                <w:sz w:val="19"/>
                <w:szCs w:val="19"/>
                <w:color w:val="auto"/>
              </w:rPr>
            </w:pPr>
          </w:p>
        </w:tc>
        <w:tc>
          <w:tcPr>
            <w:tcW w:w="1540" w:type="dxa"/>
            <w:vAlign w:val="bottom"/>
            <w:tcBorders>
              <w:bottom w:val="single" w:sz="8" w:color="auto"/>
              <w:right w:val="single" w:sz="8" w:color="auto"/>
            </w:tcBorders>
          </w:tcPr>
          <w:p>
            <w:pPr>
              <w:ind w:left="340"/>
              <w:spacing w:after="0" w:line="223" w:lineRule="exact"/>
              <w:rPr>
                <w:sz w:val="20"/>
                <w:szCs w:val="20"/>
                <w:color w:val="auto"/>
              </w:rPr>
            </w:pPr>
            <w:r>
              <w:rPr>
                <w:rFonts w:ascii="Arial" w:cs="Arial" w:eastAsia="Arial" w:hAnsi="Arial"/>
                <w:sz w:val="20"/>
                <w:szCs w:val="20"/>
                <w:color w:val="auto"/>
              </w:rPr>
              <w:t>[†]</w:t>
            </w:r>
          </w:p>
        </w:tc>
        <w:tc>
          <w:tcPr>
            <w:tcW w:w="2820" w:type="dxa"/>
            <w:vAlign w:val="bottom"/>
            <w:tcBorders>
              <w:bottom w:val="single" w:sz="8" w:color="auto"/>
              <w:right w:val="single" w:sz="8" w:color="auto"/>
            </w:tcBorders>
          </w:tcPr>
          <w:p>
            <w:pPr>
              <w:ind w:left="1280"/>
              <w:spacing w:after="0" w:line="223" w:lineRule="exact"/>
              <w:rPr>
                <w:sz w:val="20"/>
                <w:szCs w:val="20"/>
                <w:color w:val="auto"/>
              </w:rPr>
            </w:pPr>
            <w:r>
              <w:rPr>
                <w:rFonts w:ascii="Arial" w:cs="Arial" w:eastAsia="Arial" w:hAnsi="Arial"/>
                <w:sz w:val="20"/>
                <w:szCs w:val="20"/>
                <w:color w:val="auto"/>
              </w:rPr>
              <w:t>[†]</w:t>
            </w:r>
          </w:p>
        </w:tc>
      </w:tr>
      <w:tr>
        <w:trPr>
          <w:trHeight w:val="412"/>
        </w:trPr>
        <w:tc>
          <w:tcPr>
            <w:tcW w:w="232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2700" w:type="dxa"/>
            <w:vAlign w:val="bottom"/>
            <w:tcBorders>
              <w:bottom w:val="single" w:sz="8" w:color="auto"/>
            </w:tcBorders>
            <w:gridSpan w:val="3"/>
          </w:tcPr>
          <w:p>
            <w:pPr>
              <w:spacing w:after="0"/>
              <w:rPr>
                <w:sz w:val="20"/>
                <w:szCs w:val="20"/>
                <w:color w:val="auto"/>
              </w:rPr>
            </w:pPr>
            <w:r>
              <w:rPr>
                <w:rFonts w:ascii="Arial" w:cs="Arial" w:eastAsia="Arial" w:hAnsi="Arial"/>
                <w:sz w:val="22"/>
                <w:szCs w:val="22"/>
                <w:b w:val="1"/>
                <w:bCs w:val="1"/>
                <w:color w:val="auto"/>
                <w:w w:val="89"/>
              </w:rPr>
              <w:t>4.</w:t>
            </w:r>
            <w:r>
              <w:rPr>
                <w:rFonts w:ascii="Arial" w:cs="Arial" w:eastAsia="Arial" w:hAnsi="Arial"/>
                <w:sz w:val="22"/>
                <w:szCs w:val="22"/>
                <w:b w:val="1"/>
                <w:bCs w:val="1"/>
                <w:u w:val="single" w:color="auto"/>
                <w:color w:val="auto"/>
                <w:w w:val="89"/>
              </w:rPr>
              <w:t>7(a)</w:t>
            </w:r>
            <w:r>
              <w:rPr>
                <w:rFonts w:ascii="Arial" w:cs="Arial" w:eastAsia="Arial" w:hAnsi="Arial"/>
                <w:sz w:val="22"/>
                <w:szCs w:val="22"/>
                <w:b w:val="1"/>
                <w:bCs w:val="1"/>
                <w:color w:val="auto"/>
                <w:w w:val="89"/>
              </w:rPr>
              <w:t xml:space="preserve"> - Seller Registered IPR</w:t>
            </w:r>
          </w:p>
        </w:tc>
        <w:tc>
          <w:tcPr>
            <w:tcW w:w="1540" w:type="dxa"/>
            <w:vAlign w:val="bottom"/>
          </w:tcPr>
          <w:p>
            <w:pPr>
              <w:spacing w:after="0"/>
              <w:rPr>
                <w:sz w:val="24"/>
                <w:szCs w:val="24"/>
                <w:color w:val="auto"/>
              </w:rPr>
            </w:pPr>
          </w:p>
        </w:tc>
        <w:tc>
          <w:tcPr>
            <w:tcW w:w="2820" w:type="dxa"/>
            <w:vAlign w:val="bottom"/>
          </w:tcPr>
          <w:p>
            <w:pPr>
              <w:spacing w:after="0"/>
              <w:rPr>
                <w:sz w:val="24"/>
                <w:szCs w:val="24"/>
                <w:color w:val="auto"/>
              </w:rPr>
            </w:pPr>
          </w:p>
        </w:tc>
      </w:tr>
    </w:tbl>
    <w:p>
      <w:pPr>
        <w:spacing w:after="0" w:line="226" w:lineRule="exact"/>
        <w:rPr>
          <w:sz w:val="20"/>
          <w:szCs w:val="20"/>
          <w:color w:val="auto"/>
        </w:rPr>
      </w:pPr>
    </w:p>
    <w:p>
      <w:pPr>
        <w:ind w:left="860"/>
        <w:spacing w:after="0"/>
        <w:rPr>
          <w:sz w:val="20"/>
          <w:szCs w:val="20"/>
          <w:color w:val="auto"/>
        </w:rPr>
      </w:pPr>
      <w:r>
        <w:rPr>
          <w:rFonts w:ascii="Arial" w:cs="Arial" w:eastAsia="Arial" w:hAnsi="Arial"/>
          <w:sz w:val="20"/>
          <w:szCs w:val="20"/>
          <w:color w:val="auto"/>
        </w:rPr>
        <w:t>The following is a complete and accurate list of all Seller Registered IPR:</w:t>
      </w:r>
    </w:p>
    <w:p>
      <w:pPr>
        <w:spacing w:after="0" w:line="226" w:lineRule="exact"/>
        <w:rPr>
          <w:sz w:val="20"/>
          <w:szCs w:val="20"/>
          <w:color w:val="auto"/>
        </w:rPr>
      </w:pPr>
    </w:p>
    <w:tbl>
      <w:tblPr>
        <w:tblLayout w:type="fixed"/>
        <w:tblInd w:w="50" w:type="dxa"/>
        <w:tblCellMar>
          <w:top w:w="0" w:type="dxa"/>
          <w:left w:w="0" w:type="dxa"/>
          <w:bottom w:w="0" w:type="dxa"/>
          <w:right w:w="0" w:type="dxa"/>
        </w:tblCellMar>
      </w:tblPr>
      <w:tr>
        <w:trPr>
          <w:trHeight w:val="139"/>
        </w:trPr>
        <w:tc>
          <w:tcPr>
            <w:tcW w:w="780" w:type="dxa"/>
            <w:vAlign w:val="bottom"/>
            <w:tcBorders>
              <w:top w:val="single" w:sz="8" w:color="auto"/>
              <w:left w:val="single" w:sz="8" w:color="auto"/>
              <w:right w:val="single" w:sz="8" w:color="auto"/>
            </w:tcBorders>
          </w:tcPr>
          <w:p>
            <w:pPr>
              <w:spacing w:after="0" w:line="139" w:lineRule="exact"/>
              <w:rPr>
                <w:sz w:val="20"/>
                <w:szCs w:val="20"/>
                <w:color w:val="auto"/>
              </w:rPr>
            </w:pPr>
            <w:r>
              <w:rPr>
                <w:rFonts w:ascii="Arial" w:cs="Arial" w:eastAsia="Arial" w:hAnsi="Arial"/>
                <w:sz w:val="14"/>
                <w:szCs w:val="14"/>
                <w:b w:val="1"/>
                <w:bCs w:val="1"/>
                <w:color w:val="auto"/>
              </w:rPr>
              <w:t>Part of</w:t>
            </w:r>
          </w:p>
        </w:tc>
        <w:tc>
          <w:tcPr>
            <w:tcW w:w="960" w:type="dxa"/>
            <w:vAlign w:val="bottom"/>
            <w:tcBorders>
              <w:top w:val="single" w:sz="8" w:color="auto"/>
              <w:right w:val="single" w:sz="8" w:color="auto"/>
            </w:tcBorders>
          </w:tcPr>
          <w:p>
            <w:pPr>
              <w:spacing w:after="0" w:line="139" w:lineRule="exact"/>
              <w:rPr>
                <w:sz w:val="20"/>
                <w:szCs w:val="20"/>
                <w:color w:val="auto"/>
              </w:rPr>
            </w:pPr>
            <w:r>
              <w:rPr>
                <w:rFonts w:ascii="Arial" w:cs="Arial" w:eastAsia="Arial" w:hAnsi="Arial"/>
                <w:sz w:val="14"/>
                <w:szCs w:val="14"/>
                <w:b w:val="1"/>
                <w:bCs w:val="1"/>
                <w:color w:val="auto"/>
              </w:rPr>
              <w:t>Brinks Gilson</w:t>
            </w:r>
          </w:p>
        </w:tc>
        <w:tc>
          <w:tcPr>
            <w:tcW w:w="920" w:type="dxa"/>
            <w:vAlign w:val="bottom"/>
            <w:tcBorders>
              <w:top w:val="single" w:sz="8" w:color="auto"/>
              <w:right w:val="single" w:sz="8" w:color="auto"/>
            </w:tcBorders>
          </w:tcPr>
          <w:p>
            <w:pPr>
              <w:spacing w:after="0" w:line="139" w:lineRule="exact"/>
              <w:rPr>
                <w:sz w:val="20"/>
                <w:szCs w:val="20"/>
                <w:color w:val="auto"/>
              </w:rPr>
            </w:pPr>
            <w:r>
              <w:rPr>
                <w:rFonts w:ascii="Arial" w:cs="Arial" w:eastAsia="Arial" w:hAnsi="Arial"/>
                <w:sz w:val="14"/>
                <w:szCs w:val="14"/>
                <w:b w:val="1"/>
                <w:bCs w:val="1"/>
                <w:color w:val="auto"/>
              </w:rPr>
              <w:t>Country</w:t>
            </w:r>
          </w:p>
        </w:tc>
        <w:tc>
          <w:tcPr>
            <w:tcW w:w="2560" w:type="dxa"/>
            <w:vAlign w:val="bottom"/>
            <w:tcBorders>
              <w:top w:val="single" w:sz="8" w:color="auto"/>
              <w:right w:val="single" w:sz="8" w:color="auto"/>
            </w:tcBorders>
          </w:tcPr>
          <w:p>
            <w:pPr>
              <w:spacing w:after="0" w:line="139" w:lineRule="exact"/>
              <w:rPr>
                <w:sz w:val="20"/>
                <w:szCs w:val="20"/>
                <w:color w:val="auto"/>
              </w:rPr>
            </w:pPr>
            <w:r>
              <w:rPr>
                <w:rFonts w:ascii="Arial" w:cs="Arial" w:eastAsia="Arial" w:hAnsi="Arial"/>
                <w:sz w:val="14"/>
                <w:szCs w:val="14"/>
                <w:b w:val="1"/>
                <w:bCs w:val="1"/>
                <w:color w:val="auto"/>
              </w:rPr>
              <w:t>Title</w:t>
            </w:r>
          </w:p>
        </w:tc>
        <w:tc>
          <w:tcPr>
            <w:tcW w:w="760" w:type="dxa"/>
            <w:vAlign w:val="bottom"/>
            <w:tcBorders>
              <w:top w:val="single" w:sz="8" w:color="auto"/>
              <w:right w:val="single" w:sz="8" w:color="auto"/>
            </w:tcBorders>
          </w:tcPr>
          <w:p>
            <w:pPr>
              <w:spacing w:after="0" w:line="139" w:lineRule="exact"/>
              <w:rPr>
                <w:sz w:val="20"/>
                <w:szCs w:val="20"/>
                <w:color w:val="auto"/>
              </w:rPr>
            </w:pPr>
            <w:r>
              <w:rPr>
                <w:rFonts w:ascii="Arial" w:cs="Arial" w:eastAsia="Arial" w:hAnsi="Arial"/>
                <w:sz w:val="14"/>
                <w:szCs w:val="14"/>
                <w:b w:val="1"/>
                <w:bCs w:val="1"/>
                <w:color w:val="auto"/>
              </w:rPr>
              <w:t>App. Date</w:t>
            </w:r>
          </w:p>
        </w:tc>
        <w:tc>
          <w:tcPr>
            <w:tcW w:w="1120" w:type="dxa"/>
            <w:vAlign w:val="bottom"/>
            <w:tcBorders>
              <w:top w:val="single" w:sz="8" w:color="auto"/>
              <w:right w:val="single" w:sz="8" w:color="auto"/>
            </w:tcBorders>
          </w:tcPr>
          <w:p>
            <w:pPr>
              <w:spacing w:after="0" w:line="139" w:lineRule="exact"/>
              <w:rPr>
                <w:sz w:val="20"/>
                <w:szCs w:val="20"/>
                <w:color w:val="auto"/>
              </w:rPr>
            </w:pPr>
            <w:r>
              <w:rPr>
                <w:rFonts w:ascii="Arial" w:cs="Arial" w:eastAsia="Arial" w:hAnsi="Arial"/>
                <w:sz w:val="14"/>
                <w:szCs w:val="14"/>
                <w:b w:val="1"/>
                <w:bCs w:val="1"/>
                <w:color w:val="auto"/>
              </w:rPr>
              <w:t>App.</w:t>
            </w:r>
          </w:p>
        </w:tc>
        <w:tc>
          <w:tcPr>
            <w:tcW w:w="760" w:type="dxa"/>
            <w:vAlign w:val="bottom"/>
            <w:tcBorders>
              <w:top w:val="single" w:sz="8" w:color="auto"/>
              <w:right w:val="single" w:sz="8" w:color="auto"/>
            </w:tcBorders>
          </w:tcPr>
          <w:p>
            <w:pPr>
              <w:spacing w:after="0" w:line="139" w:lineRule="exact"/>
              <w:rPr>
                <w:sz w:val="20"/>
                <w:szCs w:val="20"/>
                <w:color w:val="auto"/>
              </w:rPr>
            </w:pPr>
            <w:r>
              <w:rPr>
                <w:rFonts w:ascii="Arial" w:cs="Arial" w:eastAsia="Arial" w:hAnsi="Arial"/>
                <w:sz w:val="14"/>
                <w:szCs w:val="14"/>
                <w:b w:val="1"/>
                <w:bCs w:val="1"/>
                <w:color w:val="auto"/>
              </w:rPr>
              <w:t>Pub Date</w:t>
            </w:r>
          </w:p>
        </w:tc>
        <w:tc>
          <w:tcPr>
            <w:tcW w:w="760" w:type="dxa"/>
            <w:vAlign w:val="bottom"/>
            <w:tcBorders>
              <w:top w:val="single" w:sz="8" w:color="auto"/>
              <w:right w:val="single" w:sz="8" w:color="auto"/>
            </w:tcBorders>
          </w:tcPr>
          <w:p>
            <w:pPr>
              <w:spacing w:after="0" w:line="139" w:lineRule="exact"/>
              <w:rPr>
                <w:sz w:val="20"/>
                <w:szCs w:val="20"/>
                <w:color w:val="auto"/>
              </w:rPr>
            </w:pPr>
            <w:r>
              <w:rPr>
                <w:rFonts w:ascii="Arial" w:cs="Arial" w:eastAsia="Arial" w:hAnsi="Arial"/>
                <w:sz w:val="14"/>
                <w:szCs w:val="14"/>
                <w:b w:val="1"/>
                <w:bCs w:val="1"/>
                <w:color w:val="auto"/>
              </w:rPr>
              <w:t>Pub No.</w:t>
            </w:r>
          </w:p>
        </w:tc>
        <w:tc>
          <w:tcPr>
            <w:tcW w:w="880" w:type="dxa"/>
            <w:vAlign w:val="bottom"/>
            <w:tcBorders>
              <w:top w:val="single" w:sz="8" w:color="auto"/>
              <w:right w:val="single" w:sz="8" w:color="auto"/>
            </w:tcBorders>
          </w:tcPr>
          <w:p>
            <w:pPr>
              <w:spacing w:after="0" w:line="139" w:lineRule="exact"/>
              <w:rPr>
                <w:sz w:val="20"/>
                <w:szCs w:val="20"/>
                <w:color w:val="auto"/>
              </w:rPr>
            </w:pPr>
            <w:r>
              <w:rPr>
                <w:rFonts w:ascii="Arial" w:cs="Arial" w:eastAsia="Arial" w:hAnsi="Arial"/>
                <w:sz w:val="14"/>
                <w:szCs w:val="14"/>
                <w:b w:val="1"/>
                <w:bCs w:val="1"/>
                <w:color w:val="auto"/>
              </w:rPr>
              <w:t>Issued Date</w:t>
            </w:r>
          </w:p>
        </w:tc>
        <w:tc>
          <w:tcPr>
            <w:tcW w:w="840" w:type="dxa"/>
            <w:vAlign w:val="bottom"/>
            <w:tcBorders>
              <w:top w:val="single" w:sz="8" w:color="auto"/>
              <w:right w:val="single" w:sz="8" w:color="auto"/>
            </w:tcBorders>
          </w:tcPr>
          <w:p>
            <w:pPr>
              <w:spacing w:after="0" w:line="139" w:lineRule="exact"/>
              <w:rPr>
                <w:sz w:val="20"/>
                <w:szCs w:val="20"/>
                <w:color w:val="auto"/>
              </w:rPr>
            </w:pPr>
            <w:r>
              <w:rPr>
                <w:rFonts w:ascii="Arial" w:cs="Arial" w:eastAsia="Arial" w:hAnsi="Arial"/>
                <w:sz w:val="14"/>
                <w:szCs w:val="14"/>
                <w:b w:val="1"/>
                <w:bCs w:val="1"/>
                <w:color w:val="auto"/>
              </w:rPr>
              <w:t>Patent No.</w:t>
            </w:r>
          </w:p>
        </w:tc>
        <w:tc>
          <w:tcPr>
            <w:tcW w:w="1040" w:type="dxa"/>
            <w:vAlign w:val="bottom"/>
            <w:tcBorders>
              <w:top w:val="single" w:sz="8" w:color="auto"/>
              <w:right w:val="single" w:sz="8" w:color="auto"/>
            </w:tcBorders>
          </w:tcPr>
          <w:p>
            <w:pPr>
              <w:spacing w:after="0" w:line="139" w:lineRule="exact"/>
              <w:rPr>
                <w:sz w:val="20"/>
                <w:szCs w:val="20"/>
                <w:color w:val="auto"/>
              </w:rPr>
            </w:pPr>
            <w:r>
              <w:rPr>
                <w:rFonts w:ascii="Arial" w:cs="Arial" w:eastAsia="Arial" w:hAnsi="Arial"/>
                <w:sz w:val="14"/>
                <w:szCs w:val="14"/>
                <w:b w:val="1"/>
                <w:bCs w:val="1"/>
                <w:color w:val="auto"/>
              </w:rPr>
              <w:t>Status</w:t>
            </w:r>
          </w:p>
        </w:tc>
      </w:tr>
      <w:tr>
        <w:trPr>
          <w:trHeight w:val="149"/>
        </w:trPr>
        <w:tc>
          <w:tcPr>
            <w:tcW w:w="780" w:type="dxa"/>
            <w:vAlign w:val="bottom"/>
            <w:tcBorders>
              <w:left w:val="single" w:sz="8" w:color="auto"/>
              <w:right w:val="single" w:sz="8" w:color="auto"/>
            </w:tcBorders>
          </w:tcPr>
          <w:p>
            <w:pPr>
              <w:spacing w:after="0" w:line="149" w:lineRule="exact"/>
              <w:rPr>
                <w:sz w:val="20"/>
                <w:szCs w:val="20"/>
                <w:color w:val="auto"/>
              </w:rPr>
            </w:pPr>
            <w:r>
              <w:rPr>
                <w:rFonts w:ascii="Arial" w:cs="Arial" w:eastAsia="Arial" w:hAnsi="Arial"/>
                <w:sz w:val="14"/>
                <w:szCs w:val="14"/>
                <w:b w:val="1"/>
                <w:bCs w:val="1"/>
                <w:color w:val="auto"/>
              </w:rPr>
              <w:t>Grant</w:t>
            </w:r>
          </w:p>
        </w:tc>
        <w:tc>
          <w:tcPr>
            <w:tcW w:w="960" w:type="dxa"/>
            <w:vAlign w:val="bottom"/>
            <w:tcBorders>
              <w:right w:val="single" w:sz="8" w:color="auto"/>
            </w:tcBorders>
          </w:tcPr>
          <w:p>
            <w:pPr>
              <w:spacing w:after="0" w:line="149" w:lineRule="exact"/>
              <w:rPr>
                <w:sz w:val="20"/>
                <w:szCs w:val="20"/>
                <w:color w:val="auto"/>
              </w:rPr>
            </w:pPr>
            <w:r>
              <w:rPr>
                <w:rFonts w:ascii="Arial" w:cs="Arial" w:eastAsia="Arial" w:hAnsi="Arial"/>
                <w:sz w:val="14"/>
                <w:szCs w:val="14"/>
                <w:b w:val="1"/>
                <w:bCs w:val="1"/>
                <w:color w:val="auto"/>
              </w:rPr>
              <w:t>Leoni</w:t>
            </w:r>
          </w:p>
        </w:tc>
        <w:tc>
          <w:tcPr>
            <w:tcW w:w="920" w:type="dxa"/>
            <w:vAlign w:val="bottom"/>
            <w:tcBorders>
              <w:right w:val="single" w:sz="8" w:color="auto"/>
            </w:tcBorders>
          </w:tcPr>
          <w:p>
            <w:pPr>
              <w:spacing w:after="0"/>
              <w:rPr>
                <w:sz w:val="12"/>
                <w:szCs w:val="12"/>
                <w:color w:val="auto"/>
              </w:rPr>
            </w:pPr>
          </w:p>
        </w:tc>
        <w:tc>
          <w:tcPr>
            <w:tcW w:w="2560" w:type="dxa"/>
            <w:vAlign w:val="bottom"/>
            <w:tcBorders>
              <w:right w:val="single" w:sz="8" w:color="auto"/>
            </w:tcBorders>
          </w:tcPr>
          <w:p>
            <w:pPr>
              <w:spacing w:after="0"/>
              <w:rPr>
                <w:sz w:val="12"/>
                <w:szCs w:val="12"/>
                <w:color w:val="auto"/>
              </w:rPr>
            </w:pPr>
          </w:p>
        </w:tc>
        <w:tc>
          <w:tcPr>
            <w:tcW w:w="760" w:type="dxa"/>
            <w:vAlign w:val="bottom"/>
            <w:tcBorders>
              <w:right w:val="single" w:sz="8" w:color="auto"/>
            </w:tcBorders>
          </w:tcPr>
          <w:p>
            <w:pPr>
              <w:spacing w:after="0"/>
              <w:rPr>
                <w:sz w:val="12"/>
                <w:szCs w:val="12"/>
                <w:color w:val="auto"/>
              </w:rPr>
            </w:pPr>
          </w:p>
        </w:tc>
        <w:tc>
          <w:tcPr>
            <w:tcW w:w="1120" w:type="dxa"/>
            <w:vAlign w:val="bottom"/>
            <w:tcBorders>
              <w:right w:val="single" w:sz="8" w:color="auto"/>
            </w:tcBorders>
          </w:tcPr>
          <w:p>
            <w:pPr>
              <w:spacing w:after="0" w:line="149" w:lineRule="exact"/>
              <w:rPr>
                <w:sz w:val="20"/>
                <w:szCs w:val="20"/>
                <w:color w:val="auto"/>
              </w:rPr>
            </w:pPr>
            <w:r>
              <w:rPr>
                <w:rFonts w:ascii="Arial" w:cs="Arial" w:eastAsia="Arial" w:hAnsi="Arial"/>
                <w:sz w:val="14"/>
                <w:szCs w:val="14"/>
                <w:b w:val="1"/>
                <w:bCs w:val="1"/>
                <w:color w:val="auto"/>
              </w:rPr>
              <w:t>No.</w:t>
            </w:r>
          </w:p>
        </w:tc>
        <w:tc>
          <w:tcPr>
            <w:tcW w:w="760" w:type="dxa"/>
            <w:vAlign w:val="bottom"/>
            <w:tcBorders>
              <w:right w:val="single" w:sz="8" w:color="auto"/>
            </w:tcBorders>
          </w:tcPr>
          <w:p>
            <w:pPr>
              <w:spacing w:after="0"/>
              <w:rPr>
                <w:sz w:val="12"/>
                <w:szCs w:val="12"/>
                <w:color w:val="auto"/>
              </w:rPr>
            </w:pPr>
          </w:p>
        </w:tc>
        <w:tc>
          <w:tcPr>
            <w:tcW w:w="760" w:type="dxa"/>
            <w:vAlign w:val="bottom"/>
            <w:tcBorders>
              <w:right w:val="single" w:sz="8" w:color="auto"/>
            </w:tcBorders>
          </w:tcPr>
          <w:p>
            <w:pPr>
              <w:spacing w:after="0"/>
              <w:rPr>
                <w:sz w:val="12"/>
                <w:szCs w:val="12"/>
                <w:color w:val="auto"/>
              </w:rPr>
            </w:pPr>
          </w:p>
        </w:tc>
        <w:tc>
          <w:tcPr>
            <w:tcW w:w="880" w:type="dxa"/>
            <w:vAlign w:val="bottom"/>
            <w:tcBorders>
              <w:right w:val="single" w:sz="8" w:color="auto"/>
            </w:tcBorders>
          </w:tcPr>
          <w:p>
            <w:pPr>
              <w:spacing w:after="0"/>
              <w:rPr>
                <w:sz w:val="12"/>
                <w:szCs w:val="12"/>
                <w:color w:val="auto"/>
              </w:rPr>
            </w:pPr>
          </w:p>
        </w:tc>
        <w:tc>
          <w:tcPr>
            <w:tcW w:w="840" w:type="dxa"/>
            <w:vAlign w:val="bottom"/>
            <w:tcBorders>
              <w:right w:val="single" w:sz="8" w:color="auto"/>
            </w:tcBorders>
          </w:tcPr>
          <w:p>
            <w:pPr>
              <w:spacing w:after="0"/>
              <w:rPr>
                <w:sz w:val="12"/>
                <w:szCs w:val="12"/>
                <w:color w:val="auto"/>
              </w:rPr>
            </w:pPr>
          </w:p>
        </w:tc>
        <w:tc>
          <w:tcPr>
            <w:tcW w:w="1040" w:type="dxa"/>
            <w:vAlign w:val="bottom"/>
            <w:tcBorders>
              <w:right w:val="single" w:sz="8" w:color="auto"/>
            </w:tcBorders>
          </w:tcPr>
          <w:p>
            <w:pPr>
              <w:spacing w:after="0"/>
              <w:rPr>
                <w:sz w:val="12"/>
                <w:szCs w:val="12"/>
                <w:color w:val="auto"/>
              </w:rPr>
            </w:pPr>
          </w:p>
        </w:tc>
      </w:tr>
      <w:tr>
        <w:trPr>
          <w:trHeight w:val="149"/>
        </w:trPr>
        <w:tc>
          <w:tcPr>
            <w:tcW w:w="780" w:type="dxa"/>
            <w:vAlign w:val="bottom"/>
            <w:tcBorders>
              <w:left w:val="single" w:sz="8" w:color="auto"/>
              <w:right w:val="single" w:sz="8" w:color="auto"/>
            </w:tcBorders>
          </w:tcPr>
          <w:p>
            <w:pPr>
              <w:spacing w:after="0" w:line="149" w:lineRule="exact"/>
              <w:rPr>
                <w:sz w:val="20"/>
                <w:szCs w:val="20"/>
                <w:color w:val="auto"/>
              </w:rPr>
            </w:pPr>
            <w:r>
              <w:rPr>
                <w:rFonts w:ascii="Arial" w:cs="Arial" w:eastAsia="Arial" w:hAnsi="Arial"/>
                <w:sz w:val="14"/>
                <w:szCs w:val="14"/>
                <w:b w:val="1"/>
                <w:bCs w:val="1"/>
                <w:color w:val="auto"/>
              </w:rPr>
              <w:t>Back</w:t>
            </w:r>
          </w:p>
        </w:tc>
        <w:tc>
          <w:tcPr>
            <w:tcW w:w="960" w:type="dxa"/>
            <w:vAlign w:val="bottom"/>
            <w:tcBorders>
              <w:right w:val="single" w:sz="8" w:color="auto"/>
            </w:tcBorders>
          </w:tcPr>
          <w:p>
            <w:pPr>
              <w:spacing w:after="0" w:line="149" w:lineRule="exact"/>
              <w:rPr>
                <w:sz w:val="20"/>
                <w:szCs w:val="20"/>
                <w:color w:val="auto"/>
              </w:rPr>
            </w:pPr>
            <w:r>
              <w:rPr>
                <w:rFonts w:ascii="Arial" w:cs="Arial" w:eastAsia="Arial" w:hAnsi="Arial"/>
                <w:sz w:val="14"/>
                <w:szCs w:val="14"/>
                <w:b w:val="1"/>
                <w:bCs w:val="1"/>
                <w:color w:val="auto"/>
              </w:rPr>
              <w:t>Reference</w:t>
            </w:r>
          </w:p>
        </w:tc>
        <w:tc>
          <w:tcPr>
            <w:tcW w:w="920" w:type="dxa"/>
            <w:vAlign w:val="bottom"/>
            <w:tcBorders>
              <w:right w:val="single" w:sz="8" w:color="auto"/>
            </w:tcBorders>
          </w:tcPr>
          <w:p>
            <w:pPr>
              <w:spacing w:after="0"/>
              <w:rPr>
                <w:sz w:val="12"/>
                <w:szCs w:val="12"/>
                <w:color w:val="auto"/>
              </w:rPr>
            </w:pPr>
          </w:p>
        </w:tc>
        <w:tc>
          <w:tcPr>
            <w:tcW w:w="2560" w:type="dxa"/>
            <w:vAlign w:val="bottom"/>
            <w:tcBorders>
              <w:right w:val="single" w:sz="8" w:color="auto"/>
            </w:tcBorders>
          </w:tcPr>
          <w:p>
            <w:pPr>
              <w:spacing w:after="0"/>
              <w:rPr>
                <w:sz w:val="12"/>
                <w:szCs w:val="12"/>
                <w:color w:val="auto"/>
              </w:rPr>
            </w:pPr>
          </w:p>
        </w:tc>
        <w:tc>
          <w:tcPr>
            <w:tcW w:w="760" w:type="dxa"/>
            <w:vAlign w:val="bottom"/>
            <w:tcBorders>
              <w:right w:val="single" w:sz="8" w:color="auto"/>
            </w:tcBorders>
          </w:tcPr>
          <w:p>
            <w:pPr>
              <w:spacing w:after="0"/>
              <w:rPr>
                <w:sz w:val="12"/>
                <w:szCs w:val="12"/>
                <w:color w:val="auto"/>
              </w:rPr>
            </w:pPr>
          </w:p>
        </w:tc>
        <w:tc>
          <w:tcPr>
            <w:tcW w:w="1120" w:type="dxa"/>
            <w:vAlign w:val="bottom"/>
            <w:tcBorders>
              <w:right w:val="single" w:sz="8" w:color="auto"/>
            </w:tcBorders>
          </w:tcPr>
          <w:p>
            <w:pPr>
              <w:spacing w:after="0"/>
              <w:rPr>
                <w:sz w:val="12"/>
                <w:szCs w:val="12"/>
                <w:color w:val="auto"/>
              </w:rPr>
            </w:pPr>
          </w:p>
        </w:tc>
        <w:tc>
          <w:tcPr>
            <w:tcW w:w="760" w:type="dxa"/>
            <w:vAlign w:val="bottom"/>
            <w:tcBorders>
              <w:right w:val="single" w:sz="8" w:color="auto"/>
            </w:tcBorders>
          </w:tcPr>
          <w:p>
            <w:pPr>
              <w:spacing w:after="0"/>
              <w:rPr>
                <w:sz w:val="12"/>
                <w:szCs w:val="12"/>
                <w:color w:val="auto"/>
              </w:rPr>
            </w:pPr>
          </w:p>
        </w:tc>
        <w:tc>
          <w:tcPr>
            <w:tcW w:w="760" w:type="dxa"/>
            <w:vAlign w:val="bottom"/>
            <w:tcBorders>
              <w:right w:val="single" w:sz="8" w:color="auto"/>
            </w:tcBorders>
          </w:tcPr>
          <w:p>
            <w:pPr>
              <w:spacing w:after="0"/>
              <w:rPr>
                <w:sz w:val="12"/>
                <w:szCs w:val="12"/>
                <w:color w:val="auto"/>
              </w:rPr>
            </w:pPr>
          </w:p>
        </w:tc>
        <w:tc>
          <w:tcPr>
            <w:tcW w:w="880" w:type="dxa"/>
            <w:vAlign w:val="bottom"/>
            <w:tcBorders>
              <w:right w:val="single" w:sz="8" w:color="auto"/>
            </w:tcBorders>
          </w:tcPr>
          <w:p>
            <w:pPr>
              <w:spacing w:after="0"/>
              <w:rPr>
                <w:sz w:val="12"/>
                <w:szCs w:val="12"/>
                <w:color w:val="auto"/>
              </w:rPr>
            </w:pPr>
          </w:p>
        </w:tc>
        <w:tc>
          <w:tcPr>
            <w:tcW w:w="840" w:type="dxa"/>
            <w:vAlign w:val="bottom"/>
            <w:tcBorders>
              <w:right w:val="single" w:sz="8" w:color="auto"/>
            </w:tcBorders>
          </w:tcPr>
          <w:p>
            <w:pPr>
              <w:spacing w:after="0"/>
              <w:rPr>
                <w:sz w:val="12"/>
                <w:szCs w:val="12"/>
                <w:color w:val="auto"/>
              </w:rPr>
            </w:pPr>
          </w:p>
        </w:tc>
        <w:tc>
          <w:tcPr>
            <w:tcW w:w="1040" w:type="dxa"/>
            <w:vAlign w:val="bottom"/>
            <w:tcBorders>
              <w:right w:val="single" w:sz="8" w:color="auto"/>
            </w:tcBorders>
          </w:tcPr>
          <w:p>
            <w:pPr>
              <w:spacing w:after="0"/>
              <w:rPr>
                <w:sz w:val="12"/>
                <w:szCs w:val="12"/>
                <w:color w:val="auto"/>
              </w:rPr>
            </w:pPr>
          </w:p>
        </w:tc>
      </w:tr>
      <w:tr>
        <w:trPr>
          <w:trHeight w:val="171"/>
        </w:trPr>
        <w:tc>
          <w:tcPr>
            <w:tcW w:w="780" w:type="dxa"/>
            <w:vAlign w:val="bottom"/>
            <w:tcBorders>
              <w:left w:val="single" w:sz="8" w:color="auto"/>
              <w:bottom w:val="single" w:sz="8" w:color="auto"/>
              <w:right w:val="single" w:sz="8" w:color="auto"/>
            </w:tcBorders>
          </w:tcPr>
          <w:p>
            <w:pPr>
              <w:spacing w:after="0"/>
              <w:rPr>
                <w:sz w:val="20"/>
                <w:szCs w:val="20"/>
                <w:color w:val="auto"/>
              </w:rPr>
            </w:pPr>
            <w:r>
              <w:rPr>
                <w:rFonts w:ascii="Arial" w:cs="Arial" w:eastAsia="Arial" w:hAnsi="Arial"/>
                <w:sz w:val="14"/>
                <w:szCs w:val="14"/>
                <w:b w:val="1"/>
                <w:bCs w:val="1"/>
                <w:color w:val="auto"/>
              </w:rPr>
              <w:t>License</w:t>
            </w:r>
          </w:p>
        </w:tc>
        <w:tc>
          <w:tcPr>
            <w:tcW w:w="960" w:type="dxa"/>
            <w:vAlign w:val="bottom"/>
            <w:tcBorders>
              <w:bottom w:val="single" w:sz="8" w:color="auto"/>
              <w:right w:val="single" w:sz="8" w:color="auto"/>
            </w:tcBorders>
          </w:tcPr>
          <w:p>
            <w:pPr>
              <w:spacing w:after="0"/>
              <w:rPr>
                <w:sz w:val="14"/>
                <w:szCs w:val="14"/>
                <w:color w:val="auto"/>
              </w:rPr>
            </w:pPr>
          </w:p>
        </w:tc>
        <w:tc>
          <w:tcPr>
            <w:tcW w:w="920" w:type="dxa"/>
            <w:vAlign w:val="bottom"/>
            <w:tcBorders>
              <w:bottom w:val="single" w:sz="8" w:color="auto"/>
              <w:right w:val="single" w:sz="8" w:color="auto"/>
            </w:tcBorders>
          </w:tcPr>
          <w:p>
            <w:pPr>
              <w:spacing w:after="0"/>
              <w:rPr>
                <w:sz w:val="14"/>
                <w:szCs w:val="14"/>
                <w:color w:val="auto"/>
              </w:rPr>
            </w:pPr>
          </w:p>
        </w:tc>
        <w:tc>
          <w:tcPr>
            <w:tcW w:w="2560" w:type="dxa"/>
            <w:vAlign w:val="bottom"/>
            <w:tcBorders>
              <w:bottom w:val="single" w:sz="8" w:color="auto"/>
              <w:right w:val="single" w:sz="8" w:color="auto"/>
            </w:tcBorders>
          </w:tcPr>
          <w:p>
            <w:pPr>
              <w:spacing w:after="0"/>
              <w:rPr>
                <w:sz w:val="14"/>
                <w:szCs w:val="14"/>
                <w:color w:val="auto"/>
              </w:rPr>
            </w:pPr>
          </w:p>
        </w:tc>
        <w:tc>
          <w:tcPr>
            <w:tcW w:w="760" w:type="dxa"/>
            <w:vAlign w:val="bottom"/>
            <w:tcBorders>
              <w:bottom w:val="single" w:sz="8" w:color="auto"/>
              <w:right w:val="single" w:sz="8" w:color="auto"/>
            </w:tcBorders>
          </w:tcPr>
          <w:p>
            <w:pPr>
              <w:spacing w:after="0"/>
              <w:rPr>
                <w:sz w:val="14"/>
                <w:szCs w:val="14"/>
                <w:color w:val="auto"/>
              </w:rPr>
            </w:pPr>
          </w:p>
        </w:tc>
        <w:tc>
          <w:tcPr>
            <w:tcW w:w="1120" w:type="dxa"/>
            <w:vAlign w:val="bottom"/>
            <w:tcBorders>
              <w:bottom w:val="single" w:sz="8" w:color="auto"/>
              <w:right w:val="single" w:sz="8" w:color="auto"/>
            </w:tcBorders>
          </w:tcPr>
          <w:p>
            <w:pPr>
              <w:spacing w:after="0"/>
              <w:rPr>
                <w:sz w:val="14"/>
                <w:szCs w:val="14"/>
                <w:color w:val="auto"/>
              </w:rPr>
            </w:pPr>
          </w:p>
        </w:tc>
        <w:tc>
          <w:tcPr>
            <w:tcW w:w="760" w:type="dxa"/>
            <w:vAlign w:val="bottom"/>
            <w:tcBorders>
              <w:bottom w:val="single" w:sz="8" w:color="auto"/>
              <w:right w:val="single" w:sz="8" w:color="auto"/>
            </w:tcBorders>
          </w:tcPr>
          <w:p>
            <w:pPr>
              <w:spacing w:after="0"/>
              <w:rPr>
                <w:sz w:val="14"/>
                <w:szCs w:val="14"/>
                <w:color w:val="auto"/>
              </w:rPr>
            </w:pPr>
          </w:p>
        </w:tc>
        <w:tc>
          <w:tcPr>
            <w:tcW w:w="760" w:type="dxa"/>
            <w:vAlign w:val="bottom"/>
            <w:tcBorders>
              <w:bottom w:val="single" w:sz="8" w:color="auto"/>
              <w:right w:val="single" w:sz="8" w:color="auto"/>
            </w:tcBorders>
          </w:tcPr>
          <w:p>
            <w:pPr>
              <w:spacing w:after="0"/>
              <w:rPr>
                <w:sz w:val="14"/>
                <w:szCs w:val="14"/>
                <w:color w:val="auto"/>
              </w:rPr>
            </w:pPr>
          </w:p>
        </w:tc>
        <w:tc>
          <w:tcPr>
            <w:tcW w:w="880" w:type="dxa"/>
            <w:vAlign w:val="bottom"/>
            <w:tcBorders>
              <w:bottom w:val="single" w:sz="8" w:color="auto"/>
              <w:right w:val="single" w:sz="8" w:color="auto"/>
            </w:tcBorders>
          </w:tcPr>
          <w:p>
            <w:pPr>
              <w:spacing w:after="0"/>
              <w:rPr>
                <w:sz w:val="14"/>
                <w:szCs w:val="14"/>
                <w:color w:val="auto"/>
              </w:rPr>
            </w:pPr>
          </w:p>
        </w:tc>
        <w:tc>
          <w:tcPr>
            <w:tcW w:w="840" w:type="dxa"/>
            <w:vAlign w:val="bottom"/>
            <w:tcBorders>
              <w:bottom w:val="single" w:sz="8" w:color="auto"/>
              <w:right w:val="single" w:sz="8" w:color="auto"/>
            </w:tcBorders>
          </w:tcPr>
          <w:p>
            <w:pPr>
              <w:spacing w:after="0"/>
              <w:rPr>
                <w:sz w:val="14"/>
                <w:szCs w:val="14"/>
                <w:color w:val="auto"/>
              </w:rPr>
            </w:pPr>
          </w:p>
        </w:tc>
        <w:tc>
          <w:tcPr>
            <w:tcW w:w="1040" w:type="dxa"/>
            <w:vAlign w:val="bottom"/>
            <w:tcBorders>
              <w:bottom w:val="single" w:sz="8" w:color="auto"/>
              <w:right w:val="single" w:sz="8" w:color="auto"/>
            </w:tcBorders>
          </w:tcPr>
          <w:p>
            <w:pPr>
              <w:spacing w:after="0"/>
              <w:rPr>
                <w:sz w:val="14"/>
                <w:szCs w:val="14"/>
                <w:color w:val="auto"/>
              </w:rPr>
            </w:pPr>
          </w:p>
        </w:tc>
      </w:tr>
      <w:tr>
        <w:trPr>
          <w:trHeight w:val="223"/>
        </w:trPr>
        <w:tc>
          <w:tcPr>
            <w:tcW w:w="780" w:type="dxa"/>
            <w:vAlign w:val="bottom"/>
            <w:tcBorders>
              <w:left w:val="single" w:sz="8" w:color="auto"/>
              <w:bottom w:val="single" w:sz="8" w:color="auto"/>
              <w:right w:val="single" w:sz="8" w:color="auto"/>
            </w:tcBorders>
          </w:tcPr>
          <w:p>
            <w:pPr>
              <w:spacing w:after="0" w:line="223" w:lineRule="exact"/>
              <w:rPr>
                <w:sz w:val="20"/>
                <w:szCs w:val="20"/>
                <w:color w:val="auto"/>
              </w:rPr>
            </w:pPr>
            <w:r>
              <w:rPr>
                <w:rFonts w:ascii="Arial" w:cs="Arial" w:eastAsia="Arial" w:hAnsi="Arial"/>
                <w:sz w:val="20"/>
                <w:szCs w:val="20"/>
                <w:color w:val="auto"/>
              </w:rPr>
              <w:t>[†]</w:t>
            </w:r>
          </w:p>
        </w:tc>
        <w:tc>
          <w:tcPr>
            <w:tcW w:w="960" w:type="dxa"/>
            <w:vAlign w:val="bottom"/>
            <w:tcBorders>
              <w:bottom w:val="single" w:sz="8" w:color="auto"/>
              <w:right w:val="single" w:sz="8" w:color="auto"/>
            </w:tcBorders>
          </w:tcPr>
          <w:p>
            <w:pPr>
              <w:spacing w:after="0" w:line="223" w:lineRule="exact"/>
              <w:rPr>
                <w:sz w:val="20"/>
                <w:szCs w:val="20"/>
                <w:color w:val="auto"/>
              </w:rPr>
            </w:pPr>
            <w:r>
              <w:rPr>
                <w:rFonts w:ascii="Arial" w:cs="Arial" w:eastAsia="Arial" w:hAnsi="Arial"/>
                <w:sz w:val="20"/>
                <w:szCs w:val="20"/>
                <w:color w:val="auto"/>
              </w:rPr>
              <w:t>[†]</w:t>
            </w:r>
          </w:p>
        </w:tc>
        <w:tc>
          <w:tcPr>
            <w:tcW w:w="920" w:type="dxa"/>
            <w:vAlign w:val="bottom"/>
            <w:tcBorders>
              <w:bottom w:val="single" w:sz="8" w:color="auto"/>
              <w:right w:val="single" w:sz="8" w:color="auto"/>
            </w:tcBorders>
          </w:tcPr>
          <w:p>
            <w:pPr>
              <w:spacing w:after="0" w:line="223" w:lineRule="exact"/>
              <w:rPr>
                <w:sz w:val="20"/>
                <w:szCs w:val="20"/>
                <w:color w:val="auto"/>
              </w:rPr>
            </w:pPr>
            <w:r>
              <w:rPr>
                <w:rFonts w:ascii="Arial" w:cs="Arial" w:eastAsia="Arial" w:hAnsi="Arial"/>
                <w:sz w:val="20"/>
                <w:szCs w:val="20"/>
                <w:color w:val="auto"/>
              </w:rPr>
              <w:t>[†]</w:t>
            </w:r>
          </w:p>
        </w:tc>
        <w:tc>
          <w:tcPr>
            <w:tcW w:w="2560" w:type="dxa"/>
            <w:vAlign w:val="bottom"/>
            <w:tcBorders>
              <w:bottom w:val="single" w:sz="8" w:color="auto"/>
              <w:right w:val="single" w:sz="8" w:color="auto"/>
            </w:tcBorders>
          </w:tcPr>
          <w:p>
            <w:pPr>
              <w:spacing w:after="0" w:line="223" w:lineRule="exact"/>
              <w:rPr>
                <w:sz w:val="20"/>
                <w:szCs w:val="20"/>
                <w:color w:val="auto"/>
              </w:rPr>
            </w:pPr>
            <w:r>
              <w:rPr>
                <w:rFonts w:ascii="Arial" w:cs="Arial" w:eastAsia="Arial" w:hAnsi="Arial"/>
                <w:sz w:val="20"/>
                <w:szCs w:val="20"/>
                <w:color w:val="auto"/>
              </w:rPr>
              <w:t>[†]</w:t>
            </w:r>
          </w:p>
        </w:tc>
        <w:tc>
          <w:tcPr>
            <w:tcW w:w="760" w:type="dxa"/>
            <w:vAlign w:val="bottom"/>
            <w:tcBorders>
              <w:bottom w:val="single" w:sz="8" w:color="auto"/>
              <w:right w:val="single" w:sz="8" w:color="auto"/>
            </w:tcBorders>
          </w:tcPr>
          <w:p>
            <w:pPr>
              <w:spacing w:after="0" w:line="223" w:lineRule="exact"/>
              <w:rPr>
                <w:sz w:val="20"/>
                <w:szCs w:val="20"/>
                <w:color w:val="auto"/>
              </w:rPr>
            </w:pPr>
            <w:r>
              <w:rPr>
                <w:rFonts w:ascii="Arial" w:cs="Arial" w:eastAsia="Arial" w:hAnsi="Arial"/>
                <w:sz w:val="20"/>
                <w:szCs w:val="20"/>
                <w:color w:val="auto"/>
              </w:rPr>
              <w:t>[†]</w:t>
            </w:r>
          </w:p>
        </w:tc>
        <w:tc>
          <w:tcPr>
            <w:tcW w:w="1120" w:type="dxa"/>
            <w:vAlign w:val="bottom"/>
            <w:tcBorders>
              <w:bottom w:val="single" w:sz="8" w:color="auto"/>
              <w:right w:val="single" w:sz="8" w:color="auto"/>
            </w:tcBorders>
          </w:tcPr>
          <w:p>
            <w:pPr>
              <w:spacing w:after="0" w:line="223" w:lineRule="exact"/>
              <w:rPr>
                <w:sz w:val="20"/>
                <w:szCs w:val="20"/>
                <w:color w:val="auto"/>
              </w:rPr>
            </w:pPr>
            <w:r>
              <w:rPr>
                <w:rFonts w:ascii="Arial" w:cs="Arial" w:eastAsia="Arial" w:hAnsi="Arial"/>
                <w:sz w:val="20"/>
                <w:szCs w:val="20"/>
                <w:color w:val="auto"/>
              </w:rPr>
              <w:t>[†]</w:t>
            </w:r>
          </w:p>
        </w:tc>
        <w:tc>
          <w:tcPr>
            <w:tcW w:w="760" w:type="dxa"/>
            <w:vAlign w:val="bottom"/>
            <w:tcBorders>
              <w:bottom w:val="single" w:sz="8" w:color="auto"/>
              <w:right w:val="single" w:sz="8" w:color="auto"/>
            </w:tcBorders>
          </w:tcPr>
          <w:p>
            <w:pPr>
              <w:spacing w:after="0" w:line="223" w:lineRule="exact"/>
              <w:rPr>
                <w:sz w:val="20"/>
                <w:szCs w:val="20"/>
                <w:color w:val="auto"/>
              </w:rPr>
            </w:pPr>
            <w:r>
              <w:rPr>
                <w:rFonts w:ascii="Arial" w:cs="Arial" w:eastAsia="Arial" w:hAnsi="Arial"/>
                <w:sz w:val="20"/>
                <w:szCs w:val="20"/>
                <w:color w:val="auto"/>
              </w:rPr>
              <w:t>[†]</w:t>
            </w:r>
          </w:p>
        </w:tc>
        <w:tc>
          <w:tcPr>
            <w:tcW w:w="760" w:type="dxa"/>
            <w:vAlign w:val="bottom"/>
            <w:tcBorders>
              <w:bottom w:val="single" w:sz="8" w:color="auto"/>
              <w:right w:val="single" w:sz="8" w:color="auto"/>
            </w:tcBorders>
          </w:tcPr>
          <w:p>
            <w:pPr>
              <w:spacing w:after="0" w:line="223" w:lineRule="exact"/>
              <w:rPr>
                <w:sz w:val="20"/>
                <w:szCs w:val="20"/>
                <w:color w:val="auto"/>
              </w:rPr>
            </w:pPr>
            <w:r>
              <w:rPr>
                <w:rFonts w:ascii="Arial" w:cs="Arial" w:eastAsia="Arial" w:hAnsi="Arial"/>
                <w:sz w:val="20"/>
                <w:szCs w:val="20"/>
                <w:color w:val="auto"/>
              </w:rPr>
              <w:t>[†]</w:t>
            </w:r>
          </w:p>
        </w:tc>
        <w:tc>
          <w:tcPr>
            <w:tcW w:w="880" w:type="dxa"/>
            <w:vAlign w:val="bottom"/>
            <w:tcBorders>
              <w:bottom w:val="single" w:sz="8" w:color="auto"/>
              <w:right w:val="single" w:sz="8" w:color="auto"/>
            </w:tcBorders>
          </w:tcPr>
          <w:p>
            <w:pPr>
              <w:spacing w:after="0" w:line="223" w:lineRule="exact"/>
              <w:rPr>
                <w:sz w:val="20"/>
                <w:szCs w:val="20"/>
                <w:color w:val="auto"/>
              </w:rPr>
            </w:pPr>
            <w:r>
              <w:rPr>
                <w:rFonts w:ascii="Arial" w:cs="Arial" w:eastAsia="Arial" w:hAnsi="Arial"/>
                <w:sz w:val="20"/>
                <w:szCs w:val="20"/>
                <w:color w:val="auto"/>
              </w:rPr>
              <w:t>[†]</w:t>
            </w:r>
          </w:p>
        </w:tc>
        <w:tc>
          <w:tcPr>
            <w:tcW w:w="840" w:type="dxa"/>
            <w:vAlign w:val="bottom"/>
            <w:tcBorders>
              <w:bottom w:val="single" w:sz="8" w:color="auto"/>
              <w:right w:val="single" w:sz="8" w:color="auto"/>
            </w:tcBorders>
          </w:tcPr>
          <w:p>
            <w:pPr>
              <w:spacing w:after="0" w:line="223" w:lineRule="exact"/>
              <w:rPr>
                <w:sz w:val="20"/>
                <w:szCs w:val="20"/>
                <w:color w:val="auto"/>
              </w:rPr>
            </w:pPr>
            <w:r>
              <w:rPr>
                <w:rFonts w:ascii="Arial" w:cs="Arial" w:eastAsia="Arial" w:hAnsi="Arial"/>
                <w:sz w:val="20"/>
                <w:szCs w:val="20"/>
                <w:color w:val="auto"/>
              </w:rPr>
              <w:t>[†]</w:t>
            </w:r>
          </w:p>
        </w:tc>
        <w:tc>
          <w:tcPr>
            <w:tcW w:w="1040" w:type="dxa"/>
            <w:vAlign w:val="bottom"/>
            <w:tcBorders>
              <w:bottom w:val="single" w:sz="8" w:color="auto"/>
              <w:right w:val="single" w:sz="8" w:color="auto"/>
            </w:tcBorders>
          </w:tcPr>
          <w:p>
            <w:pPr>
              <w:spacing w:after="0" w:line="223" w:lineRule="exact"/>
              <w:rPr>
                <w:sz w:val="20"/>
                <w:szCs w:val="20"/>
                <w:color w:val="auto"/>
              </w:rPr>
            </w:pPr>
            <w:r>
              <w:rPr>
                <w:rFonts w:ascii="Arial" w:cs="Arial" w:eastAsia="Arial" w:hAnsi="Arial"/>
                <w:sz w:val="20"/>
                <w:szCs w:val="20"/>
                <w:color w:val="auto"/>
              </w:rPr>
              <w:t>[†]</w:t>
            </w:r>
          </w:p>
        </w:tc>
      </w:tr>
      <w:tr>
        <w:trPr>
          <w:trHeight w:val="223"/>
        </w:trPr>
        <w:tc>
          <w:tcPr>
            <w:tcW w:w="780" w:type="dxa"/>
            <w:vAlign w:val="bottom"/>
            <w:tcBorders>
              <w:left w:val="single" w:sz="8" w:color="auto"/>
              <w:bottom w:val="single" w:sz="8" w:color="auto"/>
              <w:right w:val="single" w:sz="8" w:color="auto"/>
            </w:tcBorders>
          </w:tcPr>
          <w:p>
            <w:pPr>
              <w:spacing w:after="0" w:line="223" w:lineRule="exact"/>
              <w:rPr>
                <w:sz w:val="20"/>
                <w:szCs w:val="20"/>
                <w:color w:val="auto"/>
              </w:rPr>
            </w:pPr>
            <w:r>
              <w:rPr>
                <w:rFonts w:ascii="Arial" w:cs="Arial" w:eastAsia="Arial" w:hAnsi="Arial"/>
                <w:sz w:val="20"/>
                <w:szCs w:val="20"/>
                <w:color w:val="auto"/>
              </w:rPr>
              <w:t>[†]</w:t>
            </w:r>
          </w:p>
        </w:tc>
        <w:tc>
          <w:tcPr>
            <w:tcW w:w="960" w:type="dxa"/>
            <w:vAlign w:val="bottom"/>
            <w:tcBorders>
              <w:bottom w:val="single" w:sz="8" w:color="auto"/>
              <w:right w:val="single" w:sz="8" w:color="auto"/>
            </w:tcBorders>
          </w:tcPr>
          <w:p>
            <w:pPr>
              <w:spacing w:after="0" w:line="223" w:lineRule="exact"/>
              <w:rPr>
                <w:sz w:val="20"/>
                <w:szCs w:val="20"/>
                <w:color w:val="auto"/>
              </w:rPr>
            </w:pPr>
            <w:r>
              <w:rPr>
                <w:rFonts w:ascii="Arial" w:cs="Arial" w:eastAsia="Arial" w:hAnsi="Arial"/>
                <w:sz w:val="20"/>
                <w:szCs w:val="20"/>
                <w:color w:val="auto"/>
              </w:rPr>
              <w:t>[†]</w:t>
            </w:r>
          </w:p>
        </w:tc>
        <w:tc>
          <w:tcPr>
            <w:tcW w:w="920" w:type="dxa"/>
            <w:vAlign w:val="bottom"/>
            <w:tcBorders>
              <w:bottom w:val="single" w:sz="8" w:color="auto"/>
              <w:right w:val="single" w:sz="8" w:color="auto"/>
            </w:tcBorders>
          </w:tcPr>
          <w:p>
            <w:pPr>
              <w:spacing w:after="0" w:line="223" w:lineRule="exact"/>
              <w:rPr>
                <w:sz w:val="20"/>
                <w:szCs w:val="20"/>
                <w:color w:val="auto"/>
              </w:rPr>
            </w:pPr>
            <w:r>
              <w:rPr>
                <w:rFonts w:ascii="Arial" w:cs="Arial" w:eastAsia="Arial" w:hAnsi="Arial"/>
                <w:sz w:val="20"/>
                <w:szCs w:val="20"/>
                <w:color w:val="auto"/>
              </w:rPr>
              <w:t>[†]</w:t>
            </w:r>
          </w:p>
        </w:tc>
        <w:tc>
          <w:tcPr>
            <w:tcW w:w="2560" w:type="dxa"/>
            <w:vAlign w:val="bottom"/>
            <w:tcBorders>
              <w:bottom w:val="single" w:sz="8" w:color="auto"/>
              <w:right w:val="single" w:sz="8" w:color="auto"/>
            </w:tcBorders>
          </w:tcPr>
          <w:p>
            <w:pPr>
              <w:spacing w:after="0" w:line="223" w:lineRule="exact"/>
              <w:rPr>
                <w:sz w:val="20"/>
                <w:szCs w:val="20"/>
                <w:color w:val="auto"/>
              </w:rPr>
            </w:pPr>
            <w:r>
              <w:rPr>
                <w:rFonts w:ascii="Arial" w:cs="Arial" w:eastAsia="Arial" w:hAnsi="Arial"/>
                <w:sz w:val="20"/>
                <w:szCs w:val="20"/>
                <w:color w:val="auto"/>
              </w:rPr>
              <w:t>[†]</w:t>
            </w:r>
          </w:p>
        </w:tc>
        <w:tc>
          <w:tcPr>
            <w:tcW w:w="760" w:type="dxa"/>
            <w:vAlign w:val="bottom"/>
            <w:tcBorders>
              <w:bottom w:val="single" w:sz="8" w:color="auto"/>
              <w:right w:val="single" w:sz="8" w:color="auto"/>
            </w:tcBorders>
          </w:tcPr>
          <w:p>
            <w:pPr>
              <w:spacing w:after="0" w:line="223" w:lineRule="exact"/>
              <w:rPr>
                <w:sz w:val="20"/>
                <w:szCs w:val="20"/>
                <w:color w:val="auto"/>
              </w:rPr>
            </w:pPr>
            <w:r>
              <w:rPr>
                <w:rFonts w:ascii="Arial" w:cs="Arial" w:eastAsia="Arial" w:hAnsi="Arial"/>
                <w:sz w:val="20"/>
                <w:szCs w:val="20"/>
                <w:color w:val="auto"/>
              </w:rPr>
              <w:t>[†]</w:t>
            </w:r>
          </w:p>
        </w:tc>
        <w:tc>
          <w:tcPr>
            <w:tcW w:w="1120" w:type="dxa"/>
            <w:vAlign w:val="bottom"/>
            <w:tcBorders>
              <w:bottom w:val="single" w:sz="8" w:color="auto"/>
              <w:right w:val="single" w:sz="8" w:color="auto"/>
            </w:tcBorders>
          </w:tcPr>
          <w:p>
            <w:pPr>
              <w:spacing w:after="0" w:line="223" w:lineRule="exact"/>
              <w:rPr>
                <w:sz w:val="20"/>
                <w:szCs w:val="20"/>
                <w:color w:val="auto"/>
              </w:rPr>
            </w:pPr>
            <w:r>
              <w:rPr>
                <w:rFonts w:ascii="Arial" w:cs="Arial" w:eastAsia="Arial" w:hAnsi="Arial"/>
                <w:sz w:val="20"/>
                <w:szCs w:val="20"/>
                <w:color w:val="auto"/>
              </w:rPr>
              <w:t>[†]</w:t>
            </w:r>
          </w:p>
        </w:tc>
        <w:tc>
          <w:tcPr>
            <w:tcW w:w="760" w:type="dxa"/>
            <w:vAlign w:val="bottom"/>
            <w:tcBorders>
              <w:bottom w:val="single" w:sz="8" w:color="auto"/>
              <w:right w:val="single" w:sz="8" w:color="auto"/>
            </w:tcBorders>
          </w:tcPr>
          <w:p>
            <w:pPr>
              <w:spacing w:after="0" w:line="223" w:lineRule="exact"/>
              <w:rPr>
                <w:sz w:val="20"/>
                <w:szCs w:val="20"/>
                <w:color w:val="auto"/>
              </w:rPr>
            </w:pPr>
            <w:r>
              <w:rPr>
                <w:rFonts w:ascii="Arial" w:cs="Arial" w:eastAsia="Arial" w:hAnsi="Arial"/>
                <w:sz w:val="20"/>
                <w:szCs w:val="20"/>
                <w:color w:val="auto"/>
              </w:rPr>
              <w:t>[†]</w:t>
            </w:r>
          </w:p>
        </w:tc>
        <w:tc>
          <w:tcPr>
            <w:tcW w:w="760" w:type="dxa"/>
            <w:vAlign w:val="bottom"/>
            <w:tcBorders>
              <w:bottom w:val="single" w:sz="8" w:color="auto"/>
              <w:right w:val="single" w:sz="8" w:color="auto"/>
            </w:tcBorders>
          </w:tcPr>
          <w:p>
            <w:pPr>
              <w:spacing w:after="0" w:line="223" w:lineRule="exact"/>
              <w:rPr>
                <w:sz w:val="20"/>
                <w:szCs w:val="20"/>
                <w:color w:val="auto"/>
              </w:rPr>
            </w:pPr>
            <w:r>
              <w:rPr>
                <w:rFonts w:ascii="Arial" w:cs="Arial" w:eastAsia="Arial" w:hAnsi="Arial"/>
                <w:sz w:val="20"/>
                <w:szCs w:val="20"/>
                <w:color w:val="auto"/>
              </w:rPr>
              <w:t>[†]</w:t>
            </w:r>
          </w:p>
        </w:tc>
        <w:tc>
          <w:tcPr>
            <w:tcW w:w="880" w:type="dxa"/>
            <w:vAlign w:val="bottom"/>
            <w:tcBorders>
              <w:bottom w:val="single" w:sz="8" w:color="auto"/>
              <w:right w:val="single" w:sz="8" w:color="auto"/>
            </w:tcBorders>
          </w:tcPr>
          <w:p>
            <w:pPr>
              <w:spacing w:after="0"/>
              <w:rPr>
                <w:sz w:val="19"/>
                <w:szCs w:val="19"/>
                <w:color w:val="auto"/>
              </w:rPr>
            </w:pPr>
          </w:p>
        </w:tc>
        <w:tc>
          <w:tcPr>
            <w:tcW w:w="840" w:type="dxa"/>
            <w:vAlign w:val="bottom"/>
            <w:tcBorders>
              <w:bottom w:val="single" w:sz="8" w:color="auto"/>
              <w:right w:val="single" w:sz="8" w:color="auto"/>
            </w:tcBorders>
          </w:tcPr>
          <w:p>
            <w:pPr>
              <w:spacing w:after="0"/>
              <w:rPr>
                <w:sz w:val="19"/>
                <w:szCs w:val="19"/>
                <w:color w:val="auto"/>
              </w:rPr>
            </w:pPr>
          </w:p>
        </w:tc>
        <w:tc>
          <w:tcPr>
            <w:tcW w:w="1040" w:type="dxa"/>
            <w:vAlign w:val="bottom"/>
            <w:tcBorders>
              <w:bottom w:val="single" w:sz="8" w:color="auto"/>
              <w:right w:val="single" w:sz="8" w:color="auto"/>
            </w:tcBorders>
          </w:tcPr>
          <w:p>
            <w:pPr>
              <w:spacing w:after="0" w:line="223" w:lineRule="exact"/>
              <w:rPr>
                <w:sz w:val="20"/>
                <w:szCs w:val="20"/>
                <w:color w:val="auto"/>
              </w:rPr>
            </w:pPr>
            <w:r>
              <w:rPr>
                <w:rFonts w:ascii="Arial" w:cs="Arial" w:eastAsia="Arial" w:hAnsi="Arial"/>
                <w:sz w:val="20"/>
                <w:szCs w:val="20"/>
                <w:color w:val="auto"/>
              </w:rPr>
              <w:t>[†]</w:t>
            </w:r>
          </w:p>
        </w:tc>
      </w:tr>
      <w:tr>
        <w:trPr>
          <w:trHeight w:val="223"/>
        </w:trPr>
        <w:tc>
          <w:tcPr>
            <w:tcW w:w="780" w:type="dxa"/>
            <w:vAlign w:val="bottom"/>
            <w:tcBorders>
              <w:left w:val="single" w:sz="8" w:color="auto"/>
              <w:bottom w:val="single" w:sz="8" w:color="auto"/>
              <w:right w:val="single" w:sz="8" w:color="auto"/>
            </w:tcBorders>
          </w:tcPr>
          <w:p>
            <w:pPr>
              <w:spacing w:after="0" w:line="223" w:lineRule="exact"/>
              <w:rPr>
                <w:sz w:val="20"/>
                <w:szCs w:val="20"/>
                <w:color w:val="auto"/>
              </w:rPr>
            </w:pPr>
            <w:r>
              <w:rPr>
                <w:rFonts w:ascii="Arial" w:cs="Arial" w:eastAsia="Arial" w:hAnsi="Arial"/>
                <w:sz w:val="20"/>
                <w:szCs w:val="20"/>
                <w:color w:val="auto"/>
              </w:rPr>
              <w:t>[†]</w:t>
            </w:r>
          </w:p>
        </w:tc>
        <w:tc>
          <w:tcPr>
            <w:tcW w:w="960" w:type="dxa"/>
            <w:vAlign w:val="bottom"/>
            <w:tcBorders>
              <w:bottom w:val="single" w:sz="8" w:color="auto"/>
              <w:right w:val="single" w:sz="8" w:color="auto"/>
            </w:tcBorders>
          </w:tcPr>
          <w:p>
            <w:pPr>
              <w:spacing w:after="0" w:line="223" w:lineRule="exact"/>
              <w:rPr>
                <w:sz w:val="20"/>
                <w:szCs w:val="20"/>
                <w:color w:val="auto"/>
              </w:rPr>
            </w:pPr>
            <w:r>
              <w:rPr>
                <w:rFonts w:ascii="Arial" w:cs="Arial" w:eastAsia="Arial" w:hAnsi="Arial"/>
                <w:sz w:val="20"/>
                <w:szCs w:val="20"/>
                <w:color w:val="auto"/>
              </w:rPr>
              <w:t>[†]</w:t>
            </w:r>
          </w:p>
        </w:tc>
        <w:tc>
          <w:tcPr>
            <w:tcW w:w="920" w:type="dxa"/>
            <w:vAlign w:val="bottom"/>
            <w:tcBorders>
              <w:bottom w:val="single" w:sz="8" w:color="auto"/>
              <w:right w:val="single" w:sz="8" w:color="auto"/>
            </w:tcBorders>
          </w:tcPr>
          <w:p>
            <w:pPr>
              <w:spacing w:after="0" w:line="223" w:lineRule="exact"/>
              <w:rPr>
                <w:sz w:val="20"/>
                <w:szCs w:val="20"/>
                <w:color w:val="auto"/>
              </w:rPr>
            </w:pPr>
            <w:r>
              <w:rPr>
                <w:rFonts w:ascii="Arial" w:cs="Arial" w:eastAsia="Arial" w:hAnsi="Arial"/>
                <w:sz w:val="20"/>
                <w:szCs w:val="20"/>
                <w:color w:val="auto"/>
              </w:rPr>
              <w:t>[†]</w:t>
            </w:r>
          </w:p>
        </w:tc>
        <w:tc>
          <w:tcPr>
            <w:tcW w:w="2560" w:type="dxa"/>
            <w:vAlign w:val="bottom"/>
            <w:tcBorders>
              <w:bottom w:val="single" w:sz="8" w:color="auto"/>
              <w:right w:val="single" w:sz="8" w:color="auto"/>
            </w:tcBorders>
          </w:tcPr>
          <w:p>
            <w:pPr>
              <w:spacing w:after="0" w:line="223" w:lineRule="exact"/>
              <w:rPr>
                <w:sz w:val="20"/>
                <w:szCs w:val="20"/>
                <w:color w:val="auto"/>
              </w:rPr>
            </w:pPr>
            <w:r>
              <w:rPr>
                <w:rFonts w:ascii="Arial" w:cs="Arial" w:eastAsia="Arial" w:hAnsi="Arial"/>
                <w:sz w:val="20"/>
                <w:szCs w:val="20"/>
                <w:color w:val="auto"/>
              </w:rPr>
              <w:t>[†]</w:t>
            </w:r>
          </w:p>
        </w:tc>
        <w:tc>
          <w:tcPr>
            <w:tcW w:w="760" w:type="dxa"/>
            <w:vAlign w:val="bottom"/>
            <w:tcBorders>
              <w:bottom w:val="single" w:sz="8" w:color="auto"/>
              <w:right w:val="single" w:sz="8" w:color="auto"/>
            </w:tcBorders>
          </w:tcPr>
          <w:p>
            <w:pPr>
              <w:spacing w:after="0" w:line="223" w:lineRule="exact"/>
              <w:rPr>
                <w:sz w:val="20"/>
                <w:szCs w:val="20"/>
                <w:color w:val="auto"/>
              </w:rPr>
            </w:pPr>
            <w:r>
              <w:rPr>
                <w:rFonts w:ascii="Arial" w:cs="Arial" w:eastAsia="Arial" w:hAnsi="Arial"/>
                <w:sz w:val="20"/>
                <w:szCs w:val="20"/>
                <w:color w:val="auto"/>
              </w:rPr>
              <w:t>[†]</w:t>
            </w:r>
          </w:p>
        </w:tc>
        <w:tc>
          <w:tcPr>
            <w:tcW w:w="1120" w:type="dxa"/>
            <w:vAlign w:val="bottom"/>
            <w:tcBorders>
              <w:bottom w:val="single" w:sz="8" w:color="auto"/>
              <w:right w:val="single" w:sz="8" w:color="auto"/>
            </w:tcBorders>
          </w:tcPr>
          <w:p>
            <w:pPr>
              <w:spacing w:after="0" w:line="223" w:lineRule="exact"/>
              <w:rPr>
                <w:sz w:val="20"/>
                <w:szCs w:val="20"/>
                <w:color w:val="auto"/>
              </w:rPr>
            </w:pPr>
            <w:r>
              <w:rPr>
                <w:rFonts w:ascii="Arial" w:cs="Arial" w:eastAsia="Arial" w:hAnsi="Arial"/>
                <w:sz w:val="20"/>
                <w:szCs w:val="20"/>
                <w:color w:val="auto"/>
              </w:rPr>
              <w:t>[†]</w:t>
            </w:r>
          </w:p>
        </w:tc>
        <w:tc>
          <w:tcPr>
            <w:tcW w:w="760" w:type="dxa"/>
            <w:vAlign w:val="bottom"/>
            <w:tcBorders>
              <w:bottom w:val="single" w:sz="8" w:color="auto"/>
              <w:right w:val="single" w:sz="8" w:color="auto"/>
            </w:tcBorders>
          </w:tcPr>
          <w:p>
            <w:pPr>
              <w:spacing w:after="0" w:line="223" w:lineRule="exact"/>
              <w:rPr>
                <w:sz w:val="20"/>
                <w:szCs w:val="20"/>
                <w:color w:val="auto"/>
              </w:rPr>
            </w:pPr>
            <w:r>
              <w:rPr>
                <w:rFonts w:ascii="Arial" w:cs="Arial" w:eastAsia="Arial" w:hAnsi="Arial"/>
                <w:sz w:val="20"/>
                <w:szCs w:val="20"/>
                <w:color w:val="auto"/>
              </w:rPr>
              <w:t>[†]</w:t>
            </w:r>
          </w:p>
        </w:tc>
        <w:tc>
          <w:tcPr>
            <w:tcW w:w="760" w:type="dxa"/>
            <w:vAlign w:val="bottom"/>
            <w:tcBorders>
              <w:bottom w:val="single" w:sz="8" w:color="auto"/>
              <w:right w:val="single" w:sz="8" w:color="auto"/>
            </w:tcBorders>
          </w:tcPr>
          <w:p>
            <w:pPr>
              <w:spacing w:after="0" w:line="223" w:lineRule="exact"/>
              <w:rPr>
                <w:sz w:val="20"/>
                <w:szCs w:val="20"/>
                <w:color w:val="auto"/>
              </w:rPr>
            </w:pPr>
            <w:r>
              <w:rPr>
                <w:rFonts w:ascii="Arial" w:cs="Arial" w:eastAsia="Arial" w:hAnsi="Arial"/>
                <w:sz w:val="20"/>
                <w:szCs w:val="20"/>
                <w:color w:val="auto"/>
              </w:rPr>
              <w:t>[†]</w:t>
            </w:r>
          </w:p>
        </w:tc>
        <w:tc>
          <w:tcPr>
            <w:tcW w:w="880" w:type="dxa"/>
            <w:vAlign w:val="bottom"/>
            <w:tcBorders>
              <w:bottom w:val="single" w:sz="8" w:color="auto"/>
              <w:right w:val="single" w:sz="8" w:color="auto"/>
            </w:tcBorders>
          </w:tcPr>
          <w:p>
            <w:pPr>
              <w:spacing w:after="0" w:line="223" w:lineRule="exact"/>
              <w:rPr>
                <w:sz w:val="20"/>
                <w:szCs w:val="20"/>
                <w:color w:val="auto"/>
              </w:rPr>
            </w:pPr>
            <w:r>
              <w:rPr>
                <w:rFonts w:ascii="Arial" w:cs="Arial" w:eastAsia="Arial" w:hAnsi="Arial"/>
                <w:sz w:val="20"/>
                <w:szCs w:val="20"/>
                <w:color w:val="auto"/>
              </w:rPr>
              <w:t>[†]</w:t>
            </w:r>
          </w:p>
        </w:tc>
        <w:tc>
          <w:tcPr>
            <w:tcW w:w="840" w:type="dxa"/>
            <w:vAlign w:val="bottom"/>
            <w:tcBorders>
              <w:bottom w:val="single" w:sz="8" w:color="auto"/>
              <w:right w:val="single" w:sz="8" w:color="auto"/>
            </w:tcBorders>
          </w:tcPr>
          <w:p>
            <w:pPr>
              <w:spacing w:after="0" w:line="223" w:lineRule="exact"/>
              <w:rPr>
                <w:sz w:val="20"/>
                <w:szCs w:val="20"/>
                <w:color w:val="auto"/>
              </w:rPr>
            </w:pPr>
            <w:r>
              <w:rPr>
                <w:rFonts w:ascii="Arial" w:cs="Arial" w:eastAsia="Arial" w:hAnsi="Arial"/>
                <w:sz w:val="20"/>
                <w:szCs w:val="20"/>
                <w:color w:val="auto"/>
              </w:rPr>
              <w:t>[†]</w:t>
            </w:r>
          </w:p>
        </w:tc>
        <w:tc>
          <w:tcPr>
            <w:tcW w:w="1040" w:type="dxa"/>
            <w:vAlign w:val="bottom"/>
            <w:tcBorders>
              <w:bottom w:val="single" w:sz="8" w:color="auto"/>
              <w:right w:val="single" w:sz="8" w:color="auto"/>
            </w:tcBorders>
          </w:tcPr>
          <w:p>
            <w:pPr>
              <w:spacing w:after="0" w:line="223" w:lineRule="exact"/>
              <w:rPr>
                <w:sz w:val="20"/>
                <w:szCs w:val="20"/>
                <w:color w:val="auto"/>
              </w:rPr>
            </w:pPr>
            <w:r>
              <w:rPr>
                <w:rFonts w:ascii="Arial" w:cs="Arial" w:eastAsia="Arial" w:hAnsi="Arial"/>
                <w:sz w:val="20"/>
                <w:szCs w:val="20"/>
                <w:color w:val="auto"/>
              </w:rPr>
              <w:t>[†]</w:t>
            </w:r>
          </w:p>
        </w:tc>
      </w:tr>
      <w:tr>
        <w:trPr>
          <w:trHeight w:val="223"/>
        </w:trPr>
        <w:tc>
          <w:tcPr>
            <w:tcW w:w="780" w:type="dxa"/>
            <w:vAlign w:val="bottom"/>
            <w:tcBorders>
              <w:left w:val="single" w:sz="8" w:color="auto"/>
              <w:bottom w:val="single" w:sz="8" w:color="auto"/>
              <w:right w:val="single" w:sz="8" w:color="auto"/>
            </w:tcBorders>
          </w:tcPr>
          <w:p>
            <w:pPr>
              <w:spacing w:after="0" w:line="223" w:lineRule="exact"/>
              <w:rPr>
                <w:sz w:val="20"/>
                <w:szCs w:val="20"/>
                <w:color w:val="auto"/>
              </w:rPr>
            </w:pPr>
            <w:r>
              <w:rPr>
                <w:rFonts w:ascii="Arial" w:cs="Arial" w:eastAsia="Arial" w:hAnsi="Arial"/>
                <w:sz w:val="20"/>
                <w:szCs w:val="20"/>
                <w:color w:val="auto"/>
              </w:rPr>
              <w:t>[†]</w:t>
            </w:r>
          </w:p>
        </w:tc>
        <w:tc>
          <w:tcPr>
            <w:tcW w:w="960" w:type="dxa"/>
            <w:vAlign w:val="bottom"/>
            <w:tcBorders>
              <w:bottom w:val="single" w:sz="8" w:color="auto"/>
              <w:right w:val="single" w:sz="8" w:color="auto"/>
            </w:tcBorders>
          </w:tcPr>
          <w:p>
            <w:pPr>
              <w:spacing w:after="0" w:line="223" w:lineRule="exact"/>
              <w:rPr>
                <w:sz w:val="20"/>
                <w:szCs w:val="20"/>
                <w:color w:val="auto"/>
              </w:rPr>
            </w:pPr>
            <w:r>
              <w:rPr>
                <w:rFonts w:ascii="Arial" w:cs="Arial" w:eastAsia="Arial" w:hAnsi="Arial"/>
                <w:sz w:val="20"/>
                <w:szCs w:val="20"/>
                <w:color w:val="auto"/>
              </w:rPr>
              <w:t>[†]</w:t>
            </w:r>
          </w:p>
        </w:tc>
        <w:tc>
          <w:tcPr>
            <w:tcW w:w="920" w:type="dxa"/>
            <w:vAlign w:val="bottom"/>
            <w:tcBorders>
              <w:bottom w:val="single" w:sz="8" w:color="auto"/>
              <w:right w:val="single" w:sz="8" w:color="auto"/>
            </w:tcBorders>
          </w:tcPr>
          <w:p>
            <w:pPr>
              <w:spacing w:after="0" w:line="223" w:lineRule="exact"/>
              <w:rPr>
                <w:sz w:val="20"/>
                <w:szCs w:val="20"/>
                <w:color w:val="auto"/>
              </w:rPr>
            </w:pPr>
            <w:r>
              <w:rPr>
                <w:rFonts w:ascii="Arial" w:cs="Arial" w:eastAsia="Arial" w:hAnsi="Arial"/>
                <w:sz w:val="20"/>
                <w:szCs w:val="20"/>
                <w:color w:val="auto"/>
              </w:rPr>
              <w:t>[†]</w:t>
            </w:r>
          </w:p>
        </w:tc>
        <w:tc>
          <w:tcPr>
            <w:tcW w:w="2560" w:type="dxa"/>
            <w:vAlign w:val="bottom"/>
            <w:tcBorders>
              <w:bottom w:val="single" w:sz="8" w:color="auto"/>
              <w:right w:val="single" w:sz="8" w:color="auto"/>
            </w:tcBorders>
          </w:tcPr>
          <w:p>
            <w:pPr>
              <w:spacing w:after="0" w:line="223" w:lineRule="exact"/>
              <w:rPr>
                <w:sz w:val="20"/>
                <w:szCs w:val="20"/>
                <w:color w:val="auto"/>
              </w:rPr>
            </w:pPr>
            <w:r>
              <w:rPr>
                <w:rFonts w:ascii="Arial" w:cs="Arial" w:eastAsia="Arial" w:hAnsi="Arial"/>
                <w:sz w:val="20"/>
                <w:szCs w:val="20"/>
                <w:color w:val="auto"/>
              </w:rPr>
              <w:t>[†]</w:t>
            </w:r>
          </w:p>
        </w:tc>
        <w:tc>
          <w:tcPr>
            <w:tcW w:w="760" w:type="dxa"/>
            <w:vAlign w:val="bottom"/>
            <w:tcBorders>
              <w:bottom w:val="single" w:sz="8" w:color="auto"/>
              <w:right w:val="single" w:sz="8" w:color="auto"/>
            </w:tcBorders>
          </w:tcPr>
          <w:p>
            <w:pPr>
              <w:spacing w:after="0" w:line="223" w:lineRule="exact"/>
              <w:rPr>
                <w:sz w:val="20"/>
                <w:szCs w:val="20"/>
                <w:color w:val="auto"/>
              </w:rPr>
            </w:pPr>
            <w:r>
              <w:rPr>
                <w:rFonts w:ascii="Arial" w:cs="Arial" w:eastAsia="Arial" w:hAnsi="Arial"/>
                <w:sz w:val="20"/>
                <w:szCs w:val="20"/>
                <w:color w:val="auto"/>
              </w:rPr>
              <w:t>[†]</w:t>
            </w:r>
          </w:p>
        </w:tc>
        <w:tc>
          <w:tcPr>
            <w:tcW w:w="1120" w:type="dxa"/>
            <w:vAlign w:val="bottom"/>
            <w:tcBorders>
              <w:bottom w:val="single" w:sz="8" w:color="auto"/>
              <w:right w:val="single" w:sz="8" w:color="auto"/>
            </w:tcBorders>
          </w:tcPr>
          <w:p>
            <w:pPr>
              <w:spacing w:after="0" w:line="223" w:lineRule="exact"/>
              <w:rPr>
                <w:sz w:val="20"/>
                <w:szCs w:val="20"/>
                <w:color w:val="auto"/>
              </w:rPr>
            </w:pPr>
            <w:r>
              <w:rPr>
                <w:rFonts w:ascii="Arial" w:cs="Arial" w:eastAsia="Arial" w:hAnsi="Arial"/>
                <w:sz w:val="20"/>
                <w:szCs w:val="20"/>
                <w:color w:val="auto"/>
              </w:rPr>
              <w:t>[†]</w:t>
            </w:r>
          </w:p>
        </w:tc>
        <w:tc>
          <w:tcPr>
            <w:tcW w:w="760" w:type="dxa"/>
            <w:vAlign w:val="bottom"/>
            <w:tcBorders>
              <w:bottom w:val="single" w:sz="8" w:color="auto"/>
              <w:right w:val="single" w:sz="8" w:color="auto"/>
            </w:tcBorders>
          </w:tcPr>
          <w:p>
            <w:pPr>
              <w:spacing w:after="0" w:line="223" w:lineRule="exact"/>
              <w:rPr>
                <w:sz w:val="20"/>
                <w:szCs w:val="20"/>
                <w:color w:val="auto"/>
              </w:rPr>
            </w:pPr>
            <w:r>
              <w:rPr>
                <w:rFonts w:ascii="Arial" w:cs="Arial" w:eastAsia="Arial" w:hAnsi="Arial"/>
                <w:sz w:val="20"/>
                <w:szCs w:val="20"/>
                <w:color w:val="auto"/>
              </w:rPr>
              <w:t>[†]</w:t>
            </w:r>
          </w:p>
        </w:tc>
        <w:tc>
          <w:tcPr>
            <w:tcW w:w="760" w:type="dxa"/>
            <w:vAlign w:val="bottom"/>
            <w:tcBorders>
              <w:bottom w:val="single" w:sz="8" w:color="auto"/>
              <w:right w:val="single" w:sz="8" w:color="auto"/>
            </w:tcBorders>
          </w:tcPr>
          <w:p>
            <w:pPr>
              <w:spacing w:after="0" w:line="223" w:lineRule="exact"/>
              <w:rPr>
                <w:sz w:val="20"/>
                <w:szCs w:val="20"/>
                <w:color w:val="auto"/>
              </w:rPr>
            </w:pPr>
            <w:r>
              <w:rPr>
                <w:rFonts w:ascii="Arial" w:cs="Arial" w:eastAsia="Arial" w:hAnsi="Arial"/>
                <w:sz w:val="20"/>
                <w:szCs w:val="20"/>
                <w:color w:val="auto"/>
              </w:rPr>
              <w:t>[†]</w:t>
            </w:r>
          </w:p>
        </w:tc>
        <w:tc>
          <w:tcPr>
            <w:tcW w:w="880" w:type="dxa"/>
            <w:vAlign w:val="bottom"/>
            <w:tcBorders>
              <w:bottom w:val="single" w:sz="8" w:color="auto"/>
              <w:right w:val="single" w:sz="8" w:color="auto"/>
            </w:tcBorders>
          </w:tcPr>
          <w:p>
            <w:pPr>
              <w:spacing w:after="0"/>
              <w:rPr>
                <w:sz w:val="19"/>
                <w:szCs w:val="19"/>
                <w:color w:val="auto"/>
              </w:rPr>
            </w:pPr>
          </w:p>
        </w:tc>
        <w:tc>
          <w:tcPr>
            <w:tcW w:w="840" w:type="dxa"/>
            <w:vAlign w:val="bottom"/>
            <w:tcBorders>
              <w:bottom w:val="single" w:sz="8" w:color="auto"/>
              <w:right w:val="single" w:sz="8" w:color="auto"/>
            </w:tcBorders>
          </w:tcPr>
          <w:p>
            <w:pPr>
              <w:spacing w:after="0"/>
              <w:rPr>
                <w:sz w:val="19"/>
                <w:szCs w:val="19"/>
                <w:color w:val="auto"/>
              </w:rPr>
            </w:pPr>
          </w:p>
        </w:tc>
        <w:tc>
          <w:tcPr>
            <w:tcW w:w="1040" w:type="dxa"/>
            <w:vAlign w:val="bottom"/>
            <w:tcBorders>
              <w:bottom w:val="single" w:sz="8" w:color="auto"/>
              <w:right w:val="single" w:sz="8" w:color="auto"/>
            </w:tcBorders>
          </w:tcPr>
          <w:p>
            <w:pPr>
              <w:spacing w:after="0" w:line="223" w:lineRule="exact"/>
              <w:rPr>
                <w:sz w:val="20"/>
                <w:szCs w:val="20"/>
                <w:color w:val="auto"/>
              </w:rPr>
            </w:pPr>
            <w:r>
              <w:rPr>
                <w:rFonts w:ascii="Arial" w:cs="Arial" w:eastAsia="Arial" w:hAnsi="Arial"/>
                <w:sz w:val="20"/>
                <w:szCs w:val="20"/>
                <w:color w:val="auto"/>
              </w:rPr>
              <w:t>[†]</w:t>
            </w:r>
          </w:p>
        </w:tc>
      </w:tr>
      <w:tr>
        <w:trPr>
          <w:trHeight w:val="223"/>
        </w:trPr>
        <w:tc>
          <w:tcPr>
            <w:tcW w:w="780" w:type="dxa"/>
            <w:vAlign w:val="bottom"/>
            <w:tcBorders>
              <w:left w:val="single" w:sz="8" w:color="auto"/>
              <w:bottom w:val="single" w:sz="8" w:color="auto"/>
              <w:right w:val="single" w:sz="8" w:color="auto"/>
            </w:tcBorders>
          </w:tcPr>
          <w:p>
            <w:pPr>
              <w:spacing w:after="0" w:line="223" w:lineRule="exact"/>
              <w:rPr>
                <w:sz w:val="20"/>
                <w:szCs w:val="20"/>
                <w:color w:val="auto"/>
              </w:rPr>
            </w:pPr>
            <w:r>
              <w:rPr>
                <w:rFonts w:ascii="Arial" w:cs="Arial" w:eastAsia="Arial" w:hAnsi="Arial"/>
                <w:sz w:val="20"/>
                <w:szCs w:val="20"/>
                <w:color w:val="auto"/>
              </w:rPr>
              <w:t>[†]</w:t>
            </w:r>
          </w:p>
        </w:tc>
        <w:tc>
          <w:tcPr>
            <w:tcW w:w="960" w:type="dxa"/>
            <w:vAlign w:val="bottom"/>
            <w:tcBorders>
              <w:bottom w:val="single" w:sz="8" w:color="auto"/>
              <w:right w:val="single" w:sz="8" w:color="auto"/>
            </w:tcBorders>
          </w:tcPr>
          <w:p>
            <w:pPr>
              <w:spacing w:after="0" w:line="223" w:lineRule="exact"/>
              <w:rPr>
                <w:sz w:val="20"/>
                <w:szCs w:val="20"/>
                <w:color w:val="auto"/>
              </w:rPr>
            </w:pPr>
            <w:r>
              <w:rPr>
                <w:rFonts w:ascii="Arial" w:cs="Arial" w:eastAsia="Arial" w:hAnsi="Arial"/>
                <w:sz w:val="20"/>
                <w:szCs w:val="20"/>
                <w:color w:val="auto"/>
              </w:rPr>
              <w:t>[†]</w:t>
            </w:r>
          </w:p>
        </w:tc>
        <w:tc>
          <w:tcPr>
            <w:tcW w:w="920" w:type="dxa"/>
            <w:vAlign w:val="bottom"/>
            <w:tcBorders>
              <w:bottom w:val="single" w:sz="8" w:color="auto"/>
              <w:right w:val="single" w:sz="8" w:color="auto"/>
            </w:tcBorders>
          </w:tcPr>
          <w:p>
            <w:pPr>
              <w:spacing w:after="0" w:line="223" w:lineRule="exact"/>
              <w:rPr>
                <w:sz w:val="20"/>
                <w:szCs w:val="20"/>
                <w:color w:val="auto"/>
              </w:rPr>
            </w:pPr>
            <w:r>
              <w:rPr>
                <w:rFonts w:ascii="Arial" w:cs="Arial" w:eastAsia="Arial" w:hAnsi="Arial"/>
                <w:sz w:val="20"/>
                <w:szCs w:val="20"/>
                <w:color w:val="auto"/>
              </w:rPr>
              <w:t>[†]</w:t>
            </w:r>
          </w:p>
        </w:tc>
        <w:tc>
          <w:tcPr>
            <w:tcW w:w="2560" w:type="dxa"/>
            <w:vAlign w:val="bottom"/>
            <w:tcBorders>
              <w:bottom w:val="single" w:sz="8" w:color="auto"/>
              <w:right w:val="single" w:sz="8" w:color="auto"/>
            </w:tcBorders>
          </w:tcPr>
          <w:p>
            <w:pPr>
              <w:spacing w:after="0" w:line="223" w:lineRule="exact"/>
              <w:rPr>
                <w:sz w:val="20"/>
                <w:szCs w:val="20"/>
                <w:color w:val="auto"/>
              </w:rPr>
            </w:pPr>
            <w:r>
              <w:rPr>
                <w:rFonts w:ascii="Arial" w:cs="Arial" w:eastAsia="Arial" w:hAnsi="Arial"/>
                <w:sz w:val="20"/>
                <w:szCs w:val="20"/>
                <w:color w:val="auto"/>
              </w:rPr>
              <w:t>[†]</w:t>
            </w:r>
          </w:p>
        </w:tc>
        <w:tc>
          <w:tcPr>
            <w:tcW w:w="760" w:type="dxa"/>
            <w:vAlign w:val="bottom"/>
            <w:tcBorders>
              <w:bottom w:val="single" w:sz="8" w:color="auto"/>
              <w:right w:val="single" w:sz="8" w:color="auto"/>
            </w:tcBorders>
          </w:tcPr>
          <w:p>
            <w:pPr>
              <w:spacing w:after="0" w:line="223" w:lineRule="exact"/>
              <w:rPr>
                <w:sz w:val="20"/>
                <w:szCs w:val="20"/>
                <w:color w:val="auto"/>
              </w:rPr>
            </w:pPr>
            <w:r>
              <w:rPr>
                <w:rFonts w:ascii="Arial" w:cs="Arial" w:eastAsia="Arial" w:hAnsi="Arial"/>
                <w:sz w:val="20"/>
                <w:szCs w:val="20"/>
                <w:color w:val="auto"/>
              </w:rPr>
              <w:t>[†]</w:t>
            </w:r>
          </w:p>
        </w:tc>
        <w:tc>
          <w:tcPr>
            <w:tcW w:w="1120" w:type="dxa"/>
            <w:vAlign w:val="bottom"/>
            <w:tcBorders>
              <w:bottom w:val="single" w:sz="8" w:color="auto"/>
              <w:right w:val="single" w:sz="8" w:color="auto"/>
            </w:tcBorders>
          </w:tcPr>
          <w:p>
            <w:pPr>
              <w:spacing w:after="0" w:line="223" w:lineRule="exact"/>
              <w:rPr>
                <w:sz w:val="20"/>
                <w:szCs w:val="20"/>
                <w:color w:val="auto"/>
              </w:rPr>
            </w:pPr>
            <w:r>
              <w:rPr>
                <w:rFonts w:ascii="Arial" w:cs="Arial" w:eastAsia="Arial" w:hAnsi="Arial"/>
                <w:sz w:val="20"/>
                <w:szCs w:val="20"/>
                <w:color w:val="auto"/>
              </w:rPr>
              <w:t>[†]</w:t>
            </w:r>
          </w:p>
        </w:tc>
        <w:tc>
          <w:tcPr>
            <w:tcW w:w="760" w:type="dxa"/>
            <w:vAlign w:val="bottom"/>
            <w:tcBorders>
              <w:bottom w:val="single" w:sz="8" w:color="auto"/>
              <w:right w:val="single" w:sz="8" w:color="auto"/>
            </w:tcBorders>
          </w:tcPr>
          <w:p>
            <w:pPr>
              <w:spacing w:after="0" w:line="223" w:lineRule="exact"/>
              <w:rPr>
                <w:sz w:val="20"/>
                <w:szCs w:val="20"/>
                <w:color w:val="auto"/>
              </w:rPr>
            </w:pPr>
            <w:r>
              <w:rPr>
                <w:rFonts w:ascii="Arial" w:cs="Arial" w:eastAsia="Arial" w:hAnsi="Arial"/>
                <w:sz w:val="20"/>
                <w:szCs w:val="20"/>
                <w:color w:val="auto"/>
              </w:rPr>
              <w:t>[†]</w:t>
            </w:r>
          </w:p>
        </w:tc>
        <w:tc>
          <w:tcPr>
            <w:tcW w:w="760" w:type="dxa"/>
            <w:vAlign w:val="bottom"/>
            <w:tcBorders>
              <w:bottom w:val="single" w:sz="8" w:color="auto"/>
              <w:right w:val="single" w:sz="8" w:color="auto"/>
            </w:tcBorders>
          </w:tcPr>
          <w:p>
            <w:pPr>
              <w:spacing w:after="0" w:line="223" w:lineRule="exact"/>
              <w:rPr>
                <w:sz w:val="20"/>
                <w:szCs w:val="20"/>
                <w:color w:val="auto"/>
              </w:rPr>
            </w:pPr>
            <w:r>
              <w:rPr>
                <w:rFonts w:ascii="Arial" w:cs="Arial" w:eastAsia="Arial" w:hAnsi="Arial"/>
                <w:sz w:val="20"/>
                <w:szCs w:val="20"/>
                <w:color w:val="auto"/>
              </w:rPr>
              <w:t>[†]</w:t>
            </w:r>
          </w:p>
        </w:tc>
        <w:tc>
          <w:tcPr>
            <w:tcW w:w="880" w:type="dxa"/>
            <w:vAlign w:val="bottom"/>
            <w:tcBorders>
              <w:bottom w:val="single" w:sz="8" w:color="auto"/>
            </w:tcBorders>
          </w:tcPr>
          <w:p>
            <w:pPr>
              <w:spacing w:after="0" w:line="223" w:lineRule="exact"/>
              <w:rPr>
                <w:sz w:val="20"/>
                <w:szCs w:val="20"/>
                <w:color w:val="auto"/>
              </w:rPr>
            </w:pPr>
            <w:r>
              <w:rPr>
                <w:rFonts w:ascii="Arial" w:cs="Arial" w:eastAsia="Arial" w:hAnsi="Arial"/>
                <w:sz w:val="20"/>
                <w:szCs w:val="20"/>
                <w:color w:val="auto"/>
              </w:rPr>
              <w:t>[†]</w:t>
            </w:r>
          </w:p>
        </w:tc>
        <w:tc>
          <w:tcPr>
            <w:tcW w:w="840" w:type="dxa"/>
            <w:vAlign w:val="bottom"/>
            <w:tcBorders>
              <w:bottom w:val="single" w:sz="8" w:color="auto"/>
            </w:tcBorders>
          </w:tcPr>
          <w:p>
            <w:pPr>
              <w:spacing w:after="0"/>
              <w:rPr>
                <w:sz w:val="19"/>
                <w:szCs w:val="19"/>
                <w:color w:val="auto"/>
              </w:rPr>
            </w:pPr>
          </w:p>
        </w:tc>
        <w:tc>
          <w:tcPr>
            <w:tcW w:w="1040" w:type="dxa"/>
            <w:vAlign w:val="bottom"/>
            <w:tcBorders>
              <w:bottom w:val="single" w:sz="8" w:color="auto"/>
              <w:right w:val="single" w:sz="8" w:color="auto"/>
            </w:tcBorders>
          </w:tcPr>
          <w:p>
            <w:pPr>
              <w:spacing w:after="0"/>
              <w:rPr>
                <w:sz w:val="19"/>
                <w:szCs w:val="19"/>
                <w:color w:val="auto"/>
              </w:rPr>
            </w:pPr>
          </w:p>
        </w:tc>
      </w:tr>
      <w:tr>
        <w:trPr>
          <w:trHeight w:val="223"/>
        </w:trPr>
        <w:tc>
          <w:tcPr>
            <w:tcW w:w="780" w:type="dxa"/>
            <w:vAlign w:val="bottom"/>
            <w:tcBorders>
              <w:left w:val="single" w:sz="8" w:color="auto"/>
              <w:bottom w:val="single" w:sz="8" w:color="auto"/>
              <w:right w:val="single" w:sz="8" w:color="auto"/>
            </w:tcBorders>
          </w:tcPr>
          <w:p>
            <w:pPr>
              <w:spacing w:after="0" w:line="223" w:lineRule="exact"/>
              <w:rPr>
                <w:sz w:val="20"/>
                <w:szCs w:val="20"/>
                <w:color w:val="auto"/>
              </w:rPr>
            </w:pPr>
            <w:r>
              <w:rPr>
                <w:rFonts w:ascii="Arial" w:cs="Arial" w:eastAsia="Arial" w:hAnsi="Arial"/>
                <w:sz w:val="20"/>
                <w:szCs w:val="20"/>
                <w:color w:val="auto"/>
              </w:rPr>
              <w:t>[†]</w:t>
            </w:r>
          </w:p>
        </w:tc>
        <w:tc>
          <w:tcPr>
            <w:tcW w:w="960" w:type="dxa"/>
            <w:vAlign w:val="bottom"/>
            <w:tcBorders>
              <w:bottom w:val="single" w:sz="8" w:color="auto"/>
              <w:right w:val="single" w:sz="8" w:color="auto"/>
            </w:tcBorders>
          </w:tcPr>
          <w:p>
            <w:pPr>
              <w:spacing w:after="0" w:line="223" w:lineRule="exact"/>
              <w:rPr>
                <w:sz w:val="20"/>
                <w:szCs w:val="20"/>
                <w:color w:val="auto"/>
              </w:rPr>
            </w:pPr>
            <w:r>
              <w:rPr>
                <w:rFonts w:ascii="Arial" w:cs="Arial" w:eastAsia="Arial" w:hAnsi="Arial"/>
                <w:sz w:val="20"/>
                <w:szCs w:val="20"/>
                <w:color w:val="auto"/>
              </w:rPr>
              <w:t>[†]</w:t>
            </w:r>
          </w:p>
        </w:tc>
        <w:tc>
          <w:tcPr>
            <w:tcW w:w="920" w:type="dxa"/>
            <w:vAlign w:val="bottom"/>
            <w:tcBorders>
              <w:bottom w:val="single" w:sz="8" w:color="auto"/>
              <w:right w:val="single" w:sz="8" w:color="auto"/>
            </w:tcBorders>
          </w:tcPr>
          <w:p>
            <w:pPr>
              <w:spacing w:after="0" w:line="223" w:lineRule="exact"/>
              <w:rPr>
                <w:sz w:val="20"/>
                <w:szCs w:val="20"/>
                <w:color w:val="auto"/>
              </w:rPr>
            </w:pPr>
            <w:r>
              <w:rPr>
                <w:rFonts w:ascii="Arial" w:cs="Arial" w:eastAsia="Arial" w:hAnsi="Arial"/>
                <w:sz w:val="20"/>
                <w:szCs w:val="20"/>
                <w:color w:val="auto"/>
              </w:rPr>
              <w:t>[†]</w:t>
            </w:r>
          </w:p>
        </w:tc>
        <w:tc>
          <w:tcPr>
            <w:tcW w:w="2560" w:type="dxa"/>
            <w:vAlign w:val="bottom"/>
            <w:tcBorders>
              <w:bottom w:val="single" w:sz="8" w:color="auto"/>
              <w:right w:val="single" w:sz="8" w:color="auto"/>
            </w:tcBorders>
          </w:tcPr>
          <w:p>
            <w:pPr>
              <w:spacing w:after="0" w:line="223" w:lineRule="exact"/>
              <w:rPr>
                <w:sz w:val="20"/>
                <w:szCs w:val="20"/>
                <w:color w:val="auto"/>
              </w:rPr>
            </w:pPr>
            <w:r>
              <w:rPr>
                <w:rFonts w:ascii="Arial" w:cs="Arial" w:eastAsia="Arial" w:hAnsi="Arial"/>
                <w:sz w:val="20"/>
                <w:szCs w:val="20"/>
                <w:color w:val="auto"/>
              </w:rPr>
              <w:t>[†]</w:t>
            </w:r>
          </w:p>
        </w:tc>
        <w:tc>
          <w:tcPr>
            <w:tcW w:w="760" w:type="dxa"/>
            <w:vAlign w:val="bottom"/>
            <w:tcBorders>
              <w:bottom w:val="single" w:sz="8" w:color="auto"/>
              <w:right w:val="single" w:sz="8" w:color="auto"/>
            </w:tcBorders>
          </w:tcPr>
          <w:p>
            <w:pPr>
              <w:spacing w:after="0"/>
              <w:rPr>
                <w:sz w:val="19"/>
                <w:szCs w:val="19"/>
                <w:color w:val="auto"/>
              </w:rPr>
            </w:pPr>
          </w:p>
        </w:tc>
        <w:tc>
          <w:tcPr>
            <w:tcW w:w="1120" w:type="dxa"/>
            <w:vAlign w:val="bottom"/>
            <w:tcBorders>
              <w:bottom w:val="single" w:sz="8" w:color="auto"/>
              <w:right w:val="single" w:sz="8" w:color="auto"/>
            </w:tcBorders>
          </w:tcPr>
          <w:p>
            <w:pPr>
              <w:spacing w:after="0"/>
              <w:rPr>
                <w:sz w:val="19"/>
                <w:szCs w:val="19"/>
                <w:color w:val="auto"/>
              </w:rPr>
            </w:pPr>
          </w:p>
        </w:tc>
        <w:tc>
          <w:tcPr>
            <w:tcW w:w="760" w:type="dxa"/>
            <w:vAlign w:val="bottom"/>
            <w:tcBorders>
              <w:bottom w:val="single" w:sz="8" w:color="auto"/>
              <w:right w:val="single" w:sz="8" w:color="auto"/>
            </w:tcBorders>
          </w:tcPr>
          <w:p>
            <w:pPr>
              <w:spacing w:after="0"/>
              <w:rPr>
                <w:sz w:val="19"/>
                <w:szCs w:val="19"/>
                <w:color w:val="auto"/>
              </w:rPr>
            </w:pPr>
          </w:p>
        </w:tc>
        <w:tc>
          <w:tcPr>
            <w:tcW w:w="760" w:type="dxa"/>
            <w:vAlign w:val="bottom"/>
            <w:tcBorders>
              <w:bottom w:val="single" w:sz="8" w:color="auto"/>
              <w:right w:val="single" w:sz="8" w:color="auto"/>
            </w:tcBorders>
          </w:tcPr>
          <w:p>
            <w:pPr>
              <w:spacing w:after="0"/>
              <w:rPr>
                <w:sz w:val="19"/>
                <w:szCs w:val="19"/>
                <w:color w:val="auto"/>
              </w:rPr>
            </w:pPr>
          </w:p>
        </w:tc>
        <w:tc>
          <w:tcPr>
            <w:tcW w:w="880" w:type="dxa"/>
            <w:vAlign w:val="bottom"/>
            <w:tcBorders>
              <w:bottom w:val="single" w:sz="8" w:color="auto"/>
              <w:right w:val="single" w:sz="8" w:color="auto"/>
            </w:tcBorders>
          </w:tcPr>
          <w:p>
            <w:pPr>
              <w:spacing w:after="0" w:line="223" w:lineRule="exact"/>
              <w:rPr>
                <w:sz w:val="20"/>
                <w:szCs w:val="20"/>
                <w:color w:val="auto"/>
              </w:rPr>
            </w:pPr>
            <w:r>
              <w:rPr>
                <w:rFonts w:ascii="Arial" w:cs="Arial" w:eastAsia="Arial" w:hAnsi="Arial"/>
                <w:sz w:val="20"/>
                <w:szCs w:val="20"/>
                <w:color w:val="auto"/>
              </w:rPr>
              <w:t>[†]</w:t>
            </w:r>
          </w:p>
        </w:tc>
        <w:tc>
          <w:tcPr>
            <w:tcW w:w="840" w:type="dxa"/>
            <w:vAlign w:val="bottom"/>
            <w:tcBorders>
              <w:bottom w:val="single" w:sz="8" w:color="auto"/>
              <w:right w:val="single" w:sz="8" w:color="auto"/>
            </w:tcBorders>
          </w:tcPr>
          <w:p>
            <w:pPr>
              <w:spacing w:after="0" w:line="223" w:lineRule="exact"/>
              <w:rPr>
                <w:sz w:val="20"/>
                <w:szCs w:val="20"/>
                <w:color w:val="auto"/>
              </w:rPr>
            </w:pPr>
            <w:r>
              <w:rPr>
                <w:rFonts w:ascii="Arial" w:cs="Arial" w:eastAsia="Arial" w:hAnsi="Arial"/>
                <w:sz w:val="20"/>
                <w:szCs w:val="20"/>
                <w:color w:val="auto"/>
              </w:rPr>
              <w:t>[†]</w:t>
            </w:r>
          </w:p>
        </w:tc>
        <w:tc>
          <w:tcPr>
            <w:tcW w:w="1040" w:type="dxa"/>
            <w:vAlign w:val="bottom"/>
            <w:tcBorders>
              <w:bottom w:val="single" w:sz="8" w:color="auto"/>
              <w:right w:val="single" w:sz="8" w:color="auto"/>
            </w:tcBorders>
          </w:tcPr>
          <w:p>
            <w:pPr>
              <w:spacing w:after="0" w:line="223" w:lineRule="exact"/>
              <w:rPr>
                <w:sz w:val="20"/>
                <w:szCs w:val="20"/>
                <w:color w:val="auto"/>
              </w:rPr>
            </w:pPr>
            <w:r>
              <w:rPr>
                <w:rFonts w:ascii="Arial" w:cs="Arial" w:eastAsia="Arial" w:hAnsi="Arial"/>
                <w:sz w:val="20"/>
                <w:szCs w:val="20"/>
                <w:color w:val="auto"/>
              </w:rPr>
              <w:t>[†]</w:t>
            </w:r>
          </w:p>
        </w:tc>
      </w:tr>
      <w:tr>
        <w:trPr>
          <w:trHeight w:val="223"/>
        </w:trPr>
        <w:tc>
          <w:tcPr>
            <w:tcW w:w="780" w:type="dxa"/>
            <w:vAlign w:val="bottom"/>
            <w:tcBorders>
              <w:left w:val="single" w:sz="8" w:color="auto"/>
              <w:bottom w:val="single" w:sz="8" w:color="auto"/>
              <w:right w:val="single" w:sz="8" w:color="auto"/>
            </w:tcBorders>
          </w:tcPr>
          <w:p>
            <w:pPr>
              <w:spacing w:after="0" w:line="223" w:lineRule="exact"/>
              <w:rPr>
                <w:sz w:val="20"/>
                <w:szCs w:val="20"/>
                <w:color w:val="auto"/>
              </w:rPr>
            </w:pPr>
            <w:r>
              <w:rPr>
                <w:rFonts w:ascii="Arial" w:cs="Arial" w:eastAsia="Arial" w:hAnsi="Arial"/>
                <w:sz w:val="20"/>
                <w:szCs w:val="20"/>
                <w:color w:val="auto"/>
              </w:rPr>
              <w:t>[†]</w:t>
            </w:r>
          </w:p>
        </w:tc>
        <w:tc>
          <w:tcPr>
            <w:tcW w:w="960" w:type="dxa"/>
            <w:vAlign w:val="bottom"/>
            <w:tcBorders>
              <w:bottom w:val="single" w:sz="8" w:color="auto"/>
              <w:right w:val="single" w:sz="8" w:color="auto"/>
            </w:tcBorders>
          </w:tcPr>
          <w:p>
            <w:pPr>
              <w:spacing w:after="0" w:line="223" w:lineRule="exact"/>
              <w:rPr>
                <w:sz w:val="20"/>
                <w:szCs w:val="20"/>
                <w:color w:val="auto"/>
              </w:rPr>
            </w:pPr>
            <w:r>
              <w:rPr>
                <w:rFonts w:ascii="Arial" w:cs="Arial" w:eastAsia="Arial" w:hAnsi="Arial"/>
                <w:sz w:val="20"/>
                <w:szCs w:val="20"/>
                <w:color w:val="auto"/>
              </w:rPr>
              <w:t>[†]</w:t>
            </w:r>
          </w:p>
        </w:tc>
        <w:tc>
          <w:tcPr>
            <w:tcW w:w="920" w:type="dxa"/>
            <w:vAlign w:val="bottom"/>
            <w:tcBorders>
              <w:bottom w:val="single" w:sz="8" w:color="auto"/>
              <w:right w:val="single" w:sz="8" w:color="auto"/>
            </w:tcBorders>
          </w:tcPr>
          <w:p>
            <w:pPr>
              <w:spacing w:after="0" w:line="223" w:lineRule="exact"/>
              <w:rPr>
                <w:sz w:val="20"/>
                <w:szCs w:val="20"/>
                <w:color w:val="auto"/>
              </w:rPr>
            </w:pPr>
            <w:r>
              <w:rPr>
                <w:rFonts w:ascii="Arial" w:cs="Arial" w:eastAsia="Arial" w:hAnsi="Arial"/>
                <w:sz w:val="20"/>
                <w:szCs w:val="20"/>
                <w:color w:val="auto"/>
              </w:rPr>
              <w:t>[†]</w:t>
            </w:r>
          </w:p>
        </w:tc>
        <w:tc>
          <w:tcPr>
            <w:tcW w:w="2560" w:type="dxa"/>
            <w:vAlign w:val="bottom"/>
            <w:tcBorders>
              <w:bottom w:val="single" w:sz="8" w:color="auto"/>
              <w:right w:val="single" w:sz="8" w:color="auto"/>
            </w:tcBorders>
          </w:tcPr>
          <w:p>
            <w:pPr>
              <w:spacing w:after="0" w:line="223" w:lineRule="exact"/>
              <w:rPr>
                <w:sz w:val="20"/>
                <w:szCs w:val="20"/>
                <w:color w:val="auto"/>
              </w:rPr>
            </w:pPr>
            <w:r>
              <w:rPr>
                <w:rFonts w:ascii="Arial" w:cs="Arial" w:eastAsia="Arial" w:hAnsi="Arial"/>
                <w:sz w:val="20"/>
                <w:szCs w:val="20"/>
                <w:color w:val="auto"/>
              </w:rPr>
              <w:t>[†]</w:t>
            </w:r>
          </w:p>
        </w:tc>
        <w:tc>
          <w:tcPr>
            <w:tcW w:w="760" w:type="dxa"/>
            <w:vAlign w:val="bottom"/>
            <w:tcBorders>
              <w:bottom w:val="single" w:sz="8" w:color="auto"/>
              <w:right w:val="single" w:sz="8" w:color="auto"/>
            </w:tcBorders>
          </w:tcPr>
          <w:p>
            <w:pPr>
              <w:spacing w:after="0"/>
              <w:rPr>
                <w:sz w:val="19"/>
                <w:szCs w:val="19"/>
                <w:color w:val="auto"/>
              </w:rPr>
            </w:pPr>
          </w:p>
        </w:tc>
        <w:tc>
          <w:tcPr>
            <w:tcW w:w="1120" w:type="dxa"/>
            <w:vAlign w:val="bottom"/>
            <w:tcBorders>
              <w:bottom w:val="single" w:sz="8" w:color="auto"/>
              <w:right w:val="single" w:sz="8" w:color="auto"/>
            </w:tcBorders>
          </w:tcPr>
          <w:p>
            <w:pPr>
              <w:spacing w:after="0"/>
              <w:rPr>
                <w:sz w:val="19"/>
                <w:szCs w:val="19"/>
                <w:color w:val="auto"/>
              </w:rPr>
            </w:pPr>
          </w:p>
        </w:tc>
        <w:tc>
          <w:tcPr>
            <w:tcW w:w="760" w:type="dxa"/>
            <w:vAlign w:val="bottom"/>
            <w:tcBorders>
              <w:bottom w:val="single" w:sz="8" w:color="auto"/>
              <w:right w:val="single" w:sz="8" w:color="auto"/>
            </w:tcBorders>
          </w:tcPr>
          <w:p>
            <w:pPr>
              <w:spacing w:after="0"/>
              <w:rPr>
                <w:sz w:val="19"/>
                <w:szCs w:val="19"/>
                <w:color w:val="auto"/>
              </w:rPr>
            </w:pPr>
          </w:p>
        </w:tc>
        <w:tc>
          <w:tcPr>
            <w:tcW w:w="760" w:type="dxa"/>
            <w:vAlign w:val="bottom"/>
            <w:tcBorders>
              <w:bottom w:val="single" w:sz="8" w:color="auto"/>
              <w:right w:val="single" w:sz="8" w:color="auto"/>
            </w:tcBorders>
          </w:tcPr>
          <w:p>
            <w:pPr>
              <w:spacing w:after="0"/>
              <w:rPr>
                <w:sz w:val="19"/>
                <w:szCs w:val="19"/>
                <w:color w:val="auto"/>
              </w:rPr>
            </w:pPr>
          </w:p>
        </w:tc>
        <w:tc>
          <w:tcPr>
            <w:tcW w:w="880" w:type="dxa"/>
            <w:vAlign w:val="bottom"/>
            <w:tcBorders>
              <w:bottom w:val="single" w:sz="8" w:color="auto"/>
              <w:right w:val="single" w:sz="8" w:color="auto"/>
            </w:tcBorders>
          </w:tcPr>
          <w:p>
            <w:pPr>
              <w:spacing w:after="0" w:line="223" w:lineRule="exact"/>
              <w:rPr>
                <w:sz w:val="20"/>
                <w:szCs w:val="20"/>
                <w:color w:val="auto"/>
              </w:rPr>
            </w:pPr>
            <w:r>
              <w:rPr>
                <w:rFonts w:ascii="Arial" w:cs="Arial" w:eastAsia="Arial" w:hAnsi="Arial"/>
                <w:sz w:val="20"/>
                <w:szCs w:val="20"/>
                <w:color w:val="auto"/>
              </w:rPr>
              <w:t>[†]</w:t>
            </w:r>
          </w:p>
        </w:tc>
        <w:tc>
          <w:tcPr>
            <w:tcW w:w="840" w:type="dxa"/>
            <w:vAlign w:val="bottom"/>
            <w:tcBorders>
              <w:bottom w:val="single" w:sz="8" w:color="auto"/>
              <w:right w:val="single" w:sz="8" w:color="auto"/>
            </w:tcBorders>
          </w:tcPr>
          <w:p>
            <w:pPr>
              <w:spacing w:after="0" w:line="223" w:lineRule="exact"/>
              <w:rPr>
                <w:sz w:val="20"/>
                <w:szCs w:val="20"/>
                <w:color w:val="auto"/>
              </w:rPr>
            </w:pPr>
            <w:r>
              <w:rPr>
                <w:rFonts w:ascii="Arial" w:cs="Arial" w:eastAsia="Arial" w:hAnsi="Arial"/>
                <w:sz w:val="20"/>
                <w:szCs w:val="20"/>
                <w:color w:val="auto"/>
              </w:rPr>
              <w:t>[†]</w:t>
            </w:r>
          </w:p>
        </w:tc>
        <w:tc>
          <w:tcPr>
            <w:tcW w:w="1040" w:type="dxa"/>
            <w:vAlign w:val="bottom"/>
            <w:tcBorders>
              <w:bottom w:val="single" w:sz="8" w:color="auto"/>
              <w:right w:val="single" w:sz="8" w:color="auto"/>
            </w:tcBorders>
          </w:tcPr>
          <w:p>
            <w:pPr>
              <w:spacing w:after="0" w:line="223" w:lineRule="exact"/>
              <w:rPr>
                <w:sz w:val="20"/>
                <w:szCs w:val="20"/>
                <w:color w:val="auto"/>
              </w:rPr>
            </w:pPr>
            <w:r>
              <w:rPr>
                <w:rFonts w:ascii="Arial" w:cs="Arial" w:eastAsia="Arial" w:hAnsi="Arial"/>
                <w:sz w:val="20"/>
                <w:szCs w:val="20"/>
                <w:color w:val="auto"/>
              </w:rPr>
              <w:t>[†]</w:t>
            </w:r>
          </w:p>
        </w:tc>
      </w:tr>
      <w:tr>
        <w:trPr>
          <w:trHeight w:val="223"/>
        </w:trPr>
        <w:tc>
          <w:tcPr>
            <w:tcW w:w="780" w:type="dxa"/>
            <w:vAlign w:val="bottom"/>
            <w:tcBorders>
              <w:left w:val="single" w:sz="8" w:color="auto"/>
              <w:bottom w:val="single" w:sz="8" w:color="auto"/>
              <w:right w:val="single" w:sz="8" w:color="auto"/>
            </w:tcBorders>
          </w:tcPr>
          <w:p>
            <w:pPr>
              <w:spacing w:after="0" w:line="223" w:lineRule="exact"/>
              <w:rPr>
                <w:sz w:val="20"/>
                <w:szCs w:val="20"/>
                <w:color w:val="auto"/>
              </w:rPr>
            </w:pPr>
            <w:r>
              <w:rPr>
                <w:rFonts w:ascii="Arial" w:cs="Arial" w:eastAsia="Arial" w:hAnsi="Arial"/>
                <w:sz w:val="20"/>
                <w:szCs w:val="20"/>
                <w:color w:val="auto"/>
              </w:rPr>
              <w:t>[†]</w:t>
            </w:r>
          </w:p>
        </w:tc>
        <w:tc>
          <w:tcPr>
            <w:tcW w:w="960" w:type="dxa"/>
            <w:vAlign w:val="bottom"/>
            <w:tcBorders>
              <w:bottom w:val="single" w:sz="8" w:color="auto"/>
              <w:right w:val="single" w:sz="8" w:color="auto"/>
            </w:tcBorders>
          </w:tcPr>
          <w:p>
            <w:pPr>
              <w:spacing w:after="0" w:line="223" w:lineRule="exact"/>
              <w:rPr>
                <w:sz w:val="20"/>
                <w:szCs w:val="20"/>
                <w:color w:val="auto"/>
              </w:rPr>
            </w:pPr>
            <w:r>
              <w:rPr>
                <w:rFonts w:ascii="Arial" w:cs="Arial" w:eastAsia="Arial" w:hAnsi="Arial"/>
                <w:sz w:val="20"/>
                <w:szCs w:val="20"/>
                <w:color w:val="auto"/>
              </w:rPr>
              <w:t>[†]</w:t>
            </w:r>
          </w:p>
        </w:tc>
        <w:tc>
          <w:tcPr>
            <w:tcW w:w="920" w:type="dxa"/>
            <w:vAlign w:val="bottom"/>
            <w:tcBorders>
              <w:bottom w:val="single" w:sz="8" w:color="auto"/>
              <w:right w:val="single" w:sz="8" w:color="auto"/>
            </w:tcBorders>
          </w:tcPr>
          <w:p>
            <w:pPr>
              <w:spacing w:after="0" w:line="223" w:lineRule="exact"/>
              <w:rPr>
                <w:sz w:val="20"/>
                <w:szCs w:val="20"/>
                <w:color w:val="auto"/>
              </w:rPr>
            </w:pPr>
            <w:r>
              <w:rPr>
                <w:rFonts w:ascii="Arial" w:cs="Arial" w:eastAsia="Arial" w:hAnsi="Arial"/>
                <w:sz w:val="20"/>
                <w:szCs w:val="20"/>
                <w:color w:val="auto"/>
              </w:rPr>
              <w:t>[†]</w:t>
            </w:r>
          </w:p>
        </w:tc>
        <w:tc>
          <w:tcPr>
            <w:tcW w:w="2560" w:type="dxa"/>
            <w:vAlign w:val="bottom"/>
            <w:tcBorders>
              <w:bottom w:val="single" w:sz="8" w:color="auto"/>
              <w:right w:val="single" w:sz="8" w:color="auto"/>
            </w:tcBorders>
          </w:tcPr>
          <w:p>
            <w:pPr>
              <w:spacing w:after="0" w:line="223" w:lineRule="exact"/>
              <w:rPr>
                <w:sz w:val="20"/>
                <w:szCs w:val="20"/>
                <w:color w:val="auto"/>
              </w:rPr>
            </w:pPr>
            <w:r>
              <w:rPr>
                <w:rFonts w:ascii="Arial" w:cs="Arial" w:eastAsia="Arial" w:hAnsi="Arial"/>
                <w:sz w:val="20"/>
                <w:szCs w:val="20"/>
                <w:color w:val="auto"/>
              </w:rPr>
              <w:t>[†]</w:t>
            </w:r>
          </w:p>
        </w:tc>
        <w:tc>
          <w:tcPr>
            <w:tcW w:w="760" w:type="dxa"/>
            <w:vAlign w:val="bottom"/>
            <w:tcBorders>
              <w:bottom w:val="single" w:sz="8" w:color="auto"/>
              <w:right w:val="single" w:sz="8" w:color="auto"/>
            </w:tcBorders>
          </w:tcPr>
          <w:p>
            <w:pPr>
              <w:spacing w:after="0"/>
              <w:rPr>
                <w:sz w:val="19"/>
                <w:szCs w:val="19"/>
                <w:color w:val="auto"/>
              </w:rPr>
            </w:pPr>
          </w:p>
        </w:tc>
        <w:tc>
          <w:tcPr>
            <w:tcW w:w="1120" w:type="dxa"/>
            <w:vAlign w:val="bottom"/>
            <w:tcBorders>
              <w:bottom w:val="single" w:sz="8" w:color="auto"/>
              <w:right w:val="single" w:sz="8" w:color="auto"/>
            </w:tcBorders>
          </w:tcPr>
          <w:p>
            <w:pPr>
              <w:spacing w:after="0"/>
              <w:rPr>
                <w:sz w:val="19"/>
                <w:szCs w:val="19"/>
                <w:color w:val="auto"/>
              </w:rPr>
            </w:pPr>
          </w:p>
        </w:tc>
        <w:tc>
          <w:tcPr>
            <w:tcW w:w="760" w:type="dxa"/>
            <w:vAlign w:val="bottom"/>
            <w:tcBorders>
              <w:bottom w:val="single" w:sz="8" w:color="auto"/>
              <w:right w:val="single" w:sz="8" w:color="auto"/>
            </w:tcBorders>
          </w:tcPr>
          <w:p>
            <w:pPr>
              <w:spacing w:after="0"/>
              <w:rPr>
                <w:sz w:val="19"/>
                <w:szCs w:val="19"/>
                <w:color w:val="auto"/>
              </w:rPr>
            </w:pPr>
          </w:p>
        </w:tc>
        <w:tc>
          <w:tcPr>
            <w:tcW w:w="760" w:type="dxa"/>
            <w:vAlign w:val="bottom"/>
            <w:tcBorders>
              <w:bottom w:val="single" w:sz="8" w:color="auto"/>
              <w:right w:val="single" w:sz="8" w:color="auto"/>
            </w:tcBorders>
          </w:tcPr>
          <w:p>
            <w:pPr>
              <w:spacing w:after="0"/>
              <w:rPr>
                <w:sz w:val="19"/>
                <w:szCs w:val="19"/>
                <w:color w:val="auto"/>
              </w:rPr>
            </w:pPr>
          </w:p>
        </w:tc>
        <w:tc>
          <w:tcPr>
            <w:tcW w:w="880" w:type="dxa"/>
            <w:vAlign w:val="bottom"/>
            <w:tcBorders>
              <w:bottom w:val="single" w:sz="8" w:color="auto"/>
              <w:right w:val="single" w:sz="8" w:color="auto"/>
            </w:tcBorders>
          </w:tcPr>
          <w:p>
            <w:pPr>
              <w:spacing w:after="0" w:line="223" w:lineRule="exact"/>
              <w:rPr>
                <w:sz w:val="20"/>
                <w:szCs w:val="20"/>
                <w:color w:val="auto"/>
              </w:rPr>
            </w:pPr>
            <w:r>
              <w:rPr>
                <w:rFonts w:ascii="Arial" w:cs="Arial" w:eastAsia="Arial" w:hAnsi="Arial"/>
                <w:sz w:val="20"/>
                <w:szCs w:val="20"/>
                <w:color w:val="auto"/>
              </w:rPr>
              <w:t>[†]</w:t>
            </w:r>
          </w:p>
        </w:tc>
        <w:tc>
          <w:tcPr>
            <w:tcW w:w="840" w:type="dxa"/>
            <w:vAlign w:val="bottom"/>
            <w:tcBorders>
              <w:bottom w:val="single" w:sz="8" w:color="auto"/>
              <w:right w:val="single" w:sz="8" w:color="auto"/>
            </w:tcBorders>
          </w:tcPr>
          <w:p>
            <w:pPr>
              <w:spacing w:after="0" w:line="223" w:lineRule="exact"/>
              <w:rPr>
                <w:sz w:val="20"/>
                <w:szCs w:val="20"/>
                <w:color w:val="auto"/>
              </w:rPr>
            </w:pPr>
            <w:r>
              <w:rPr>
                <w:rFonts w:ascii="Arial" w:cs="Arial" w:eastAsia="Arial" w:hAnsi="Arial"/>
                <w:sz w:val="20"/>
                <w:szCs w:val="20"/>
                <w:color w:val="auto"/>
              </w:rPr>
              <w:t>[†]</w:t>
            </w:r>
          </w:p>
        </w:tc>
        <w:tc>
          <w:tcPr>
            <w:tcW w:w="1040" w:type="dxa"/>
            <w:vAlign w:val="bottom"/>
            <w:tcBorders>
              <w:bottom w:val="single" w:sz="8" w:color="auto"/>
              <w:right w:val="single" w:sz="8" w:color="auto"/>
            </w:tcBorders>
          </w:tcPr>
          <w:p>
            <w:pPr>
              <w:spacing w:after="0" w:line="223" w:lineRule="exact"/>
              <w:rPr>
                <w:sz w:val="20"/>
                <w:szCs w:val="20"/>
                <w:color w:val="auto"/>
              </w:rPr>
            </w:pPr>
            <w:r>
              <w:rPr>
                <w:rFonts w:ascii="Arial" w:cs="Arial" w:eastAsia="Arial" w:hAnsi="Arial"/>
                <w:sz w:val="20"/>
                <w:szCs w:val="20"/>
                <w:color w:val="auto"/>
              </w:rPr>
              <w:t>[†]</w:t>
            </w:r>
          </w:p>
        </w:tc>
      </w:tr>
      <w:tr>
        <w:trPr>
          <w:trHeight w:val="223"/>
        </w:trPr>
        <w:tc>
          <w:tcPr>
            <w:tcW w:w="780" w:type="dxa"/>
            <w:vAlign w:val="bottom"/>
            <w:tcBorders>
              <w:left w:val="single" w:sz="8" w:color="auto"/>
              <w:bottom w:val="single" w:sz="8" w:color="auto"/>
              <w:right w:val="single" w:sz="8" w:color="auto"/>
            </w:tcBorders>
          </w:tcPr>
          <w:p>
            <w:pPr>
              <w:spacing w:after="0" w:line="223" w:lineRule="exact"/>
              <w:rPr>
                <w:sz w:val="20"/>
                <w:szCs w:val="20"/>
                <w:color w:val="auto"/>
              </w:rPr>
            </w:pPr>
            <w:r>
              <w:rPr>
                <w:rFonts w:ascii="Arial" w:cs="Arial" w:eastAsia="Arial" w:hAnsi="Arial"/>
                <w:sz w:val="20"/>
                <w:szCs w:val="20"/>
                <w:color w:val="auto"/>
              </w:rPr>
              <w:t>[†]</w:t>
            </w:r>
          </w:p>
        </w:tc>
        <w:tc>
          <w:tcPr>
            <w:tcW w:w="960" w:type="dxa"/>
            <w:vAlign w:val="bottom"/>
            <w:tcBorders>
              <w:bottom w:val="single" w:sz="8" w:color="auto"/>
              <w:right w:val="single" w:sz="8" w:color="auto"/>
            </w:tcBorders>
          </w:tcPr>
          <w:p>
            <w:pPr>
              <w:spacing w:after="0" w:line="223" w:lineRule="exact"/>
              <w:rPr>
                <w:sz w:val="20"/>
                <w:szCs w:val="20"/>
                <w:color w:val="auto"/>
              </w:rPr>
            </w:pPr>
            <w:r>
              <w:rPr>
                <w:rFonts w:ascii="Arial" w:cs="Arial" w:eastAsia="Arial" w:hAnsi="Arial"/>
                <w:sz w:val="20"/>
                <w:szCs w:val="20"/>
                <w:color w:val="auto"/>
              </w:rPr>
              <w:t>[†]</w:t>
            </w:r>
          </w:p>
        </w:tc>
        <w:tc>
          <w:tcPr>
            <w:tcW w:w="920" w:type="dxa"/>
            <w:vAlign w:val="bottom"/>
            <w:tcBorders>
              <w:bottom w:val="single" w:sz="8" w:color="auto"/>
              <w:right w:val="single" w:sz="8" w:color="auto"/>
            </w:tcBorders>
          </w:tcPr>
          <w:p>
            <w:pPr>
              <w:spacing w:after="0" w:line="223" w:lineRule="exact"/>
              <w:rPr>
                <w:sz w:val="20"/>
                <w:szCs w:val="20"/>
                <w:color w:val="auto"/>
              </w:rPr>
            </w:pPr>
            <w:r>
              <w:rPr>
                <w:rFonts w:ascii="Arial" w:cs="Arial" w:eastAsia="Arial" w:hAnsi="Arial"/>
                <w:sz w:val="20"/>
                <w:szCs w:val="20"/>
                <w:color w:val="auto"/>
              </w:rPr>
              <w:t>[†]</w:t>
            </w:r>
          </w:p>
        </w:tc>
        <w:tc>
          <w:tcPr>
            <w:tcW w:w="2560" w:type="dxa"/>
            <w:vAlign w:val="bottom"/>
            <w:tcBorders>
              <w:bottom w:val="single" w:sz="8" w:color="auto"/>
              <w:right w:val="single" w:sz="8" w:color="auto"/>
            </w:tcBorders>
          </w:tcPr>
          <w:p>
            <w:pPr>
              <w:spacing w:after="0" w:line="223" w:lineRule="exact"/>
              <w:rPr>
                <w:sz w:val="20"/>
                <w:szCs w:val="20"/>
                <w:color w:val="auto"/>
              </w:rPr>
            </w:pPr>
            <w:r>
              <w:rPr>
                <w:rFonts w:ascii="Arial" w:cs="Arial" w:eastAsia="Arial" w:hAnsi="Arial"/>
                <w:sz w:val="20"/>
                <w:szCs w:val="20"/>
                <w:color w:val="auto"/>
              </w:rPr>
              <w:t>[†]</w:t>
            </w:r>
          </w:p>
        </w:tc>
        <w:tc>
          <w:tcPr>
            <w:tcW w:w="760" w:type="dxa"/>
            <w:vAlign w:val="bottom"/>
            <w:tcBorders>
              <w:bottom w:val="single" w:sz="8" w:color="auto"/>
              <w:right w:val="single" w:sz="8" w:color="auto"/>
            </w:tcBorders>
          </w:tcPr>
          <w:p>
            <w:pPr>
              <w:spacing w:after="0"/>
              <w:rPr>
                <w:sz w:val="19"/>
                <w:szCs w:val="19"/>
                <w:color w:val="auto"/>
              </w:rPr>
            </w:pPr>
          </w:p>
        </w:tc>
        <w:tc>
          <w:tcPr>
            <w:tcW w:w="1120" w:type="dxa"/>
            <w:vAlign w:val="bottom"/>
            <w:tcBorders>
              <w:bottom w:val="single" w:sz="8" w:color="auto"/>
              <w:right w:val="single" w:sz="8" w:color="auto"/>
            </w:tcBorders>
          </w:tcPr>
          <w:p>
            <w:pPr>
              <w:spacing w:after="0"/>
              <w:rPr>
                <w:sz w:val="19"/>
                <w:szCs w:val="19"/>
                <w:color w:val="auto"/>
              </w:rPr>
            </w:pPr>
          </w:p>
        </w:tc>
        <w:tc>
          <w:tcPr>
            <w:tcW w:w="760" w:type="dxa"/>
            <w:vAlign w:val="bottom"/>
            <w:tcBorders>
              <w:bottom w:val="single" w:sz="8" w:color="auto"/>
              <w:right w:val="single" w:sz="8" w:color="auto"/>
            </w:tcBorders>
          </w:tcPr>
          <w:p>
            <w:pPr>
              <w:spacing w:after="0"/>
              <w:rPr>
                <w:sz w:val="19"/>
                <w:szCs w:val="19"/>
                <w:color w:val="auto"/>
              </w:rPr>
            </w:pPr>
          </w:p>
        </w:tc>
        <w:tc>
          <w:tcPr>
            <w:tcW w:w="760" w:type="dxa"/>
            <w:vAlign w:val="bottom"/>
            <w:tcBorders>
              <w:bottom w:val="single" w:sz="8" w:color="auto"/>
              <w:right w:val="single" w:sz="8" w:color="auto"/>
            </w:tcBorders>
          </w:tcPr>
          <w:p>
            <w:pPr>
              <w:spacing w:after="0"/>
              <w:rPr>
                <w:sz w:val="19"/>
                <w:szCs w:val="19"/>
                <w:color w:val="auto"/>
              </w:rPr>
            </w:pPr>
          </w:p>
        </w:tc>
        <w:tc>
          <w:tcPr>
            <w:tcW w:w="880" w:type="dxa"/>
            <w:vAlign w:val="bottom"/>
            <w:tcBorders>
              <w:bottom w:val="single" w:sz="8" w:color="auto"/>
              <w:right w:val="single" w:sz="8" w:color="auto"/>
            </w:tcBorders>
          </w:tcPr>
          <w:p>
            <w:pPr>
              <w:spacing w:after="0" w:line="223" w:lineRule="exact"/>
              <w:rPr>
                <w:sz w:val="20"/>
                <w:szCs w:val="20"/>
                <w:color w:val="auto"/>
              </w:rPr>
            </w:pPr>
            <w:r>
              <w:rPr>
                <w:rFonts w:ascii="Arial" w:cs="Arial" w:eastAsia="Arial" w:hAnsi="Arial"/>
                <w:sz w:val="20"/>
                <w:szCs w:val="20"/>
                <w:color w:val="auto"/>
              </w:rPr>
              <w:t>[†]</w:t>
            </w:r>
          </w:p>
        </w:tc>
        <w:tc>
          <w:tcPr>
            <w:tcW w:w="840" w:type="dxa"/>
            <w:vAlign w:val="bottom"/>
            <w:tcBorders>
              <w:bottom w:val="single" w:sz="8" w:color="auto"/>
              <w:right w:val="single" w:sz="8" w:color="auto"/>
            </w:tcBorders>
          </w:tcPr>
          <w:p>
            <w:pPr>
              <w:spacing w:after="0" w:line="223" w:lineRule="exact"/>
              <w:rPr>
                <w:sz w:val="20"/>
                <w:szCs w:val="20"/>
                <w:color w:val="auto"/>
              </w:rPr>
            </w:pPr>
            <w:r>
              <w:rPr>
                <w:rFonts w:ascii="Arial" w:cs="Arial" w:eastAsia="Arial" w:hAnsi="Arial"/>
                <w:sz w:val="20"/>
                <w:szCs w:val="20"/>
                <w:color w:val="auto"/>
              </w:rPr>
              <w:t>[†]</w:t>
            </w:r>
          </w:p>
        </w:tc>
        <w:tc>
          <w:tcPr>
            <w:tcW w:w="1040" w:type="dxa"/>
            <w:vAlign w:val="bottom"/>
            <w:tcBorders>
              <w:bottom w:val="single" w:sz="8" w:color="auto"/>
              <w:right w:val="single" w:sz="8" w:color="auto"/>
            </w:tcBorders>
          </w:tcPr>
          <w:p>
            <w:pPr>
              <w:spacing w:after="0" w:line="223" w:lineRule="exact"/>
              <w:rPr>
                <w:sz w:val="20"/>
                <w:szCs w:val="20"/>
                <w:color w:val="auto"/>
              </w:rPr>
            </w:pPr>
            <w:r>
              <w:rPr>
                <w:rFonts w:ascii="Arial" w:cs="Arial" w:eastAsia="Arial" w:hAnsi="Arial"/>
                <w:sz w:val="20"/>
                <w:szCs w:val="20"/>
                <w:color w:val="auto"/>
              </w:rPr>
              <w:t>[†]</w:t>
            </w:r>
          </w:p>
        </w:tc>
      </w:tr>
      <w:tr>
        <w:trPr>
          <w:trHeight w:val="223"/>
        </w:trPr>
        <w:tc>
          <w:tcPr>
            <w:tcW w:w="780" w:type="dxa"/>
            <w:vAlign w:val="bottom"/>
            <w:tcBorders>
              <w:left w:val="single" w:sz="8" w:color="auto"/>
              <w:bottom w:val="single" w:sz="8" w:color="auto"/>
              <w:right w:val="single" w:sz="8" w:color="auto"/>
            </w:tcBorders>
          </w:tcPr>
          <w:p>
            <w:pPr>
              <w:spacing w:after="0" w:line="223" w:lineRule="exact"/>
              <w:rPr>
                <w:sz w:val="20"/>
                <w:szCs w:val="20"/>
                <w:color w:val="auto"/>
              </w:rPr>
            </w:pPr>
            <w:r>
              <w:rPr>
                <w:rFonts w:ascii="Arial" w:cs="Arial" w:eastAsia="Arial" w:hAnsi="Arial"/>
                <w:sz w:val="20"/>
                <w:szCs w:val="20"/>
                <w:color w:val="auto"/>
              </w:rPr>
              <w:t>[†]</w:t>
            </w:r>
          </w:p>
        </w:tc>
        <w:tc>
          <w:tcPr>
            <w:tcW w:w="960" w:type="dxa"/>
            <w:vAlign w:val="bottom"/>
            <w:tcBorders>
              <w:bottom w:val="single" w:sz="8" w:color="auto"/>
              <w:right w:val="single" w:sz="8" w:color="auto"/>
            </w:tcBorders>
          </w:tcPr>
          <w:p>
            <w:pPr>
              <w:spacing w:after="0" w:line="223" w:lineRule="exact"/>
              <w:rPr>
                <w:sz w:val="20"/>
                <w:szCs w:val="20"/>
                <w:color w:val="auto"/>
              </w:rPr>
            </w:pPr>
            <w:r>
              <w:rPr>
                <w:rFonts w:ascii="Arial" w:cs="Arial" w:eastAsia="Arial" w:hAnsi="Arial"/>
                <w:sz w:val="20"/>
                <w:szCs w:val="20"/>
                <w:color w:val="auto"/>
              </w:rPr>
              <w:t>[†]</w:t>
            </w:r>
          </w:p>
        </w:tc>
        <w:tc>
          <w:tcPr>
            <w:tcW w:w="920" w:type="dxa"/>
            <w:vAlign w:val="bottom"/>
            <w:tcBorders>
              <w:bottom w:val="single" w:sz="8" w:color="auto"/>
              <w:right w:val="single" w:sz="8" w:color="auto"/>
            </w:tcBorders>
          </w:tcPr>
          <w:p>
            <w:pPr>
              <w:spacing w:after="0" w:line="223" w:lineRule="exact"/>
              <w:rPr>
                <w:sz w:val="20"/>
                <w:szCs w:val="20"/>
                <w:color w:val="auto"/>
              </w:rPr>
            </w:pPr>
            <w:r>
              <w:rPr>
                <w:rFonts w:ascii="Arial" w:cs="Arial" w:eastAsia="Arial" w:hAnsi="Arial"/>
                <w:sz w:val="20"/>
                <w:szCs w:val="20"/>
                <w:color w:val="auto"/>
              </w:rPr>
              <w:t>[†]</w:t>
            </w:r>
          </w:p>
        </w:tc>
        <w:tc>
          <w:tcPr>
            <w:tcW w:w="2560" w:type="dxa"/>
            <w:vAlign w:val="bottom"/>
            <w:tcBorders>
              <w:bottom w:val="single" w:sz="8" w:color="auto"/>
              <w:right w:val="single" w:sz="8" w:color="auto"/>
            </w:tcBorders>
          </w:tcPr>
          <w:p>
            <w:pPr>
              <w:spacing w:after="0" w:line="223" w:lineRule="exact"/>
              <w:rPr>
                <w:sz w:val="20"/>
                <w:szCs w:val="20"/>
                <w:color w:val="auto"/>
              </w:rPr>
            </w:pPr>
            <w:r>
              <w:rPr>
                <w:rFonts w:ascii="Arial" w:cs="Arial" w:eastAsia="Arial" w:hAnsi="Arial"/>
                <w:sz w:val="20"/>
                <w:szCs w:val="20"/>
                <w:color w:val="auto"/>
              </w:rPr>
              <w:t>[†]</w:t>
            </w:r>
          </w:p>
        </w:tc>
        <w:tc>
          <w:tcPr>
            <w:tcW w:w="760" w:type="dxa"/>
            <w:vAlign w:val="bottom"/>
            <w:tcBorders>
              <w:bottom w:val="single" w:sz="8" w:color="auto"/>
              <w:right w:val="single" w:sz="8" w:color="auto"/>
            </w:tcBorders>
          </w:tcPr>
          <w:p>
            <w:pPr>
              <w:spacing w:after="0"/>
              <w:rPr>
                <w:sz w:val="19"/>
                <w:szCs w:val="19"/>
                <w:color w:val="auto"/>
              </w:rPr>
            </w:pPr>
          </w:p>
        </w:tc>
        <w:tc>
          <w:tcPr>
            <w:tcW w:w="1120" w:type="dxa"/>
            <w:vAlign w:val="bottom"/>
            <w:tcBorders>
              <w:bottom w:val="single" w:sz="8" w:color="auto"/>
              <w:right w:val="single" w:sz="8" w:color="auto"/>
            </w:tcBorders>
          </w:tcPr>
          <w:p>
            <w:pPr>
              <w:spacing w:after="0"/>
              <w:rPr>
                <w:sz w:val="19"/>
                <w:szCs w:val="19"/>
                <w:color w:val="auto"/>
              </w:rPr>
            </w:pPr>
          </w:p>
        </w:tc>
        <w:tc>
          <w:tcPr>
            <w:tcW w:w="760" w:type="dxa"/>
            <w:vAlign w:val="bottom"/>
            <w:tcBorders>
              <w:bottom w:val="single" w:sz="8" w:color="auto"/>
              <w:right w:val="single" w:sz="8" w:color="auto"/>
            </w:tcBorders>
          </w:tcPr>
          <w:p>
            <w:pPr>
              <w:spacing w:after="0"/>
              <w:rPr>
                <w:sz w:val="19"/>
                <w:szCs w:val="19"/>
                <w:color w:val="auto"/>
              </w:rPr>
            </w:pPr>
          </w:p>
        </w:tc>
        <w:tc>
          <w:tcPr>
            <w:tcW w:w="760" w:type="dxa"/>
            <w:vAlign w:val="bottom"/>
            <w:tcBorders>
              <w:bottom w:val="single" w:sz="8" w:color="auto"/>
              <w:right w:val="single" w:sz="8" w:color="auto"/>
            </w:tcBorders>
          </w:tcPr>
          <w:p>
            <w:pPr>
              <w:spacing w:after="0"/>
              <w:rPr>
                <w:sz w:val="19"/>
                <w:szCs w:val="19"/>
                <w:color w:val="auto"/>
              </w:rPr>
            </w:pPr>
          </w:p>
        </w:tc>
        <w:tc>
          <w:tcPr>
            <w:tcW w:w="880" w:type="dxa"/>
            <w:vAlign w:val="bottom"/>
            <w:tcBorders>
              <w:bottom w:val="single" w:sz="8" w:color="auto"/>
              <w:right w:val="single" w:sz="8" w:color="auto"/>
            </w:tcBorders>
          </w:tcPr>
          <w:p>
            <w:pPr>
              <w:spacing w:after="0" w:line="223" w:lineRule="exact"/>
              <w:rPr>
                <w:sz w:val="20"/>
                <w:szCs w:val="20"/>
                <w:color w:val="auto"/>
              </w:rPr>
            </w:pPr>
            <w:r>
              <w:rPr>
                <w:rFonts w:ascii="Arial" w:cs="Arial" w:eastAsia="Arial" w:hAnsi="Arial"/>
                <w:sz w:val="20"/>
                <w:szCs w:val="20"/>
                <w:color w:val="auto"/>
              </w:rPr>
              <w:t>[†]</w:t>
            </w:r>
          </w:p>
        </w:tc>
        <w:tc>
          <w:tcPr>
            <w:tcW w:w="840" w:type="dxa"/>
            <w:vAlign w:val="bottom"/>
            <w:tcBorders>
              <w:bottom w:val="single" w:sz="8" w:color="auto"/>
              <w:right w:val="single" w:sz="8" w:color="auto"/>
            </w:tcBorders>
          </w:tcPr>
          <w:p>
            <w:pPr>
              <w:spacing w:after="0" w:line="223" w:lineRule="exact"/>
              <w:rPr>
                <w:sz w:val="20"/>
                <w:szCs w:val="20"/>
                <w:color w:val="auto"/>
              </w:rPr>
            </w:pPr>
            <w:r>
              <w:rPr>
                <w:rFonts w:ascii="Arial" w:cs="Arial" w:eastAsia="Arial" w:hAnsi="Arial"/>
                <w:sz w:val="20"/>
                <w:szCs w:val="20"/>
                <w:color w:val="auto"/>
              </w:rPr>
              <w:t>[†]</w:t>
            </w:r>
          </w:p>
        </w:tc>
        <w:tc>
          <w:tcPr>
            <w:tcW w:w="1040" w:type="dxa"/>
            <w:vAlign w:val="bottom"/>
            <w:tcBorders>
              <w:bottom w:val="single" w:sz="8" w:color="auto"/>
              <w:right w:val="single" w:sz="8" w:color="auto"/>
            </w:tcBorders>
          </w:tcPr>
          <w:p>
            <w:pPr>
              <w:spacing w:after="0" w:line="223" w:lineRule="exact"/>
              <w:rPr>
                <w:sz w:val="20"/>
                <w:szCs w:val="20"/>
                <w:color w:val="auto"/>
              </w:rPr>
            </w:pPr>
            <w:r>
              <w:rPr>
                <w:rFonts w:ascii="Arial" w:cs="Arial" w:eastAsia="Arial" w:hAnsi="Arial"/>
                <w:sz w:val="20"/>
                <w:szCs w:val="20"/>
                <w:color w:val="auto"/>
              </w:rPr>
              <w:t>[†]</w:t>
            </w:r>
          </w:p>
        </w:tc>
      </w:tr>
      <w:tr>
        <w:trPr>
          <w:trHeight w:val="223"/>
        </w:trPr>
        <w:tc>
          <w:tcPr>
            <w:tcW w:w="780" w:type="dxa"/>
            <w:vAlign w:val="bottom"/>
            <w:tcBorders>
              <w:left w:val="single" w:sz="8" w:color="auto"/>
              <w:bottom w:val="single" w:sz="8" w:color="auto"/>
              <w:right w:val="single" w:sz="8" w:color="auto"/>
            </w:tcBorders>
          </w:tcPr>
          <w:p>
            <w:pPr>
              <w:spacing w:after="0" w:line="223" w:lineRule="exact"/>
              <w:rPr>
                <w:sz w:val="20"/>
                <w:szCs w:val="20"/>
                <w:color w:val="auto"/>
              </w:rPr>
            </w:pPr>
            <w:r>
              <w:rPr>
                <w:rFonts w:ascii="Arial" w:cs="Arial" w:eastAsia="Arial" w:hAnsi="Arial"/>
                <w:sz w:val="20"/>
                <w:szCs w:val="20"/>
                <w:color w:val="auto"/>
              </w:rPr>
              <w:t>[†]</w:t>
            </w:r>
          </w:p>
        </w:tc>
        <w:tc>
          <w:tcPr>
            <w:tcW w:w="960" w:type="dxa"/>
            <w:vAlign w:val="bottom"/>
            <w:tcBorders>
              <w:bottom w:val="single" w:sz="8" w:color="auto"/>
              <w:right w:val="single" w:sz="8" w:color="auto"/>
            </w:tcBorders>
          </w:tcPr>
          <w:p>
            <w:pPr>
              <w:spacing w:after="0" w:line="223" w:lineRule="exact"/>
              <w:rPr>
                <w:sz w:val="20"/>
                <w:szCs w:val="20"/>
                <w:color w:val="auto"/>
              </w:rPr>
            </w:pPr>
            <w:r>
              <w:rPr>
                <w:rFonts w:ascii="Arial" w:cs="Arial" w:eastAsia="Arial" w:hAnsi="Arial"/>
                <w:sz w:val="20"/>
                <w:szCs w:val="20"/>
                <w:color w:val="auto"/>
              </w:rPr>
              <w:t>[†]</w:t>
            </w:r>
          </w:p>
        </w:tc>
        <w:tc>
          <w:tcPr>
            <w:tcW w:w="920" w:type="dxa"/>
            <w:vAlign w:val="bottom"/>
            <w:tcBorders>
              <w:bottom w:val="single" w:sz="8" w:color="auto"/>
              <w:right w:val="single" w:sz="8" w:color="auto"/>
            </w:tcBorders>
          </w:tcPr>
          <w:p>
            <w:pPr>
              <w:spacing w:after="0" w:line="223" w:lineRule="exact"/>
              <w:rPr>
                <w:sz w:val="20"/>
                <w:szCs w:val="20"/>
                <w:color w:val="auto"/>
              </w:rPr>
            </w:pPr>
            <w:r>
              <w:rPr>
                <w:rFonts w:ascii="Arial" w:cs="Arial" w:eastAsia="Arial" w:hAnsi="Arial"/>
                <w:sz w:val="20"/>
                <w:szCs w:val="20"/>
                <w:color w:val="auto"/>
              </w:rPr>
              <w:t>[†]</w:t>
            </w:r>
          </w:p>
        </w:tc>
        <w:tc>
          <w:tcPr>
            <w:tcW w:w="2560" w:type="dxa"/>
            <w:vAlign w:val="bottom"/>
            <w:tcBorders>
              <w:bottom w:val="single" w:sz="8" w:color="auto"/>
              <w:right w:val="single" w:sz="8" w:color="auto"/>
            </w:tcBorders>
          </w:tcPr>
          <w:p>
            <w:pPr>
              <w:spacing w:after="0" w:line="223" w:lineRule="exact"/>
              <w:rPr>
                <w:sz w:val="20"/>
                <w:szCs w:val="20"/>
                <w:color w:val="auto"/>
              </w:rPr>
            </w:pPr>
            <w:r>
              <w:rPr>
                <w:rFonts w:ascii="Arial" w:cs="Arial" w:eastAsia="Arial" w:hAnsi="Arial"/>
                <w:sz w:val="20"/>
                <w:szCs w:val="20"/>
                <w:color w:val="auto"/>
              </w:rPr>
              <w:t>[†]</w:t>
            </w:r>
          </w:p>
        </w:tc>
        <w:tc>
          <w:tcPr>
            <w:tcW w:w="760" w:type="dxa"/>
            <w:vAlign w:val="bottom"/>
            <w:tcBorders>
              <w:bottom w:val="single" w:sz="8" w:color="auto"/>
              <w:right w:val="single" w:sz="8" w:color="auto"/>
            </w:tcBorders>
          </w:tcPr>
          <w:p>
            <w:pPr>
              <w:spacing w:after="0"/>
              <w:rPr>
                <w:sz w:val="19"/>
                <w:szCs w:val="19"/>
                <w:color w:val="auto"/>
              </w:rPr>
            </w:pPr>
          </w:p>
        </w:tc>
        <w:tc>
          <w:tcPr>
            <w:tcW w:w="1120" w:type="dxa"/>
            <w:vAlign w:val="bottom"/>
            <w:tcBorders>
              <w:bottom w:val="single" w:sz="8" w:color="auto"/>
              <w:right w:val="single" w:sz="8" w:color="auto"/>
            </w:tcBorders>
          </w:tcPr>
          <w:p>
            <w:pPr>
              <w:spacing w:after="0"/>
              <w:rPr>
                <w:sz w:val="19"/>
                <w:szCs w:val="19"/>
                <w:color w:val="auto"/>
              </w:rPr>
            </w:pPr>
          </w:p>
        </w:tc>
        <w:tc>
          <w:tcPr>
            <w:tcW w:w="760" w:type="dxa"/>
            <w:vAlign w:val="bottom"/>
            <w:tcBorders>
              <w:bottom w:val="single" w:sz="8" w:color="auto"/>
              <w:right w:val="single" w:sz="8" w:color="auto"/>
            </w:tcBorders>
          </w:tcPr>
          <w:p>
            <w:pPr>
              <w:spacing w:after="0"/>
              <w:rPr>
                <w:sz w:val="19"/>
                <w:szCs w:val="19"/>
                <w:color w:val="auto"/>
              </w:rPr>
            </w:pPr>
          </w:p>
        </w:tc>
        <w:tc>
          <w:tcPr>
            <w:tcW w:w="760" w:type="dxa"/>
            <w:vAlign w:val="bottom"/>
            <w:tcBorders>
              <w:bottom w:val="single" w:sz="8" w:color="auto"/>
              <w:right w:val="single" w:sz="8" w:color="auto"/>
            </w:tcBorders>
          </w:tcPr>
          <w:p>
            <w:pPr>
              <w:spacing w:after="0"/>
              <w:rPr>
                <w:sz w:val="19"/>
                <w:szCs w:val="19"/>
                <w:color w:val="auto"/>
              </w:rPr>
            </w:pPr>
          </w:p>
        </w:tc>
        <w:tc>
          <w:tcPr>
            <w:tcW w:w="880" w:type="dxa"/>
            <w:vAlign w:val="bottom"/>
            <w:tcBorders>
              <w:bottom w:val="single" w:sz="8" w:color="auto"/>
              <w:right w:val="single" w:sz="8" w:color="auto"/>
            </w:tcBorders>
          </w:tcPr>
          <w:p>
            <w:pPr>
              <w:spacing w:after="0" w:line="223" w:lineRule="exact"/>
              <w:rPr>
                <w:sz w:val="20"/>
                <w:szCs w:val="20"/>
                <w:color w:val="auto"/>
              </w:rPr>
            </w:pPr>
            <w:r>
              <w:rPr>
                <w:rFonts w:ascii="Arial" w:cs="Arial" w:eastAsia="Arial" w:hAnsi="Arial"/>
                <w:sz w:val="20"/>
                <w:szCs w:val="20"/>
                <w:color w:val="auto"/>
              </w:rPr>
              <w:t>[†]</w:t>
            </w:r>
          </w:p>
        </w:tc>
        <w:tc>
          <w:tcPr>
            <w:tcW w:w="840" w:type="dxa"/>
            <w:vAlign w:val="bottom"/>
            <w:tcBorders>
              <w:bottom w:val="single" w:sz="8" w:color="auto"/>
              <w:right w:val="single" w:sz="8" w:color="auto"/>
            </w:tcBorders>
          </w:tcPr>
          <w:p>
            <w:pPr>
              <w:spacing w:after="0" w:line="223" w:lineRule="exact"/>
              <w:rPr>
                <w:sz w:val="20"/>
                <w:szCs w:val="20"/>
                <w:color w:val="auto"/>
              </w:rPr>
            </w:pPr>
            <w:r>
              <w:rPr>
                <w:rFonts w:ascii="Arial" w:cs="Arial" w:eastAsia="Arial" w:hAnsi="Arial"/>
                <w:sz w:val="20"/>
                <w:szCs w:val="20"/>
                <w:color w:val="auto"/>
              </w:rPr>
              <w:t>[†]</w:t>
            </w:r>
          </w:p>
        </w:tc>
        <w:tc>
          <w:tcPr>
            <w:tcW w:w="1040" w:type="dxa"/>
            <w:vAlign w:val="bottom"/>
            <w:tcBorders>
              <w:bottom w:val="single" w:sz="8" w:color="auto"/>
              <w:right w:val="single" w:sz="8" w:color="auto"/>
            </w:tcBorders>
          </w:tcPr>
          <w:p>
            <w:pPr>
              <w:spacing w:after="0" w:line="223" w:lineRule="exact"/>
              <w:rPr>
                <w:sz w:val="20"/>
                <w:szCs w:val="20"/>
                <w:color w:val="auto"/>
              </w:rPr>
            </w:pPr>
            <w:r>
              <w:rPr>
                <w:rFonts w:ascii="Arial" w:cs="Arial" w:eastAsia="Arial" w:hAnsi="Arial"/>
                <w:sz w:val="20"/>
                <w:szCs w:val="20"/>
                <w:color w:val="auto"/>
              </w:rPr>
              <w:t>[†]</w:t>
            </w:r>
          </w:p>
        </w:tc>
      </w:tr>
      <w:tr>
        <w:trPr>
          <w:trHeight w:val="223"/>
        </w:trPr>
        <w:tc>
          <w:tcPr>
            <w:tcW w:w="780" w:type="dxa"/>
            <w:vAlign w:val="bottom"/>
            <w:tcBorders>
              <w:left w:val="single" w:sz="8" w:color="auto"/>
              <w:bottom w:val="single" w:sz="8" w:color="auto"/>
              <w:right w:val="single" w:sz="8" w:color="auto"/>
            </w:tcBorders>
          </w:tcPr>
          <w:p>
            <w:pPr>
              <w:spacing w:after="0" w:line="223" w:lineRule="exact"/>
              <w:rPr>
                <w:sz w:val="20"/>
                <w:szCs w:val="20"/>
                <w:color w:val="auto"/>
              </w:rPr>
            </w:pPr>
            <w:r>
              <w:rPr>
                <w:rFonts w:ascii="Arial" w:cs="Arial" w:eastAsia="Arial" w:hAnsi="Arial"/>
                <w:sz w:val="20"/>
                <w:szCs w:val="20"/>
                <w:color w:val="auto"/>
              </w:rPr>
              <w:t>[†]</w:t>
            </w:r>
          </w:p>
        </w:tc>
        <w:tc>
          <w:tcPr>
            <w:tcW w:w="960" w:type="dxa"/>
            <w:vAlign w:val="bottom"/>
            <w:tcBorders>
              <w:bottom w:val="single" w:sz="8" w:color="auto"/>
              <w:right w:val="single" w:sz="8" w:color="auto"/>
            </w:tcBorders>
          </w:tcPr>
          <w:p>
            <w:pPr>
              <w:spacing w:after="0" w:line="223" w:lineRule="exact"/>
              <w:rPr>
                <w:sz w:val="20"/>
                <w:szCs w:val="20"/>
                <w:color w:val="auto"/>
              </w:rPr>
            </w:pPr>
            <w:r>
              <w:rPr>
                <w:rFonts w:ascii="Arial" w:cs="Arial" w:eastAsia="Arial" w:hAnsi="Arial"/>
                <w:sz w:val="20"/>
                <w:szCs w:val="20"/>
                <w:color w:val="auto"/>
              </w:rPr>
              <w:t>[†]</w:t>
            </w:r>
          </w:p>
        </w:tc>
        <w:tc>
          <w:tcPr>
            <w:tcW w:w="920" w:type="dxa"/>
            <w:vAlign w:val="bottom"/>
            <w:tcBorders>
              <w:bottom w:val="single" w:sz="8" w:color="auto"/>
              <w:right w:val="single" w:sz="8" w:color="auto"/>
            </w:tcBorders>
          </w:tcPr>
          <w:p>
            <w:pPr>
              <w:spacing w:after="0" w:line="223" w:lineRule="exact"/>
              <w:rPr>
                <w:sz w:val="20"/>
                <w:szCs w:val="20"/>
                <w:color w:val="auto"/>
              </w:rPr>
            </w:pPr>
            <w:r>
              <w:rPr>
                <w:rFonts w:ascii="Arial" w:cs="Arial" w:eastAsia="Arial" w:hAnsi="Arial"/>
                <w:sz w:val="20"/>
                <w:szCs w:val="20"/>
                <w:color w:val="auto"/>
              </w:rPr>
              <w:t>[†]</w:t>
            </w:r>
          </w:p>
        </w:tc>
        <w:tc>
          <w:tcPr>
            <w:tcW w:w="2560" w:type="dxa"/>
            <w:vAlign w:val="bottom"/>
            <w:tcBorders>
              <w:bottom w:val="single" w:sz="8" w:color="auto"/>
              <w:right w:val="single" w:sz="8" w:color="auto"/>
            </w:tcBorders>
          </w:tcPr>
          <w:p>
            <w:pPr>
              <w:spacing w:after="0" w:line="223" w:lineRule="exact"/>
              <w:rPr>
                <w:sz w:val="20"/>
                <w:szCs w:val="20"/>
                <w:color w:val="auto"/>
              </w:rPr>
            </w:pPr>
            <w:r>
              <w:rPr>
                <w:rFonts w:ascii="Arial" w:cs="Arial" w:eastAsia="Arial" w:hAnsi="Arial"/>
                <w:sz w:val="20"/>
                <w:szCs w:val="20"/>
                <w:color w:val="auto"/>
              </w:rPr>
              <w:t>[†]</w:t>
            </w:r>
          </w:p>
        </w:tc>
        <w:tc>
          <w:tcPr>
            <w:tcW w:w="760" w:type="dxa"/>
            <w:vAlign w:val="bottom"/>
            <w:tcBorders>
              <w:bottom w:val="single" w:sz="8" w:color="auto"/>
              <w:right w:val="single" w:sz="8" w:color="auto"/>
            </w:tcBorders>
          </w:tcPr>
          <w:p>
            <w:pPr>
              <w:spacing w:after="0" w:line="223" w:lineRule="exact"/>
              <w:rPr>
                <w:sz w:val="20"/>
                <w:szCs w:val="20"/>
                <w:color w:val="auto"/>
              </w:rPr>
            </w:pPr>
            <w:r>
              <w:rPr>
                <w:rFonts w:ascii="Arial" w:cs="Arial" w:eastAsia="Arial" w:hAnsi="Arial"/>
                <w:sz w:val="20"/>
                <w:szCs w:val="20"/>
                <w:color w:val="auto"/>
              </w:rPr>
              <w:t>[†]</w:t>
            </w:r>
          </w:p>
        </w:tc>
        <w:tc>
          <w:tcPr>
            <w:tcW w:w="1120" w:type="dxa"/>
            <w:vAlign w:val="bottom"/>
            <w:tcBorders>
              <w:bottom w:val="single" w:sz="8" w:color="auto"/>
              <w:right w:val="single" w:sz="8" w:color="auto"/>
            </w:tcBorders>
          </w:tcPr>
          <w:p>
            <w:pPr>
              <w:spacing w:after="0" w:line="223" w:lineRule="exact"/>
              <w:rPr>
                <w:sz w:val="20"/>
                <w:szCs w:val="20"/>
                <w:color w:val="auto"/>
              </w:rPr>
            </w:pPr>
            <w:r>
              <w:rPr>
                <w:rFonts w:ascii="Arial" w:cs="Arial" w:eastAsia="Arial" w:hAnsi="Arial"/>
                <w:sz w:val="20"/>
                <w:szCs w:val="20"/>
                <w:color w:val="auto"/>
              </w:rPr>
              <w:t>[†]</w:t>
            </w:r>
          </w:p>
        </w:tc>
        <w:tc>
          <w:tcPr>
            <w:tcW w:w="760" w:type="dxa"/>
            <w:vAlign w:val="bottom"/>
            <w:tcBorders>
              <w:bottom w:val="single" w:sz="8" w:color="auto"/>
              <w:right w:val="single" w:sz="8" w:color="auto"/>
            </w:tcBorders>
          </w:tcPr>
          <w:p>
            <w:pPr>
              <w:spacing w:after="0"/>
              <w:rPr>
                <w:sz w:val="19"/>
                <w:szCs w:val="19"/>
                <w:color w:val="auto"/>
              </w:rPr>
            </w:pPr>
          </w:p>
        </w:tc>
        <w:tc>
          <w:tcPr>
            <w:tcW w:w="760" w:type="dxa"/>
            <w:vAlign w:val="bottom"/>
            <w:tcBorders>
              <w:bottom w:val="single" w:sz="8" w:color="auto"/>
              <w:right w:val="single" w:sz="8" w:color="auto"/>
            </w:tcBorders>
          </w:tcPr>
          <w:p>
            <w:pPr>
              <w:spacing w:after="0"/>
              <w:rPr>
                <w:sz w:val="19"/>
                <w:szCs w:val="19"/>
                <w:color w:val="auto"/>
              </w:rPr>
            </w:pPr>
          </w:p>
        </w:tc>
        <w:tc>
          <w:tcPr>
            <w:tcW w:w="880" w:type="dxa"/>
            <w:vAlign w:val="bottom"/>
            <w:tcBorders>
              <w:bottom w:val="single" w:sz="8" w:color="auto"/>
              <w:right w:val="single" w:sz="8" w:color="auto"/>
            </w:tcBorders>
          </w:tcPr>
          <w:p>
            <w:pPr>
              <w:spacing w:after="0" w:line="223" w:lineRule="exact"/>
              <w:rPr>
                <w:sz w:val="20"/>
                <w:szCs w:val="20"/>
                <w:color w:val="auto"/>
              </w:rPr>
            </w:pPr>
            <w:r>
              <w:rPr>
                <w:rFonts w:ascii="Arial" w:cs="Arial" w:eastAsia="Arial" w:hAnsi="Arial"/>
                <w:sz w:val="20"/>
                <w:szCs w:val="20"/>
                <w:color w:val="auto"/>
              </w:rPr>
              <w:t>[†]</w:t>
            </w:r>
          </w:p>
        </w:tc>
        <w:tc>
          <w:tcPr>
            <w:tcW w:w="840" w:type="dxa"/>
            <w:vAlign w:val="bottom"/>
            <w:tcBorders>
              <w:bottom w:val="single" w:sz="8" w:color="auto"/>
              <w:right w:val="single" w:sz="8" w:color="auto"/>
            </w:tcBorders>
          </w:tcPr>
          <w:p>
            <w:pPr>
              <w:spacing w:after="0" w:line="223" w:lineRule="exact"/>
              <w:rPr>
                <w:sz w:val="20"/>
                <w:szCs w:val="20"/>
                <w:color w:val="auto"/>
              </w:rPr>
            </w:pPr>
            <w:r>
              <w:rPr>
                <w:rFonts w:ascii="Arial" w:cs="Arial" w:eastAsia="Arial" w:hAnsi="Arial"/>
                <w:sz w:val="20"/>
                <w:szCs w:val="20"/>
                <w:color w:val="auto"/>
              </w:rPr>
              <w:t>[†]</w:t>
            </w:r>
          </w:p>
        </w:tc>
        <w:tc>
          <w:tcPr>
            <w:tcW w:w="1040" w:type="dxa"/>
            <w:vAlign w:val="bottom"/>
            <w:tcBorders>
              <w:bottom w:val="single" w:sz="8" w:color="auto"/>
              <w:right w:val="single" w:sz="8" w:color="auto"/>
            </w:tcBorders>
          </w:tcPr>
          <w:p>
            <w:pPr>
              <w:spacing w:after="0" w:line="223" w:lineRule="exact"/>
              <w:rPr>
                <w:sz w:val="20"/>
                <w:szCs w:val="20"/>
                <w:color w:val="auto"/>
              </w:rPr>
            </w:pPr>
            <w:r>
              <w:rPr>
                <w:rFonts w:ascii="Arial" w:cs="Arial" w:eastAsia="Arial" w:hAnsi="Arial"/>
                <w:sz w:val="20"/>
                <w:szCs w:val="20"/>
                <w:color w:val="auto"/>
              </w:rPr>
              <w:t>[†]</w:t>
            </w:r>
          </w:p>
        </w:tc>
      </w:tr>
      <w:tr>
        <w:trPr>
          <w:trHeight w:val="223"/>
        </w:trPr>
        <w:tc>
          <w:tcPr>
            <w:tcW w:w="780" w:type="dxa"/>
            <w:vAlign w:val="bottom"/>
            <w:tcBorders>
              <w:left w:val="single" w:sz="8" w:color="auto"/>
              <w:bottom w:val="single" w:sz="8" w:color="auto"/>
              <w:right w:val="single" w:sz="8" w:color="auto"/>
            </w:tcBorders>
          </w:tcPr>
          <w:p>
            <w:pPr>
              <w:spacing w:after="0" w:line="223" w:lineRule="exact"/>
              <w:rPr>
                <w:sz w:val="20"/>
                <w:szCs w:val="20"/>
                <w:color w:val="auto"/>
              </w:rPr>
            </w:pPr>
            <w:r>
              <w:rPr>
                <w:rFonts w:ascii="Arial" w:cs="Arial" w:eastAsia="Arial" w:hAnsi="Arial"/>
                <w:sz w:val="20"/>
                <w:szCs w:val="20"/>
                <w:color w:val="auto"/>
              </w:rPr>
              <w:t>[†]</w:t>
            </w:r>
          </w:p>
        </w:tc>
        <w:tc>
          <w:tcPr>
            <w:tcW w:w="960" w:type="dxa"/>
            <w:vAlign w:val="bottom"/>
            <w:tcBorders>
              <w:bottom w:val="single" w:sz="8" w:color="auto"/>
              <w:right w:val="single" w:sz="8" w:color="auto"/>
            </w:tcBorders>
          </w:tcPr>
          <w:p>
            <w:pPr>
              <w:spacing w:after="0" w:line="223" w:lineRule="exact"/>
              <w:rPr>
                <w:sz w:val="20"/>
                <w:szCs w:val="20"/>
                <w:color w:val="auto"/>
              </w:rPr>
            </w:pPr>
            <w:r>
              <w:rPr>
                <w:rFonts w:ascii="Arial" w:cs="Arial" w:eastAsia="Arial" w:hAnsi="Arial"/>
                <w:sz w:val="20"/>
                <w:szCs w:val="20"/>
                <w:color w:val="auto"/>
              </w:rPr>
              <w:t>[†]</w:t>
            </w:r>
          </w:p>
        </w:tc>
        <w:tc>
          <w:tcPr>
            <w:tcW w:w="920" w:type="dxa"/>
            <w:vAlign w:val="bottom"/>
            <w:tcBorders>
              <w:bottom w:val="single" w:sz="8" w:color="auto"/>
              <w:right w:val="single" w:sz="8" w:color="auto"/>
            </w:tcBorders>
          </w:tcPr>
          <w:p>
            <w:pPr>
              <w:spacing w:after="0" w:line="223" w:lineRule="exact"/>
              <w:rPr>
                <w:sz w:val="20"/>
                <w:szCs w:val="20"/>
                <w:color w:val="auto"/>
              </w:rPr>
            </w:pPr>
            <w:r>
              <w:rPr>
                <w:rFonts w:ascii="Arial" w:cs="Arial" w:eastAsia="Arial" w:hAnsi="Arial"/>
                <w:sz w:val="20"/>
                <w:szCs w:val="20"/>
                <w:color w:val="auto"/>
              </w:rPr>
              <w:t>[†]</w:t>
            </w:r>
          </w:p>
        </w:tc>
        <w:tc>
          <w:tcPr>
            <w:tcW w:w="2560" w:type="dxa"/>
            <w:vAlign w:val="bottom"/>
            <w:tcBorders>
              <w:bottom w:val="single" w:sz="8" w:color="auto"/>
              <w:right w:val="single" w:sz="8" w:color="auto"/>
            </w:tcBorders>
          </w:tcPr>
          <w:p>
            <w:pPr>
              <w:spacing w:after="0" w:line="223" w:lineRule="exact"/>
              <w:rPr>
                <w:sz w:val="20"/>
                <w:szCs w:val="20"/>
                <w:color w:val="auto"/>
              </w:rPr>
            </w:pPr>
            <w:r>
              <w:rPr>
                <w:rFonts w:ascii="Arial" w:cs="Arial" w:eastAsia="Arial" w:hAnsi="Arial"/>
                <w:sz w:val="20"/>
                <w:szCs w:val="20"/>
                <w:color w:val="auto"/>
              </w:rPr>
              <w:t>[†]</w:t>
            </w:r>
          </w:p>
        </w:tc>
        <w:tc>
          <w:tcPr>
            <w:tcW w:w="760" w:type="dxa"/>
            <w:vAlign w:val="bottom"/>
            <w:tcBorders>
              <w:bottom w:val="single" w:sz="8" w:color="auto"/>
              <w:right w:val="single" w:sz="8" w:color="auto"/>
            </w:tcBorders>
          </w:tcPr>
          <w:p>
            <w:pPr>
              <w:spacing w:after="0" w:line="223" w:lineRule="exact"/>
              <w:rPr>
                <w:sz w:val="20"/>
                <w:szCs w:val="20"/>
                <w:color w:val="auto"/>
              </w:rPr>
            </w:pPr>
            <w:r>
              <w:rPr>
                <w:rFonts w:ascii="Arial" w:cs="Arial" w:eastAsia="Arial" w:hAnsi="Arial"/>
                <w:sz w:val="20"/>
                <w:szCs w:val="20"/>
                <w:color w:val="auto"/>
              </w:rPr>
              <w:t>[†]</w:t>
            </w:r>
          </w:p>
        </w:tc>
        <w:tc>
          <w:tcPr>
            <w:tcW w:w="1120" w:type="dxa"/>
            <w:vAlign w:val="bottom"/>
            <w:tcBorders>
              <w:bottom w:val="single" w:sz="8" w:color="auto"/>
              <w:right w:val="single" w:sz="8" w:color="auto"/>
            </w:tcBorders>
          </w:tcPr>
          <w:p>
            <w:pPr>
              <w:spacing w:after="0" w:line="223" w:lineRule="exact"/>
              <w:rPr>
                <w:sz w:val="20"/>
                <w:szCs w:val="20"/>
                <w:color w:val="auto"/>
              </w:rPr>
            </w:pPr>
            <w:r>
              <w:rPr>
                <w:rFonts w:ascii="Arial" w:cs="Arial" w:eastAsia="Arial" w:hAnsi="Arial"/>
                <w:sz w:val="20"/>
                <w:szCs w:val="20"/>
                <w:color w:val="auto"/>
              </w:rPr>
              <w:t>[†]</w:t>
            </w:r>
          </w:p>
        </w:tc>
        <w:tc>
          <w:tcPr>
            <w:tcW w:w="760" w:type="dxa"/>
            <w:vAlign w:val="bottom"/>
            <w:tcBorders>
              <w:bottom w:val="single" w:sz="8" w:color="auto"/>
              <w:right w:val="single" w:sz="8" w:color="auto"/>
            </w:tcBorders>
          </w:tcPr>
          <w:p>
            <w:pPr>
              <w:spacing w:after="0"/>
              <w:rPr>
                <w:sz w:val="19"/>
                <w:szCs w:val="19"/>
                <w:color w:val="auto"/>
              </w:rPr>
            </w:pPr>
          </w:p>
        </w:tc>
        <w:tc>
          <w:tcPr>
            <w:tcW w:w="760" w:type="dxa"/>
            <w:vAlign w:val="bottom"/>
            <w:tcBorders>
              <w:bottom w:val="single" w:sz="8" w:color="auto"/>
              <w:right w:val="single" w:sz="8" w:color="auto"/>
            </w:tcBorders>
          </w:tcPr>
          <w:p>
            <w:pPr>
              <w:spacing w:after="0" w:line="223" w:lineRule="exact"/>
              <w:rPr>
                <w:sz w:val="20"/>
                <w:szCs w:val="20"/>
                <w:color w:val="auto"/>
              </w:rPr>
            </w:pPr>
            <w:r>
              <w:rPr>
                <w:rFonts w:ascii="Arial" w:cs="Arial" w:eastAsia="Arial" w:hAnsi="Arial"/>
                <w:sz w:val="20"/>
                <w:szCs w:val="20"/>
                <w:color w:val="auto"/>
              </w:rPr>
              <w:t>[†]</w:t>
            </w:r>
          </w:p>
        </w:tc>
        <w:tc>
          <w:tcPr>
            <w:tcW w:w="880" w:type="dxa"/>
            <w:vAlign w:val="bottom"/>
            <w:tcBorders>
              <w:bottom w:val="single" w:sz="8" w:color="auto"/>
              <w:right w:val="single" w:sz="8" w:color="auto"/>
            </w:tcBorders>
          </w:tcPr>
          <w:p>
            <w:pPr>
              <w:spacing w:after="0" w:line="223" w:lineRule="exact"/>
              <w:rPr>
                <w:sz w:val="20"/>
                <w:szCs w:val="20"/>
                <w:color w:val="auto"/>
              </w:rPr>
            </w:pPr>
            <w:r>
              <w:rPr>
                <w:rFonts w:ascii="Arial" w:cs="Arial" w:eastAsia="Arial" w:hAnsi="Arial"/>
                <w:sz w:val="20"/>
                <w:szCs w:val="20"/>
                <w:color w:val="auto"/>
              </w:rPr>
              <w:t>[†]</w:t>
            </w:r>
          </w:p>
        </w:tc>
        <w:tc>
          <w:tcPr>
            <w:tcW w:w="840" w:type="dxa"/>
            <w:vAlign w:val="bottom"/>
            <w:tcBorders>
              <w:bottom w:val="single" w:sz="8" w:color="auto"/>
              <w:right w:val="single" w:sz="8" w:color="auto"/>
            </w:tcBorders>
          </w:tcPr>
          <w:p>
            <w:pPr>
              <w:spacing w:after="0" w:line="223" w:lineRule="exact"/>
              <w:rPr>
                <w:sz w:val="20"/>
                <w:szCs w:val="20"/>
                <w:color w:val="auto"/>
              </w:rPr>
            </w:pPr>
            <w:r>
              <w:rPr>
                <w:rFonts w:ascii="Arial" w:cs="Arial" w:eastAsia="Arial" w:hAnsi="Arial"/>
                <w:sz w:val="20"/>
                <w:szCs w:val="20"/>
                <w:color w:val="auto"/>
              </w:rPr>
              <w:t>[†]</w:t>
            </w:r>
          </w:p>
        </w:tc>
        <w:tc>
          <w:tcPr>
            <w:tcW w:w="1040" w:type="dxa"/>
            <w:vAlign w:val="bottom"/>
            <w:tcBorders>
              <w:bottom w:val="single" w:sz="8" w:color="auto"/>
              <w:right w:val="single" w:sz="8" w:color="auto"/>
            </w:tcBorders>
          </w:tcPr>
          <w:p>
            <w:pPr>
              <w:spacing w:after="0" w:line="223" w:lineRule="exact"/>
              <w:rPr>
                <w:sz w:val="20"/>
                <w:szCs w:val="20"/>
                <w:color w:val="auto"/>
              </w:rPr>
            </w:pPr>
            <w:r>
              <w:rPr>
                <w:rFonts w:ascii="Arial" w:cs="Arial" w:eastAsia="Arial" w:hAnsi="Arial"/>
                <w:sz w:val="20"/>
                <w:szCs w:val="20"/>
                <w:color w:val="auto"/>
              </w:rPr>
              <w:t>[†]</w:t>
            </w:r>
          </w:p>
        </w:tc>
      </w:tr>
      <w:tr>
        <w:trPr>
          <w:trHeight w:val="223"/>
        </w:trPr>
        <w:tc>
          <w:tcPr>
            <w:tcW w:w="780" w:type="dxa"/>
            <w:vAlign w:val="bottom"/>
            <w:tcBorders>
              <w:left w:val="single" w:sz="8" w:color="auto"/>
              <w:bottom w:val="single" w:sz="8" w:color="auto"/>
              <w:right w:val="single" w:sz="8" w:color="auto"/>
            </w:tcBorders>
          </w:tcPr>
          <w:p>
            <w:pPr>
              <w:spacing w:after="0" w:line="223" w:lineRule="exact"/>
              <w:rPr>
                <w:sz w:val="20"/>
                <w:szCs w:val="20"/>
                <w:color w:val="auto"/>
              </w:rPr>
            </w:pPr>
            <w:r>
              <w:rPr>
                <w:rFonts w:ascii="Arial" w:cs="Arial" w:eastAsia="Arial" w:hAnsi="Arial"/>
                <w:sz w:val="20"/>
                <w:szCs w:val="20"/>
                <w:color w:val="auto"/>
              </w:rPr>
              <w:t>[†]</w:t>
            </w:r>
          </w:p>
        </w:tc>
        <w:tc>
          <w:tcPr>
            <w:tcW w:w="960" w:type="dxa"/>
            <w:vAlign w:val="bottom"/>
            <w:tcBorders>
              <w:bottom w:val="single" w:sz="8" w:color="auto"/>
              <w:right w:val="single" w:sz="8" w:color="auto"/>
            </w:tcBorders>
          </w:tcPr>
          <w:p>
            <w:pPr>
              <w:spacing w:after="0" w:line="223" w:lineRule="exact"/>
              <w:rPr>
                <w:sz w:val="20"/>
                <w:szCs w:val="20"/>
                <w:color w:val="auto"/>
              </w:rPr>
            </w:pPr>
            <w:r>
              <w:rPr>
                <w:rFonts w:ascii="Arial" w:cs="Arial" w:eastAsia="Arial" w:hAnsi="Arial"/>
                <w:sz w:val="20"/>
                <w:szCs w:val="20"/>
                <w:color w:val="auto"/>
              </w:rPr>
              <w:t>[†]</w:t>
            </w:r>
          </w:p>
        </w:tc>
        <w:tc>
          <w:tcPr>
            <w:tcW w:w="920" w:type="dxa"/>
            <w:vAlign w:val="bottom"/>
            <w:tcBorders>
              <w:bottom w:val="single" w:sz="8" w:color="auto"/>
              <w:right w:val="single" w:sz="8" w:color="auto"/>
            </w:tcBorders>
          </w:tcPr>
          <w:p>
            <w:pPr>
              <w:spacing w:after="0" w:line="223" w:lineRule="exact"/>
              <w:rPr>
                <w:sz w:val="20"/>
                <w:szCs w:val="20"/>
                <w:color w:val="auto"/>
              </w:rPr>
            </w:pPr>
            <w:r>
              <w:rPr>
                <w:rFonts w:ascii="Arial" w:cs="Arial" w:eastAsia="Arial" w:hAnsi="Arial"/>
                <w:sz w:val="20"/>
                <w:szCs w:val="20"/>
                <w:color w:val="auto"/>
              </w:rPr>
              <w:t>[†]</w:t>
            </w:r>
          </w:p>
        </w:tc>
        <w:tc>
          <w:tcPr>
            <w:tcW w:w="2560" w:type="dxa"/>
            <w:vAlign w:val="bottom"/>
            <w:tcBorders>
              <w:bottom w:val="single" w:sz="8" w:color="auto"/>
              <w:right w:val="single" w:sz="8" w:color="auto"/>
            </w:tcBorders>
          </w:tcPr>
          <w:p>
            <w:pPr>
              <w:spacing w:after="0" w:line="223" w:lineRule="exact"/>
              <w:rPr>
                <w:sz w:val="20"/>
                <w:szCs w:val="20"/>
                <w:color w:val="auto"/>
              </w:rPr>
            </w:pPr>
            <w:r>
              <w:rPr>
                <w:rFonts w:ascii="Arial" w:cs="Arial" w:eastAsia="Arial" w:hAnsi="Arial"/>
                <w:sz w:val="20"/>
                <w:szCs w:val="20"/>
                <w:color w:val="auto"/>
              </w:rPr>
              <w:t>[†]</w:t>
            </w:r>
          </w:p>
        </w:tc>
        <w:tc>
          <w:tcPr>
            <w:tcW w:w="760" w:type="dxa"/>
            <w:vAlign w:val="bottom"/>
            <w:tcBorders>
              <w:bottom w:val="single" w:sz="8" w:color="auto"/>
              <w:right w:val="single" w:sz="8" w:color="auto"/>
            </w:tcBorders>
          </w:tcPr>
          <w:p>
            <w:pPr>
              <w:spacing w:after="0" w:line="223" w:lineRule="exact"/>
              <w:rPr>
                <w:sz w:val="20"/>
                <w:szCs w:val="20"/>
                <w:color w:val="auto"/>
              </w:rPr>
            </w:pPr>
            <w:r>
              <w:rPr>
                <w:rFonts w:ascii="Arial" w:cs="Arial" w:eastAsia="Arial" w:hAnsi="Arial"/>
                <w:sz w:val="20"/>
                <w:szCs w:val="20"/>
                <w:color w:val="auto"/>
              </w:rPr>
              <w:t>[†]</w:t>
            </w:r>
          </w:p>
        </w:tc>
        <w:tc>
          <w:tcPr>
            <w:tcW w:w="1120" w:type="dxa"/>
            <w:vAlign w:val="bottom"/>
            <w:tcBorders>
              <w:bottom w:val="single" w:sz="8" w:color="auto"/>
              <w:right w:val="single" w:sz="8" w:color="auto"/>
            </w:tcBorders>
          </w:tcPr>
          <w:p>
            <w:pPr>
              <w:spacing w:after="0" w:line="223" w:lineRule="exact"/>
              <w:rPr>
                <w:sz w:val="20"/>
                <w:szCs w:val="20"/>
                <w:color w:val="auto"/>
              </w:rPr>
            </w:pPr>
            <w:r>
              <w:rPr>
                <w:rFonts w:ascii="Arial" w:cs="Arial" w:eastAsia="Arial" w:hAnsi="Arial"/>
                <w:sz w:val="20"/>
                <w:szCs w:val="20"/>
                <w:color w:val="auto"/>
              </w:rPr>
              <w:t>[†]</w:t>
            </w:r>
          </w:p>
        </w:tc>
        <w:tc>
          <w:tcPr>
            <w:tcW w:w="760" w:type="dxa"/>
            <w:vAlign w:val="bottom"/>
            <w:tcBorders>
              <w:bottom w:val="single" w:sz="8" w:color="auto"/>
              <w:right w:val="single" w:sz="8" w:color="auto"/>
            </w:tcBorders>
          </w:tcPr>
          <w:p>
            <w:pPr>
              <w:spacing w:after="0" w:line="223" w:lineRule="exact"/>
              <w:rPr>
                <w:sz w:val="20"/>
                <w:szCs w:val="20"/>
                <w:color w:val="auto"/>
              </w:rPr>
            </w:pPr>
            <w:r>
              <w:rPr>
                <w:rFonts w:ascii="Arial" w:cs="Arial" w:eastAsia="Arial" w:hAnsi="Arial"/>
                <w:sz w:val="20"/>
                <w:szCs w:val="20"/>
                <w:color w:val="auto"/>
              </w:rPr>
              <w:t>[†]</w:t>
            </w:r>
          </w:p>
        </w:tc>
        <w:tc>
          <w:tcPr>
            <w:tcW w:w="760" w:type="dxa"/>
            <w:vAlign w:val="bottom"/>
            <w:tcBorders>
              <w:bottom w:val="single" w:sz="8" w:color="auto"/>
              <w:right w:val="single" w:sz="8" w:color="auto"/>
            </w:tcBorders>
          </w:tcPr>
          <w:p>
            <w:pPr>
              <w:spacing w:after="0" w:line="223" w:lineRule="exact"/>
              <w:rPr>
                <w:sz w:val="20"/>
                <w:szCs w:val="20"/>
                <w:color w:val="auto"/>
              </w:rPr>
            </w:pPr>
            <w:r>
              <w:rPr>
                <w:rFonts w:ascii="Arial" w:cs="Arial" w:eastAsia="Arial" w:hAnsi="Arial"/>
                <w:sz w:val="20"/>
                <w:szCs w:val="20"/>
                <w:color w:val="auto"/>
              </w:rPr>
              <w:t>[†]</w:t>
            </w:r>
          </w:p>
        </w:tc>
        <w:tc>
          <w:tcPr>
            <w:tcW w:w="880" w:type="dxa"/>
            <w:vAlign w:val="bottom"/>
            <w:tcBorders>
              <w:bottom w:val="single" w:sz="8" w:color="auto"/>
              <w:right w:val="single" w:sz="8" w:color="auto"/>
            </w:tcBorders>
          </w:tcPr>
          <w:p>
            <w:pPr>
              <w:spacing w:after="0"/>
              <w:rPr>
                <w:sz w:val="19"/>
                <w:szCs w:val="19"/>
                <w:color w:val="auto"/>
              </w:rPr>
            </w:pPr>
          </w:p>
        </w:tc>
        <w:tc>
          <w:tcPr>
            <w:tcW w:w="840" w:type="dxa"/>
            <w:vAlign w:val="bottom"/>
            <w:tcBorders>
              <w:bottom w:val="single" w:sz="8" w:color="auto"/>
              <w:right w:val="single" w:sz="8" w:color="auto"/>
            </w:tcBorders>
          </w:tcPr>
          <w:p>
            <w:pPr>
              <w:spacing w:after="0"/>
              <w:rPr>
                <w:sz w:val="19"/>
                <w:szCs w:val="19"/>
                <w:color w:val="auto"/>
              </w:rPr>
            </w:pPr>
          </w:p>
        </w:tc>
        <w:tc>
          <w:tcPr>
            <w:tcW w:w="1040" w:type="dxa"/>
            <w:vAlign w:val="bottom"/>
            <w:tcBorders>
              <w:bottom w:val="single" w:sz="8" w:color="auto"/>
              <w:right w:val="single" w:sz="8" w:color="auto"/>
            </w:tcBorders>
          </w:tcPr>
          <w:p>
            <w:pPr>
              <w:spacing w:after="0" w:line="223" w:lineRule="exact"/>
              <w:rPr>
                <w:sz w:val="20"/>
                <w:szCs w:val="20"/>
                <w:color w:val="auto"/>
              </w:rPr>
            </w:pPr>
            <w:r>
              <w:rPr>
                <w:rFonts w:ascii="Arial" w:cs="Arial" w:eastAsia="Arial" w:hAnsi="Arial"/>
                <w:sz w:val="20"/>
                <w:szCs w:val="20"/>
                <w:color w:val="auto"/>
              </w:rPr>
              <w:t>[†]</w:t>
            </w:r>
          </w:p>
        </w:tc>
      </w:tr>
      <w:tr>
        <w:trPr>
          <w:trHeight w:val="223"/>
        </w:trPr>
        <w:tc>
          <w:tcPr>
            <w:tcW w:w="780" w:type="dxa"/>
            <w:vAlign w:val="bottom"/>
            <w:tcBorders>
              <w:left w:val="single" w:sz="8" w:color="auto"/>
              <w:bottom w:val="single" w:sz="8" w:color="auto"/>
              <w:right w:val="single" w:sz="8" w:color="auto"/>
            </w:tcBorders>
          </w:tcPr>
          <w:p>
            <w:pPr>
              <w:spacing w:after="0" w:line="223" w:lineRule="exact"/>
              <w:rPr>
                <w:sz w:val="20"/>
                <w:szCs w:val="20"/>
                <w:color w:val="auto"/>
              </w:rPr>
            </w:pPr>
            <w:r>
              <w:rPr>
                <w:rFonts w:ascii="Arial" w:cs="Arial" w:eastAsia="Arial" w:hAnsi="Arial"/>
                <w:sz w:val="20"/>
                <w:szCs w:val="20"/>
                <w:color w:val="auto"/>
              </w:rPr>
              <w:t>[†]</w:t>
            </w:r>
          </w:p>
        </w:tc>
        <w:tc>
          <w:tcPr>
            <w:tcW w:w="960" w:type="dxa"/>
            <w:vAlign w:val="bottom"/>
            <w:tcBorders>
              <w:bottom w:val="single" w:sz="8" w:color="auto"/>
              <w:right w:val="single" w:sz="8" w:color="auto"/>
            </w:tcBorders>
          </w:tcPr>
          <w:p>
            <w:pPr>
              <w:spacing w:after="0" w:line="223" w:lineRule="exact"/>
              <w:rPr>
                <w:sz w:val="20"/>
                <w:szCs w:val="20"/>
                <w:color w:val="auto"/>
              </w:rPr>
            </w:pPr>
            <w:r>
              <w:rPr>
                <w:rFonts w:ascii="Arial" w:cs="Arial" w:eastAsia="Arial" w:hAnsi="Arial"/>
                <w:sz w:val="20"/>
                <w:szCs w:val="20"/>
                <w:color w:val="auto"/>
              </w:rPr>
              <w:t>[†]</w:t>
            </w:r>
          </w:p>
        </w:tc>
        <w:tc>
          <w:tcPr>
            <w:tcW w:w="920" w:type="dxa"/>
            <w:vAlign w:val="bottom"/>
            <w:tcBorders>
              <w:bottom w:val="single" w:sz="8" w:color="auto"/>
              <w:right w:val="single" w:sz="8" w:color="auto"/>
            </w:tcBorders>
          </w:tcPr>
          <w:p>
            <w:pPr>
              <w:spacing w:after="0" w:line="223" w:lineRule="exact"/>
              <w:rPr>
                <w:sz w:val="20"/>
                <w:szCs w:val="20"/>
                <w:color w:val="auto"/>
              </w:rPr>
            </w:pPr>
            <w:r>
              <w:rPr>
                <w:rFonts w:ascii="Arial" w:cs="Arial" w:eastAsia="Arial" w:hAnsi="Arial"/>
                <w:sz w:val="20"/>
                <w:szCs w:val="20"/>
                <w:color w:val="auto"/>
              </w:rPr>
              <w:t>[†]</w:t>
            </w:r>
          </w:p>
        </w:tc>
        <w:tc>
          <w:tcPr>
            <w:tcW w:w="2560" w:type="dxa"/>
            <w:vAlign w:val="bottom"/>
            <w:tcBorders>
              <w:bottom w:val="single" w:sz="8" w:color="auto"/>
              <w:right w:val="single" w:sz="8" w:color="auto"/>
            </w:tcBorders>
          </w:tcPr>
          <w:p>
            <w:pPr>
              <w:spacing w:after="0" w:line="223" w:lineRule="exact"/>
              <w:rPr>
                <w:sz w:val="20"/>
                <w:szCs w:val="20"/>
                <w:color w:val="auto"/>
              </w:rPr>
            </w:pPr>
            <w:r>
              <w:rPr>
                <w:rFonts w:ascii="Arial" w:cs="Arial" w:eastAsia="Arial" w:hAnsi="Arial"/>
                <w:sz w:val="20"/>
                <w:szCs w:val="20"/>
                <w:color w:val="auto"/>
              </w:rPr>
              <w:t>[†]</w:t>
            </w:r>
          </w:p>
        </w:tc>
        <w:tc>
          <w:tcPr>
            <w:tcW w:w="760" w:type="dxa"/>
            <w:vAlign w:val="bottom"/>
            <w:tcBorders>
              <w:bottom w:val="single" w:sz="8" w:color="auto"/>
              <w:right w:val="single" w:sz="8" w:color="auto"/>
            </w:tcBorders>
          </w:tcPr>
          <w:p>
            <w:pPr>
              <w:spacing w:after="0" w:line="223" w:lineRule="exact"/>
              <w:rPr>
                <w:sz w:val="20"/>
                <w:szCs w:val="20"/>
                <w:color w:val="auto"/>
              </w:rPr>
            </w:pPr>
            <w:r>
              <w:rPr>
                <w:rFonts w:ascii="Arial" w:cs="Arial" w:eastAsia="Arial" w:hAnsi="Arial"/>
                <w:sz w:val="20"/>
                <w:szCs w:val="20"/>
                <w:color w:val="auto"/>
              </w:rPr>
              <w:t>[†]</w:t>
            </w:r>
          </w:p>
        </w:tc>
        <w:tc>
          <w:tcPr>
            <w:tcW w:w="1120" w:type="dxa"/>
            <w:vAlign w:val="bottom"/>
            <w:tcBorders>
              <w:bottom w:val="single" w:sz="8" w:color="auto"/>
              <w:right w:val="single" w:sz="8" w:color="auto"/>
            </w:tcBorders>
          </w:tcPr>
          <w:p>
            <w:pPr>
              <w:spacing w:after="0" w:line="223" w:lineRule="exact"/>
              <w:rPr>
                <w:sz w:val="20"/>
                <w:szCs w:val="20"/>
                <w:color w:val="auto"/>
              </w:rPr>
            </w:pPr>
            <w:r>
              <w:rPr>
                <w:rFonts w:ascii="Arial" w:cs="Arial" w:eastAsia="Arial" w:hAnsi="Arial"/>
                <w:sz w:val="20"/>
                <w:szCs w:val="20"/>
                <w:color w:val="auto"/>
              </w:rPr>
              <w:t>[†]</w:t>
            </w:r>
          </w:p>
        </w:tc>
        <w:tc>
          <w:tcPr>
            <w:tcW w:w="760" w:type="dxa"/>
            <w:vAlign w:val="bottom"/>
            <w:tcBorders>
              <w:bottom w:val="single" w:sz="8" w:color="auto"/>
              <w:right w:val="single" w:sz="8" w:color="auto"/>
            </w:tcBorders>
          </w:tcPr>
          <w:p>
            <w:pPr>
              <w:spacing w:after="0"/>
              <w:rPr>
                <w:sz w:val="19"/>
                <w:szCs w:val="19"/>
                <w:color w:val="auto"/>
              </w:rPr>
            </w:pPr>
          </w:p>
        </w:tc>
        <w:tc>
          <w:tcPr>
            <w:tcW w:w="760" w:type="dxa"/>
            <w:vAlign w:val="bottom"/>
            <w:tcBorders>
              <w:bottom w:val="single" w:sz="8" w:color="auto"/>
              <w:right w:val="single" w:sz="8" w:color="auto"/>
            </w:tcBorders>
          </w:tcPr>
          <w:p>
            <w:pPr>
              <w:spacing w:after="0" w:line="223" w:lineRule="exact"/>
              <w:rPr>
                <w:sz w:val="20"/>
                <w:szCs w:val="20"/>
                <w:color w:val="auto"/>
              </w:rPr>
            </w:pPr>
            <w:r>
              <w:rPr>
                <w:rFonts w:ascii="Arial" w:cs="Arial" w:eastAsia="Arial" w:hAnsi="Arial"/>
                <w:sz w:val="20"/>
                <w:szCs w:val="20"/>
                <w:color w:val="auto"/>
              </w:rPr>
              <w:t>[†]</w:t>
            </w:r>
          </w:p>
        </w:tc>
        <w:tc>
          <w:tcPr>
            <w:tcW w:w="880" w:type="dxa"/>
            <w:vAlign w:val="bottom"/>
            <w:tcBorders>
              <w:bottom w:val="single" w:sz="8" w:color="auto"/>
              <w:right w:val="single" w:sz="8" w:color="auto"/>
            </w:tcBorders>
          </w:tcPr>
          <w:p>
            <w:pPr>
              <w:spacing w:after="0" w:line="223" w:lineRule="exact"/>
              <w:rPr>
                <w:sz w:val="20"/>
                <w:szCs w:val="20"/>
                <w:color w:val="auto"/>
              </w:rPr>
            </w:pPr>
            <w:r>
              <w:rPr>
                <w:rFonts w:ascii="Arial" w:cs="Arial" w:eastAsia="Arial" w:hAnsi="Arial"/>
                <w:sz w:val="20"/>
                <w:szCs w:val="20"/>
                <w:color w:val="auto"/>
              </w:rPr>
              <w:t>[†]</w:t>
            </w:r>
          </w:p>
        </w:tc>
        <w:tc>
          <w:tcPr>
            <w:tcW w:w="840" w:type="dxa"/>
            <w:vAlign w:val="bottom"/>
            <w:tcBorders>
              <w:bottom w:val="single" w:sz="8" w:color="auto"/>
              <w:right w:val="single" w:sz="8" w:color="auto"/>
            </w:tcBorders>
          </w:tcPr>
          <w:p>
            <w:pPr>
              <w:spacing w:after="0" w:line="223" w:lineRule="exact"/>
              <w:rPr>
                <w:sz w:val="20"/>
                <w:szCs w:val="20"/>
                <w:color w:val="auto"/>
              </w:rPr>
            </w:pPr>
            <w:r>
              <w:rPr>
                <w:rFonts w:ascii="Arial" w:cs="Arial" w:eastAsia="Arial" w:hAnsi="Arial"/>
                <w:sz w:val="20"/>
                <w:szCs w:val="20"/>
                <w:color w:val="auto"/>
              </w:rPr>
              <w:t>[†]</w:t>
            </w:r>
          </w:p>
        </w:tc>
        <w:tc>
          <w:tcPr>
            <w:tcW w:w="1040" w:type="dxa"/>
            <w:vAlign w:val="bottom"/>
            <w:tcBorders>
              <w:bottom w:val="single" w:sz="8" w:color="auto"/>
              <w:right w:val="single" w:sz="8" w:color="auto"/>
            </w:tcBorders>
          </w:tcPr>
          <w:p>
            <w:pPr>
              <w:spacing w:after="0" w:line="223" w:lineRule="exact"/>
              <w:rPr>
                <w:sz w:val="20"/>
                <w:szCs w:val="20"/>
                <w:color w:val="auto"/>
              </w:rPr>
            </w:pPr>
            <w:r>
              <w:rPr>
                <w:rFonts w:ascii="Arial" w:cs="Arial" w:eastAsia="Arial" w:hAnsi="Arial"/>
                <w:sz w:val="20"/>
                <w:szCs w:val="20"/>
                <w:color w:val="auto"/>
              </w:rPr>
              <w:t>[†]</w:t>
            </w:r>
          </w:p>
        </w:tc>
      </w:tr>
      <w:tr>
        <w:trPr>
          <w:trHeight w:val="223"/>
        </w:trPr>
        <w:tc>
          <w:tcPr>
            <w:tcW w:w="780" w:type="dxa"/>
            <w:vAlign w:val="bottom"/>
            <w:tcBorders>
              <w:left w:val="single" w:sz="8" w:color="auto"/>
              <w:bottom w:val="single" w:sz="8" w:color="auto"/>
              <w:right w:val="single" w:sz="8" w:color="auto"/>
            </w:tcBorders>
          </w:tcPr>
          <w:p>
            <w:pPr>
              <w:spacing w:after="0" w:line="223" w:lineRule="exact"/>
              <w:rPr>
                <w:sz w:val="20"/>
                <w:szCs w:val="20"/>
                <w:color w:val="auto"/>
              </w:rPr>
            </w:pPr>
            <w:r>
              <w:rPr>
                <w:rFonts w:ascii="Arial" w:cs="Arial" w:eastAsia="Arial" w:hAnsi="Arial"/>
                <w:sz w:val="20"/>
                <w:szCs w:val="20"/>
                <w:color w:val="auto"/>
              </w:rPr>
              <w:t>[†]</w:t>
            </w:r>
          </w:p>
        </w:tc>
        <w:tc>
          <w:tcPr>
            <w:tcW w:w="960" w:type="dxa"/>
            <w:vAlign w:val="bottom"/>
            <w:tcBorders>
              <w:bottom w:val="single" w:sz="8" w:color="auto"/>
              <w:right w:val="single" w:sz="8" w:color="auto"/>
            </w:tcBorders>
          </w:tcPr>
          <w:p>
            <w:pPr>
              <w:spacing w:after="0" w:line="223" w:lineRule="exact"/>
              <w:rPr>
                <w:sz w:val="20"/>
                <w:szCs w:val="20"/>
                <w:color w:val="auto"/>
              </w:rPr>
            </w:pPr>
            <w:r>
              <w:rPr>
                <w:rFonts w:ascii="Arial" w:cs="Arial" w:eastAsia="Arial" w:hAnsi="Arial"/>
                <w:sz w:val="20"/>
                <w:szCs w:val="20"/>
                <w:color w:val="auto"/>
              </w:rPr>
              <w:t>[†]</w:t>
            </w:r>
          </w:p>
        </w:tc>
        <w:tc>
          <w:tcPr>
            <w:tcW w:w="920" w:type="dxa"/>
            <w:vAlign w:val="bottom"/>
            <w:tcBorders>
              <w:bottom w:val="single" w:sz="8" w:color="auto"/>
              <w:right w:val="single" w:sz="8" w:color="auto"/>
            </w:tcBorders>
          </w:tcPr>
          <w:p>
            <w:pPr>
              <w:spacing w:after="0" w:line="223" w:lineRule="exact"/>
              <w:rPr>
                <w:sz w:val="20"/>
                <w:szCs w:val="20"/>
                <w:color w:val="auto"/>
              </w:rPr>
            </w:pPr>
            <w:r>
              <w:rPr>
                <w:rFonts w:ascii="Arial" w:cs="Arial" w:eastAsia="Arial" w:hAnsi="Arial"/>
                <w:sz w:val="20"/>
                <w:szCs w:val="20"/>
                <w:color w:val="auto"/>
              </w:rPr>
              <w:t>[†]</w:t>
            </w:r>
          </w:p>
        </w:tc>
        <w:tc>
          <w:tcPr>
            <w:tcW w:w="2560" w:type="dxa"/>
            <w:vAlign w:val="bottom"/>
            <w:tcBorders>
              <w:bottom w:val="single" w:sz="8" w:color="auto"/>
              <w:right w:val="single" w:sz="8" w:color="auto"/>
            </w:tcBorders>
          </w:tcPr>
          <w:p>
            <w:pPr>
              <w:spacing w:after="0" w:line="223" w:lineRule="exact"/>
              <w:rPr>
                <w:sz w:val="20"/>
                <w:szCs w:val="20"/>
                <w:color w:val="auto"/>
              </w:rPr>
            </w:pPr>
            <w:r>
              <w:rPr>
                <w:rFonts w:ascii="Arial" w:cs="Arial" w:eastAsia="Arial" w:hAnsi="Arial"/>
                <w:sz w:val="20"/>
                <w:szCs w:val="20"/>
                <w:color w:val="auto"/>
              </w:rPr>
              <w:t>[†]</w:t>
            </w:r>
          </w:p>
        </w:tc>
        <w:tc>
          <w:tcPr>
            <w:tcW w:w="760" w:type="dxa"/>
            <w:vAlign w:val="bottom"/>
            <w:tcBorders>
              <w:bottom w:val="single" w:sz="8" w:color="auto"/>
              <w:right w:val="single" w:sz="8" w:color="auto"/>
            </w:tcBorders>
          </w:tcPr>
          <w:p>
            <w:pPr>
              <w:spacing w:after="0"/>
              <w:rPr>
                <w:sz w:val="19"/>
                <w:szCs w:val="19"/>
                <w:color w:val="auto"/>
              </w:rPr>
            </w:pPr>
          </w:p>
        </w:tc>
        <w:tc>
          <w:tcPr>
            <w:tcW w:w="1120" w:type="dxa"/>
            <w:vAlign w:val="bottom"/>
            <w:tcBorders>
              <w:bottom w:val="single" w:sz="8" w:color="auto"/>
              <w:right w:val="single" w:sz="8" w:color="auto"/>
            </w:tcBorders>
          </w:tcPr>
          <w:p>
            <w:pPr>
              <w:spacing w:after="0"/>
              <w:rPr>
                <w:sz w:val="19"/>
                <w:szCs w:val="19"/>
                <w:color w:val="auto"/>
              </w:rPr>
            </w:pPr>
          </w:p>
        </w:tc>
        <w:tc>
          <w:tcPr>
            <w:tcW w:w="760" w:type="dxa"/>
            <w:vAlign w:val="bottom"/>
            <w:tcBorders>
              <w:bottom w:val="single" w:sz="8" w:color="auto"/>
              <w:right w:val="single" w:sz="8" w:color="auto"/>
            </w:tcBorders>
          </w:tcPr>
          <w:p>
            <w:pPr>
              <w:spacing w:after="0"/>
              <w:rPr>
                <w:sz w:val="19"/>
                <w:szCs w:val="19"/>
                <w:color w:val="auto"/>
              </w:rPr>
            </w:pPr>
          </w:p>
        </w:tc>
        <w:tc>
          <w:tcPr>
            <w:tcW w:w="760" w:type="dxa"/>
            <w:vAlign w:val="bottom"/>
            <w:tcBorders>
              <w:bottom w:val="single" w:sz="8" w:color="auto"/>
              <w:right w:val="single" w:sz="8" w:color="auto"/>
            </w:tcBorders>
          </w:tcPr>
          <w:p>
            <w:pPr>
              <w:spacing w:after="0"/>
              <w:rPr>
                <w:sz w:val="19"/>
                <w:szCs w:val="19"/>
                <w:color w:val="auto"/>
              </w:rPr>
            </w:pPr>
          </w:p>
        </w:tc>
        <w:tc>
          <w:tcPr>
            <w:tcW w:w="880" w:type="dxa"/>
            <w:vAlign w:val="bottom"/>
            <w:tcBorders>
              <w:bottom w:val="single" w:sz="8" w:color="auto"/>
              <w:right w:val="single" w:sz="8" w:color="auto"/>
            </w:tcBorders>
          </w:tcPr>
          <w:p>
            <w:pPr>
              <w:spacing w:after="0" w:line="223" w:lineRule="exact"/>
              <w:rPr>
                <w:sz w:val="20"/>
                <w:szCs w:val="20"/>
                <w:color w:val="auto"/>
              </w:rPr>
            </w:pPr>
            <w:r>
              <w:rPr>
                <w:rFonts w:ascii="Arial" w:cs="Arial" w:eastAsia="Arial" w:hAnsi="Arial"/>
                <w:sz w:val="20"/>
                <w:szCs w:val="20"/>
                <w:color w:val="auto"/>
              </w:rPr>
              <w:t>[†]</w:t>
            </w:r>
          </w:p>
        </w:tc>
        <w:tc>
          <w:tcPr>
            <w:tcW w:w="840" w:type="dxa"/>
            <w:vAlign w:val="bottom"/>
            <w:tcBorders>
              <w:bottom w:val="single" w:sz="8" w:color="auto"/>
              <w:right w:val="single" w:sz="8" w:color="auto"/>
            </w:tcBorders>
          </w:tcPr>
          <w:p>
            <w:pPr>
              <w:spacing w:after="0" w:line="223" w:lineRule="exact"/>
              <w:rPr>
                <w:sz w:val="20"/>
                <w:szCs w:val="20"/>
                <w:color w:val="auto"/>
              </w:rPr>
            </w:pPr>
            <w:r>
              <w:rPr>
                <w:rFonts w:ascii="Arial" w:cs="Arial" w:eastAsia="Arial" w:hAnsi="Arial"/>
                <w:sz w:val="20"/>
                <w:szCs w:val="20"/>
                <w:color w:val="auto"/>
              </w:rPr>
              <w:t>[†]</w:t>
            </w:r>
          </w:p>
        </w:tc>
        <w:tc>
          <w:tcPr>
            <w:tcW w:w="1040" w:type="dxa"/>
            <w:vAlign w:val="bottom"/>
            <w:tcBorders>
              <w:bottom w:val="single" w:sz="8" w:color="auto"/>
              <w:right w:val="single" w:sz="8" w:color="auto"/>
            </w:tcBorders>
          </w:tcPr>
          <w:p>
            <w:pPr>
              <w:spacing w:after="0" w:line="223" w:lineRule="exact"/>
              <w:rPr>
                <w:sz w:val="20"/>
                <w:szCs w:val="20"/>
                <w:color w:val="auto"/>
              </w:rPr>
            </w:pPr>
            <w:r>
              <w:rPr>
                <w:rFonts w:ascii="Arial" w:cs="Arial" w:eastAsia="Arial" w:hAnsi="Arial"/>
                <w:sz w:val="20"/>
                <w:szCs w:val="20"/>
                <w:color w:val="auto"/>
              </w:rPr>
              <w:t>[†]</w:t>
            </w:r>
          </w:p>
        </w:tc>
      </w:tr>
      <w:tr>
        <w:trPr>
          <w:trHeight w:val="223"/>
        </w:trPr>
        <w:tc>
          <w:tcPr>
            <w:tcW w:w="780" w:type="dxa"/>
            <w:vAlign w:val="bottom"/>
            <w:tcBorders>
              <w:left w:val="single" w:sz="8" w:color="auto"/>
              <w:bottom w:val="single" w:sz="8" w:color="auto"/>
              <w:right w:val="single" w:sz="8" w:color="auto"/>
            </w:tcBorders>
          </w:tcPr>
          <w:p>
            <w:pPr>
              <w:spacing w:after="0" w:line="223" w:lineRule="exact"/>
              <w:rPr>
                <w:sz w:val="20"/>
                <w:szCs w:val="20"/>
                <w:color w:val="auto"/>
              </w:rPr>
            </w:pPr>
            <w:r>
              <w:rPr>
                <w:rFonts w:ascii="Arial" w:cs="Arial" w:eastAsia="Arial" w:hAnsi="Arial"/>
                <w:sz w:val="20"/>
                <w:szCs w:val="20"/>
                <w:color w:val="auto"/>
              </w:rPr>
              <w:t>[†]</w:t>
            </w:r>
          </w:p>
        </w:tc>
        <w:tc>
          <w:tcPr>
            <w:tcW w:w="960" w:type="dxa"/>
            <w:vAlign w:val="bottom"/>
            <w:tcBorders>
              <w:bottom w:val="single" w:sz="8" w:color="auto"/>
              <w:right w:val="single" w:sz="8" w:color="auto"/>
            </w:tcBorders>
          </w:tcPr>
          <w:p>
            <w:pPr>
              <w:spacing w:after="0" w:line="223" w:lineRule="exact"/>
              <w:rPr>
                <w:sz w:val="20"/>
                <w:szCs w:val="20"/>
                <w:color w:val="auto"/>
              </w:rPr>
            </w:pPr>
            <w:r>
              <w:rPr>
                <w:rFonts w:ascii="Arial" w:cs="Arial" w:eastAsia="Arial" w:hAnsi="Arial"/>
                <w:sz w:val="20"/>
                <w:szCs w:val="20"/>
                <w:color w:val="auto"/>
              </w:rPr>
              <w:t>[†]</w:t>
            </w:r>
          </w:p>
        </w:tc>
        <w:tc>
          <w:tcPr>
            <w:tcW w:w="920" w:type="dxa"/>
            <w:vAlign w:val="bottom"/>
            <w:tcBorders>
              <w:bottom w:val="single" w:sz="8" w:color="auto"/>
              <w:right w:val="single" w:sz="8" w:color="auto"/>
            </w:tcBorders>
          </w:tcPr>
          <w:p>
            <w:pPr>
              <w:spacing w:after="0" w:line="223" w:lineRule="exact"/>
              <w:rPr>
                <w:sz w:val="20"/>
                <w:szCs w:val="20"/>
                <w:color w:val="auto"/>
              </w:rPr>
            </w:pPr>
            <w:r>
              <w:rPr>
                <w:rFonts w:ascii="Arial" w:cs="Arial" w:eastAsia="Arial" w:hAnsi="Arial"/>
                <w:sz w:val="20"/>
                <w:szCs w:val="20"/>
                <w:color w:val="auto"/>
              </w:rPr>
              <w:t>[†]</w:t>
            </w:r>
          </w:p>
        </w:tc>
        <w:tc>
          <w:tcPr>
            <w:tcW w:w="2560" w:type="dxa"/>
            <w:vAlign w:val="bottom"/>
            <w:tcBorders>
              <w:bottom w:val="single" w:sz="8" w:color="auto"/>
              <w:right w:val="single" w:sz="8" w:color="auto"/>
            </w:tcBorders>
          </w:tcPr>
          <w:p>
            <w:pPr>
              <w:spacing w:after="0" w:line="223" w:lineRule="exact"/>
              <w:rPr>
                <w:sz w:val="20"/>
                <w:szCs w:val="20"/>
                <w:color w:val="auto"/>
              </w:rPr>
            </w:pPr>
            <w:r>
              <w:rPr>
                <w:rFonts w:ascii="Arial" w:cs="Arial" w:eastAsia="Arial" w:hAnsi="Arial"/>
                <w:sz w:val="20"/>
                <w:szCs w:val="20"/>
                <w:color w:val="auto"/>
              </w:rPr>
              <w:t>[†]</w:t>
            </w:r>
          </w:p>
        </w:tc>
        <w:tc>
          <w:tcPr>
            <w:tcW w:w="760" w:type="dxa"/>
            <w:vAlign w:val="bottom"/>
            <w:tcBorders>
              <w:bottom w:val="single" w:sz="8" w:color="auto"/>
              <w:right w:val="single" w:sz="8" w:color="auto"/>
            </w:tcBorders>
          </w:tcPr>
          <w:p>
            <w:pPr>
              <w:spacing w:after="0"/>
              <w:rPr>
                <w:sz w:val="19"/>
                <w:szCs w:val="19"/>
                <w:color w:val="auto"/>
              </w:rPr>
            </w:pPr>
          </w:p>
        </w:tc>
        <w:tc>
          <w:tcPr>
            <w:tcW w:w="1120" w:type="dxa"/>
            <w:vAlign w:val="bottom"/>
            <w:tcBorders>
              <w:bottom w:val="single" w:sz="8" w:color="auto"/>
              <w:right w:val="single" w:sz="8" w:color="auto"/>
            </w:tcBorders>
          </w:tcPr>
          <w:p>
            <w:pPr>
              <w:spacing w:after="0"/>
              <w:rPr>
                <w:sz w:val="19"/>
                <w:szCs w:val="19"/>
                <w:color w:val="auto"/>
              </w:rPr>
            </w:pPr>
          </w:p>
        </w:tc>
        <w:tc>
          <w:tcPr>
            <w:tcW w:w="760" w:type="dxa"/>
            <w:vAlign w:val="bottom"/>
            <w:tcBorders>
              <w:bottom w:val="single" w:sz="8" w:color="auto"/>
              <w:right w:val="single" w:sz="8" w:color="auto"/>
            </w:tcBorders>
          </w:tcPr>
          <w:p>
            <w:pPr>
              <w:spacing w:after="0"/>
              <w:rPr>
                <w:sz w:val="19"/>
                <w:szCs w:val="19"/>
                <w:color w:val="auto"/>
              </w:rPr>
            </w:pPr>
          </w:p>
        </w:tc>
        <w:tc>
          <w:tcPr>
            <w:tcW w:w="760" w:type="dxa"/>
            <w:vAlign w:val="bottom"/>
            <w:tcBorders>
              <w:bottom w:val="single" w:sz="8" w:color="auto"/>
              <w:right w:val="single" w:sz="8" w:color="auto"/>
            </w:tcBorders>
          </w:tcPr>
          <w:p>
            <w:pPr>
              <w:spacing w:after="0"/>
              <w:rPr>
                <w:sz w:val="19"/>
                <w:szCs w:val="19"/>
                <w:color w:val="auto"/>
              </w:rPr>
            </w:pPr>
          </w:p>
        </w:tc>
        <w:tc>
          <w:tcPr>
            <w:tcW w:w="880" w:type="dxa"/>
            <w:vAlign w:val="bottom"/>
            <w:tcBorders>
              <w:bottom w:val="single" w:sz="8" w:color="auto"/>
              <w:right w:val="single" w:sz="8" w:color="auto"/>
            </w:tcBorders>
          </w:tcPr>
          <w:p>
            <w:pPr>
              <w:spacing w:after="0" w:line="223" w:lineRule="exact"/>
              <w:rPr>
                <w:sz w:val="20"/>
                <w:szCs w:val="20"/>
                <w:color w:val="auto"/>
              </w:rPr>
            </w:pPr>
            <w:r>
              <w:rPr>
                <w:rFonts w:ascii="Arial" w:cs="Arial" w:eastAsia="Arial" w:hAnsi="Arial"/>
                <w:sz w:val="20"/>
                <w:szCs w:val="20"/>
                <w:color w:val="auto"/>
              </w:rPr>
              <w:t>[†]</w:t>
            </w:r>
          </w:p>
        </w:tc>
        <w:tc>
          <w:tcPr>
            <w:tcW w:w="840" w:type="dxa"/>
            <w:vAlign w:val="bottom"/>
            <w:tcBorders>
              <w:bottom w:val="single" w:sz="8" w:color="auto"/>
              <w:right w:val="single" w:sz="8" w:color="auto"/>
            </w:tcBorders>
          </w:tcPr>
          <w:p>
            <w:pPr>
              <w:spacing w:after="0" w:line="223" w:lineRule="exact"/>
              <w:rPr>
                <w:sz w:val="20"/>
                <w:szCs w:val="20"/>
                <w:color w:val="auto"/>
              </w:rPr>
            </w:pPr>
            <w:r>
              <w:rPr>
                <w:rFonts w:ascii="Arial" w:cs="Arial" w:eastAsia="Arial" w:hAnsi="Arial"/>
                <w:sz w:val="20"/>
                <w:szCs w:val="20"/>
                <w:color w:val="auto"/>
              </w:rPr>
              <w:t>[†]</w:t>
            </w:r>
          </w:p>
        </w:tc>
        <w:tc>
          <w:tcPr>
            <w:tcW w:w="1040" w:type="dxa"/>
            <w:vAlign w:val="bottom"/>
            <w:tcBorders>
              <w:bottom w:val="single" w:sz="8" w:color="auto"/>
              <w:right w:val="single" w:sz="8" w:color="auto"/>
            </w:tcBorders>
          </w:tcPr>
          <w:p>
            <w:pPr>
              <w:spacing w:after="0" w:line="223" w:lineRule="exact"/>
              <w:rPr>
                <w:sz w:val="20"/>
                <w:szCs w:val="20"/>
                <w:color w:val="auto"/>
              </w:rPr>
            </w:pPr>
            <w:r>
              <w:rPr>
                <w:rFonts w:ascii="Arial" w:cs="Arial" w:eastAsia="Arial" w:hAnsi="Arial"/>
                <w:sz w:val="20"/>
                <w:szCs w:val="20"/>
                <w:color w:val="auto"/>
              </w:rPr>
              <w:t>[†]</w:t>
            </w:r>
          </w:p>
        </w:tc>
      </w:tr>
      <w:tr>
        <w:trPr>
          <w:trHeight w:val="223"/>
        </w:trPr>
        <w:tc>
          <w:tcPr>
            <w:tcW w:w="780" w:type="dxa"/>
            <w:vAlign w:val="bottom"/>
            <w:tcBorders>
              <w:left w:val="single" w:sz="8" w:color="auto"/>
              <w:bottom w:val="single" w:sz="8" w:color="auto"/>
              <w:right w:val="single" w:sz="8" w:color="auto"/>
            </w:tcBorders>
          </w:tcPr>
          <w:p>
            <w:pPr>
              <w:spacing w:after="0" w:line="223" w:lineRule="exact"/>
              <w:rPr>
                <w:sz w:val="20"/>
                <w:szCs w:val="20"/>
                <w:color w:val="auto"/>
              </w:rPr>
            </w:pPr>
            <w:r>
              <w:rPr>
                <w:rFonts w:ascii="Arial" w:cs="Arial" w:eastAsia="Arial" w:hAnsi="Arial"/>
                <w:sz w:val="20"/>
                <w:szCs w:val="20"/>
                <w:color w:val="auto"/>
              </w:rPr>
              <w:t>[†]</w:t>
            </w:r>
          </w:p>
        </w:tc>
        <w:tc>
          <w:tcPr>
            <w:tcW w:w="960" w:type="dxa"/>
            <w:vAlign w:val="bottom"/>
            <w:tcBorders>
              <w:bottom w:val="single" w:sz="8" w:color="auto"/>
              <w:right w:val="single" w:sz="8" w:color="auto"/>
            </w:tcBorders>
          </w:tcPr>
          <w:p>
            <w:pPr>
              <w:spacing w:after="0" w:line="223" w:lineRule="exact"/>
              <w:rPr>
                <w:sz w:val="20"/>
                <w:szCs w:val="20"/>
                <w:color w:val="auto"/>
              </w:rPr>
            </w:pPr>
            <w:r>
              <w:rPr>
                <w:rFonts w:ascii="Arial" w:cs="Arial" w:eastAsia="Arial" w:hAnsi="Arial"/>
                <w:sz w:val="20"/>
                <w:szCs w:val="20"/>
                <w:color w:val="auto"/>
              </w:rPr>
              <w:t>[†]</w:t>
            </w:r>
          </w:p>
        </w:tc>
        <w:tc>
          <w:tcPr>
            <w:tcW w:w="920" w:type="dxa"/>
            <w:vAlign w:val="bottom"/>
            <w:tcBorders>
              <w:bottom w:val="single" w:sz="8" w:color="auto"/>
              <w:right w:val="single" w:sz="8" w:color="auto"/>
            </w:tcBorders>
          </w:tcPr>
          <w:p>
            <w:pPr>
              <w:spacing w:after="0" w:line="223" w:lineRule="exact"/>
              <w:rPr>
                <w:sz w:val="20"/>
                <w:szCs w:val="20"/>
                <w:color w:val="auto"/>
              </w:rPr>
            </w:pPr>
            <w:r>
              <w:rPr>
                <w:rFonts w:ascii="Arial" w:cs="Arial" w:eastAsia="Arial" w:hAnsi="Arial"/>
                <w:sz w:val="20"/>
                <w:szCs w:val="20"/>
                <w:color w:val="auto"/>
              </w:rPr>
              <w:t>[†]</w:t>
            </w:r>
          </w:p>
        </w:tc>
        <w:tc>
          <w:tcPr>
            <w:tcW w:w="2560" w:type="dxa"/>
            <w:vAlign w:val="bottom"/>
            <w:tcBorders>
              <w:bottom w:val="single" w:sz="8" w:color="auto"/>
              <w:right w:val="single" w:sz="8" w:color="auto"/>
            </w:tcBorders>
          </w:tcPr>
          <w:p>
            <w:pPr>
              <w:spacing w:after="0" w:line="223" w:lineRule="exact"/>
              <w:rPr>
                <w:sz w:val="20"/>
                <w:szCs w:val="20"/>
                <w:color w:val="auto"/>
              </w:rPr>
            </w:pPr>
            <w:r>
              <w:rPr>
                <w:rFonts w:ascii="Arial" w:cs="Arial" w:eastAsia="Arial" w:hAnsi="Arial"/>
                <w:sz w:val="20"/>
                <w:szCs w:val="20"/>
                <w:color w:val="auto"/>
              </w:rPr>
              <w:t>[†]</w:t>
            </w:r>
          </w:p>
        </w:tc>
        <w:tc>
          <w:tcPr>
            <w:tcW w:w="760" w:type="dxa"/>
            <w:vAlign w:val="bottom"/>
            <w:tcBorders>
              <w:bottom w:val="single" w:sz="8" w:color="auto"/>
              <w:right w:val="single" w:sz="8" w:color="auto"/>
            </w:tcBorders>
          </w:tcPr>
          <w:p>
            <w:pPr>
              <w:spacing w:after="0"/>
              <w:rPr>
                <w:sz w:val="19"/>
                <w:szCs w:val="19"/>
                <w:color w:val="auto"/>
              </w:rPr>
            </w:pPr>
          </w:p>
        </w:tc>
        <w:tc>
          <w:tcPr>
            <w:tcW w:w="1120" w:type="dxa"/>
            <w:vAlign w:val="bottom"/>
            <w:tcBorders>
              <w:bottom w:val="single" w:sz="8" w:color="auto"/>
              <w:right w:val="single" w:sz="8" w:color="auto"/>
            </w:tcBorders>
          </w:tcPr>
          <w:p>
            <w:pPr>
              <w:spacing w:after="0"/>
              <w:rPr>
                <w:sz w:val="19"/>
                <w:szCs w:val="19"/>
                <w:color w:val="auto"/>
              </w:rPr>
            </w:pPr>
          </w:p>
        </w:tc>
        <w:tc>
          <w:tcPr>
            <w:tcW w:w="760" w:type="dxa"/>
            <w:vAlign w:val="bottom"/>
            <w:tcBorders>
              <w:bottom w:val="single" w:sz="8" w:color="auto"/>
              <w:right w:val="single" w:sz="8" w:color="auto"/>
            </w:tcBorders>
          </w:tcPr>
          <w:p>
            <w:pPr>
              <w:spacing w:after="0"/>
              <w:rPr>
                <w:sz w:val="19"/>
                <w:szCs w:val="19"/>
                <w:color w:val="auto"/>
              </w:rPr>
            </w:pPr>
          </w:p>
        </w:tc>
        <w:tc>
          <w:tcPr>
            <w:tcW w:w="760" w:type="dxa"/>
            <w:vAlign w:val="bottom"/>
            <w:tcBorders>
              <w:bottom w:val="single" w:sz="8" w:color="auto"/>
              <w:right w:val="single" w:sz="8" w:color="auto"/>
            </w:tcBorders>
          </w:tcPr>
          <w:p>
            <w:pPr>
              <w:spacing w:after="0"/>
              <w:rPr>
                <w:sz w:val="19"/>
                <w:szCs w:val="19"/>
                <w:color w:val="auto"/>
              </w:rPr>
            </w:pPr>
          </w:p>
        </w:tc>
        <w:tc>
          <w:tcPr>
            <w:tcW w:w="880" w:type="dxa"/>
            <w:vAlign w:val="bottom"/>
            <w:tcBorders>
              <w:bottom w:val="single" w:sz="8" w:color="auto"/>
              <w:right w:val="single" w:sz="8" w:color="auto"/>
            </w:tcBorders>
          </w:tcPr>
          <w:p>
            <w:pPr>
              <w:spacing w:after="0" w:line="223" w:lineRule="exact"/>
              <w:rPr>
                <w:sz w:val="20"/>
                <w:szCs w:val="20"/>
                <w:color w:val="auto"/>
              </w:rPr>
            </w:pPr>
            <w:r>
              <w:rPr>
                <w:rFonts w:ascii="Arial" w:cs="Arial" w:eastAsia="Arial" w:hAnsi="Arial"/>
                <w:sz w:val="20"/>
                <w:szCs w:val="20"/>
                <w:color w:val="auto"/>
              </w:rPr>
              <w:t>[†]</w:t>
            </w:r>
          </w:p>
        </w:tc>
        <w:tc>
          <w:tcPr>
            <w:tcW w:w="840" w:type="dxa"/>
            <w:vAlign w:val="bottom"/>
            <w:tcBorders>
              <w:bottom w:val="single" w:sz="8" w:color="auto"/>
              <w:right w:val="single" w:sz="8" w:color="auto"/>
            </w:tcBorders>
          </w:tcPr>
          <w:p>
            <w:pPr>
              <w:spacing w:after="0" w:line="223" w:lineRule="exact"/>
              <w:rPr>
                <w:sz w:val="20"/>
                <w:szCs w:val="20"/>
                <w:color w:val="auto"/>
              </w:rPr>
            </w:pPr>
            <w:r>
              <w:rPr>
                <w:rFonts w:ascii="Arial" w:cs="Arial" w:eastAsia="Arial" w:hAnsi="Arial"/>
                <w:sz w:val="20"/>
                <w:szCs w:val="20"/>
                <w:color w:val="auto"/>
              </w:rPr>
              <w:t>[†]</w:t>
            </w:r>
          </w:p>
        </w:tc>
        <w:tc>
          <w:tcPr>
            <w:tcW w:w="1040" w:type="dxa"/>
            <w:vAlign w:val="bottom"/>
            <w:tcBorders>
              <w:bottom w:val="single" w:sz="8" w:color="auto"/>
              <w:right w:val="single" w:sz="8" w:color="auto"/>
            </w:tcBorders>
          </w:tcPr>
          <w:p>
            <w:pPr>
              <w:spacing w:after="0" w:line="223" w:lineRule="exact"/>
              <w:rPr>
                <w:sz w:val="20"/>
                <w:szCs w:val="20"/>
                <w:color w:val="auto"/>
              </w:rPr>
            </w:pPr>
            <w:r>
              <w:rPr>
                <w:rFonts w:ascii="Arial" w:cs="Arial" w:eastAsia="Arial" w:hAnsi="Arial"/>
                <w:sz w:val="20"/>
                <w:szCs w:val="20"/>
                <w:color w:val="auto"/>
              </w:rPr>
              <w:t>[†]</w:t>
            </w:r>
          </w:p>
        </w:tc>
      </w:tr>
      <w:tr>
        <w:trPr>
          <w:trHeight w:val="223"/>
        </w:trPr>
        <w:tc>
          <w:tcPr>
            <w:tcW w:w="780" w:type="dxa"/>
            <w:vAlign w:val="bottom"/>
            <w:tcBorders>
              <w:left w:val="single" w:sz="8" w:color="auto"/>
              <w:bottom w:val="single" w:sz="8" w:color="auto"/>
              <w:right w:val="single" w:sz="8" w:color="auto"/>
            </w:tcBorders>
          </w:tcPr>
          <w:p>
            <w:pPr>
              <w:spacing w:after="0" w:line="223" w:lineRule="exact"/>
              <w:rPr>
                <w:sz w:val="20"/>
                <w:szCs w:val="20"/>
                <w:color w:val="auto"/>
              </w:rPr>
            </w:pPr>
            <w:r>
              <w:rPr>
                <w:rFonts w:ascii="Arial" w:cs="Arial" w:eastAsia="Arial" w:hAnsi="Arial"/>
                <w:sz w:val="20"/>
                <w:szCs w:val="20"/>
                <w:color w:val="auto"/>
              </w:rPr>
              <w:t>[†]</w:t>
            </w:r>
          </w:p>
        </w:tc>
        <w:tc>
          <w:tcPr>
            <w:tcW w:w="960" w:type="dxa"/>
            <w:vAlign w:val="bottom"/>
            <w:tcBorders>
              <w:bottom w:val="single" w:sz="8" w:color="auto"/>
              <w:right w:val="single" w:sz="8" w:color="auto"/>
            </w:tcBorders>
          </w:tcPr>
          <w:p>
            <w:pPr>
              <w:spacing w:after="0" w:line="223" w:lineRule="exact"/>
              <w:rPr>
                <w:sz w:val="20"/>
                <w:szCs w:val="20"/>
                <w:color w:val="auto"/>
              </w:rPr>
            </w:pPr>
            <w:r>
              <w:rPr>
                <w:rFonts w:ascii="Arial" w:cs="Arial" w:eastAsia="Arial" w:hAnsi="Arial"/>
                <w:sz w:val="20"/>
                <w:szCs w:val="20"/>
                <w:color w:val="auto"/>
              </w:rPr>
              <w:t>[†]</w:t>
            </w:r>
          </w:p>
        </w:tc>
        <w:tc>
          <w:tcPr>
            <w:tcW w:w="920" w:type="dxa"/>
            <w:vAlign w:val="bottom"/>
            <w:tcBorders>
              <w:bottom w:val="single" w:sz="8" w:color="auto"/>
              <w:right w:val="single" w:sz="8" w:color="auto"/>
            </w:tcBorders>
          </w:tcPr>
          <w:p>
            <w:pPr>
              <w:spacing w:after="0" w:line="223" w:lineRule="exact"/>
              <w:rPr>
                <w:sz w:val="20"/>
                <w:szCs w:val="20"/>
                <w:color w:val="auto"/>
              </w:rPr>
            </w:pPr>
            <w:r>
              <w:rPr>
                <w:rFonts w:ascii="Arial" w:cs="Arial" w:eastAsia="Arial" w:hAnsi="Arial"/>
                <w:sz w:val="20"/>
                <w:szCs w:val="20"/>
                <w:color w:val="auto"/>
              </w:rPr>
              <w:t>[†]</w:t>
            </w:r>
          </w:p>
        </w:tc>
        <w:tc>
          <w:tcPr>
            <w:tcW w:w="2560" w:type="dxa"/>
            <w:vAlign w:val="bottom"/>
            <w:tcBorders>
              <w:bottom w:val="single" w:sz="8" w:color="auto"/>
              <w:right w:val="single" w:sz="8" w:color="auto"/>
            </w:tcBorders>
          </w:tcPr>
          <w:p>
            <w:pPr>
              <w:spacing w:after="0" w:line="223" w:lineRule="exact"/>
              <w:rPr>
                <w:sz w:val="20"/>
                <w:szCs w:val="20"/>
                <w:color w:val="auto"/>
              </w:rPr>
            </w:pPr>
            <w:r>
              <w:rPr>
                <w:rFonts w:ascii="Arial" w:cs="Arial" w:eastAsia="Arial" w:hAnsi="Arial"/>
                <w:sz w:val="20"/>
                <w:szCs w:val="20"/>
                <w:color w:val="auto"/>
              </w:rPr>
              <w:t>[†]</w:t>
            </w:r>
          </w:p>
        </w:tc>
        <w:tc>
          <w:tcPr>
            <w:tcW w:w="760" w:type="dxa"/>
            <w:vAlign w:val="bottom"/>
            <w:tcBorders>
              <w:bottom w:val="single" w:sz="8" w:color="auto"/>
              <w:right w:val="single" w:sz="8" w:color="auto"/>
            </w:tcBorders>
          </w:tcPr>
          <w:p>
            <w:pPr>
              <w:spacing w:after="0"/>
              <w:rPr>
                <w:sz w:val="19"/>
                <w:szCs w:val="19"/>
                <w:color w:val="auto"/>
              </w:rPr>
            </w:pPr>
          </w:p>
        </w:tc>
        <w:tc>
          <w:tcPr>
            <w:tcW w:w="1120" w:type="dxa"/>
            <w:vAlign w:val="bottom"/>
            <w:tcBorders>
              <w:bottom w:val="single" w:sz="8" w:color="auto"/>
              <w:right w:val="single" w:sz="8" w:color="auto"/>
            </w:tcBorders>
          </w:tcPr>
          <w:p>
            <w:pPr>
              <w:spacing w:after="0"/>
              <w:rPr>
                <w:sz w:val="19"/>
                <w:szCs w:val="19"/>
                <w:color w:val="auto"/>
              </w:rPr>
            </w:pPr>
          </w:p>
        </w:tc>
        <w:tc>
          <w:tcPr>
            <w:tcW w:w="760" w:type="dxa"/>
            <w:vAlign w:val="bottom"/>
            <w:tcBorders>
              <w:bottom w:val="single" w:sz="8" w:color="auto"/>
              <w:right w:val="single" w:sz="8" w:color="auto"/>
            </w:tcBorders>
          </w:tcPr>
          <w:p>
            <w:pPr>
              <w:spacing w:after="0"/>
              <w:rPr>
                <w:sz w:val="19"/>
                <w:szCs w:val="19"/>
                <w:color w:val="auto"/>
              </w:rPr>
            </w:pPr>
          </w:p>
        </w:tc>
        <w:tc>
          <w:tcPr>
            <w:tcW w:w="760" w:type="dxa"/>
            <w:vAlign w:val="bottom"/>
            <w:tcBorders>
              <w:bottom w:val="single" w:sz="8" w:color="auto"/>
              <w:right w:val="single" w:sz="8" w:color="auto"/>
            </w:tcBorders>
          </w:tcPr>
          <w:p>
            <w:pPr>
              <w:spacing w:after="0"/>
              <w:rPr>
                <w:sz w:val="19"/>
                <w:szCs w:val="19"/>
                <w:color w:val="auto"/>
              </w:rPr>
            </w:pPr>
          </w:p>
        </w:tc>
        <w:tc>
          <w:tcPr>
            <w:tcW w:w="880" w:type="dxa"/>
            <w:vAlign w:val="bottom"/>
            <w:tcBorders>
              <w:bottom w:val="single" w:sz="8" w:color="auto"/>
              <w:right w:val="single" w:sz="8" w:color="auto"/>
            </w:tcBorders>
          </w:tcPr>
          <w:p>
            <w:pPr>
              <w:spacing w:after="0" w:line="223" w:lineRule="exact"/>
              <w:rPr>
                <w:sz w:val="20"/>
                <w:szCs w:val="20"/>
                <w:color w:val="auto"/>
              </w:rPr>
            </w:pPr>
            <w:r>
              <w:rPr>
                <w:rFonts w:ascii="Arial" w:cs="Arial" w:eastAsia="Arial" w:hAnsi="Arial"/>
                <w:sz w:val="20"/>
                <w:szCs w:val="20"/>
                <w:color w:val="auto"/>
              </w:rPr>
              <w:t>[†]</w:t>
            </w:r>
          </w:p>
        </w:tc>
        <w:tc>
          <w:tcPr>
            <w:tcW w:w="840" w:type="dxa"/>
            <w:vAlign w:val="bottom"/>
            <w:tcBorders>
              <w:bottom w:val="single" w:sz="8" w:color="auto"/>
              <w:right w:val="single" w:sz="8" w:color="auto"/>
            </w:tcBorders>
          </w:tcPr>
          <w:p>
            <w:pPr>
              <w:spacing w:after="0" w:line="223" w:lineRule="exact"/>
              <w:rPr>
                <w:sz w:val="20"/>
                <w:szCs w:val="20"/>
                <w:color w:val="auto"/>
              </w:rPr>
            </w:pPr>
            <w:r>
              <w:rPr>
                <w:rFonts w:ascii="Arial" w:cs="Arial" w:eastAsia="Arial" w:hAnsi="Arial"/>
                <w:sz w:val="20"/>
                <w:szCs w:val="20"/>
                <w:color w:val="auto"/>
              </w:rPr>
              <w:t>[†]</w:t>
            </w:r>
          </w:p>
        </w:tc>
        <w:tc>
          <w:tcPr>
            <w:tcW w:w="1040" w:type="dxa"/>
            <w:vAlign w:val="bottom"/>
            <w:tcBorders>
              <w:bottom w:val="single" w:sz="8" w:color="auto"/>
              <w:right w:val="single" w:sz="8" w:color="auto"/>
            </w:tcBorders>
          </w:tcPr>
          <w:p>
            <w:pPr>
              <w:spacing w:after="0" w:line="223" w:lineRule="exact"/>
              <w:rPr>
                <w:sz w:val="20"/>
                <w:szCs w:val="20"/>
                <w:color w:val="auto"/>
              </w:rPr>
            </w:pPr>
            <w:r>
              <w:rPr>
                <w:rFonts w:ascii="Arial" w:cs="Arial" w:eastAsia="Arial" w:hAnsi="Arial"/>
                <w:sz w:val="20"/>
                <w:szCs w:val="20"/>
                <w:color w:val="auto"/>
              </w:rPr>
              <w:t>[†]</w:t>
            </w:r>
          </w:p>
        </w:tc>
      </w:tr>
      <w:tr>
        <w:trPr>
          <w:trHeight w:val="223"/>
        </w:trPr>
        <w:tc>
          <w:tcPr>
            <w:tcW w:w="780" w:type="dxa"/>
            <w:vAlign w:val="bottom"/>
            <w:tcBorders>
              <w:left w:val="single" w:sz="8" w:color="auto"/>
              <w:bottom w:val="single" w:sz="8" w:color="auto"/>
              <w:right w:val="single" w:sz="8" w:color="auto"/>
            </w:tcBorders>
          </w:tcPr>
          <w:p>
            <w:pPr>
              <w:spacing w:after="0" w:line="223" w:lineRule="exact"/>
              <w:rPr>
                <w:sz w:val="20"/>
                <w:szCs w:val="20"/>
                <w:color w:val="auto"/>
              </w:rPr>
            </w:pPr>
            <w:r>
              <w:rPr>
                <w:rFonts w:ascii="Arial" w:cs="Arial" w:eastAsia="Arial" w:hAnsi="Arial"/>
                <w:sz w:val="20"/>
                <w:szCs w:val="20"/>
                <w:color w:val="auto"/>
              </w:rPr>
              <w:t>[†]</w:t>
            </w:r>
          </w:p>
        </w:tc>
        <w:tc>
          <w:tcPr>
            <w:tcW w:w="960" w:type="dxa"/>
            <w:vAlign w:val="bottom"/>
            <w:tcBorders>
              <w:bottom w:val="single" w:sz="8" w:color="auto"/>
              <w:right w:val="single" w:sz="8" w:color="auto"/>
            </w:tcBorders>
          </w:tcPr>
          <w:p>
            <w:pPr>
              <w:spacing w:after="0" w:line="223" w:lineRule="exact"/>
              <w:rPr>
                <w:sz w:val="20"/>
                <w:szCs w:val="20"/>
                <w:color w:val="auto"/>
              </w:rPr>
            </w:pPr>
            <w:r>
              <w:rPr>
                <w:rFonts w:ascii="Arial" w:cs="Arial" w:eastAsia="Arial" w:hAnsi="Arial"/>
                <w:sz w:val="20"/>
                <w:szCs w:val="20"/>
                <w:color w:val="auto"/>
              </w:rPr>
              <w:t>[†]</w:t>
            </w:r>
          </w:p>
        </w:tc>
        <w:tc>
          <w:tcPr>
            <w:tcW w:w="920" w:type="dxa"/>
            <w:vAlign w:val="bottom"/>
            <w:tcBorders>
              <w:bottom w:val="single" w:sz="8" w:color="auto"/>
              <w:right w:val="single" w:sz="8" w:color="auto"/>
            </w:tcBorders>
          </w:tcPr>
          <w:p>
            <w:pPr>
              <w:spacing w:after="0" w:line="223" w:lineRule="exact"/>
              <w:rPr>
                <w:sz w:val="20"/>
                <w:szCs w:val="20"/>
                <w:color w:val="auto"/>
              </w:rPr>
            </w:pPr>
            <w:r>
              <w:rPr>
                <w:rFonts w:ascii="Arial" w:cs="Arial" w:eastAsia="Arial" w:hAnsi="Arial"/>
                <w:sz w:val="20"/>
                <w:szCs w:val="20"/>
                <w:color w:val="auto"/>
              </w:rPr>
              <w:t>[†]</w:t>
            </w:r>
          </w:p>
        </w:tc>
        <w:tc>
          <w:tcPr>
            <w:tcW w:w="2560" w:type="dxa"/>
            <w:vAlign w:val="bottom"/>
            <w:tcBorders>
              <w:bottom w:val="single" w:sz="8" w:color="auto"/>
              <w:right w:val="single" w:sz="8" w:color="auto"/>
            </w:tcBorders>
          </w:tcPr>
          <w:p>
            <w:pPr>
              <w:spacing w:after="0" w:line="223" w:lineRule="exact"/>
              <w:rPr>
                <w:sz w:val="20"/>
                <w:szCs w:val="20"/>
                <w:color w:val="auto"/>
              </w:rPr>
            </w:pPr>
            <w:r>
              <w:rPr>
                <w:rFonts w:ascii="Arial" w:cs="Arial" w:eastAsia="Arial" w:hAnsi="Arial"/>
                <w:sz w:val="20"/>
                <w:szCs w:val="20"/>
                <w:color w:val="auto"/>
              </w:rPr>
              <w:t>[†]</w:t>
            </w:r>
          </w:p>
        </w:tc>
        <w:tc>
          <w:tcPr>
            <w:tcW w:w="760" w:type="dxa"/>
            <w:vAlign w:val="bottom"/>
            <w:tcBorders>
              <w:bottom w:val="single" w:sz="8" w:color="auto"/>
              <w:right w:val="single" w:sz="8" w:color="auto"/>
            </w:tcBorders>
          </w:tcPr>
          <w:p>
            <w:pPr>
              <w:spacing w:after="0" w:line="223" w:lineRule="exact"/>
              <w:rPr>
                <w:sz w:val="20"/>
                <w:szCs w:val="20"/>
                <w:color w:val="auto"/>
              </w:rPr>
            </w:pPr>
            <w:r>
              <w:rPr>
                <w:rFonts w:ascii="Arial" w:cs="Arial" w:eastAsia="Arial" w:hAnsi="Arial"/>
                <w:sz w:val="20"/>
                <w:szCs w:val="20"/>
                <w:color w:val="auto"/>
              </w:rPr>
              <w:t>[†]</w:t>
            </w:r>
          </w:p>
        </w:tc>
        <w:tc>
          <w:tcPr>
            <w:tcW w:w="1120" w:type="dxa"/>
            <w:vAlign w:val="bottom"/>
            <w:tcBorders>
              <w:bottom w:val="single" w:sz="8" w:color="auto"/>
              <w:right w:val="single" w:sz="8" w:color="auto"/>
            </w:tcBorders>
          </w:tcPr>
          <w:p>
            <w:pPr>
              <w:spacing w:after="0" w:line="223" w:lineRule="exact"/>
              <w:rPr>
                <w:sz w:val="20"/>
                <w:szCs w:val="20"/>
                <w:color w:val="auto"/>
              </w:rPr>
            </w:pPr>
            <w:r>
              <w:rPr>
                <w:rFonts w:ascii="Arial" w:cs="Arial" w:eastAsia="Arial" w:hAnsi="Arial"/>
                <w:sz w:val="20"/>
                <w:szCs w:val="20"/>
                <w:color w:val="auto"/>
              </w:rPr>
              <w:t>[†]</w:t>
            </w:r>
          </w:p>
        </w:tc>
        <w:tc>
          <w:tcPr>
            <w:tcW w:w="760" w:type="dxa"/>
            <w:vAlign w:val="bottom"/>
            <w:tcBorders>
              <w:bottom w:val="single" w:sz="8" w:color="auto"/>
              <w:right w:val="single" w:sz="8" w:color="auto"/>
            </w:tcBorders>
          </w:tcPr>
          <w:p>
            <w:pPr>
              <w:spacing w:after="0"/>
              <w:rPr>
                <w:sz w:val="19"/>
                <w:szCs w:val="19"/>
                <w:color w:val="auto"/>
              </w:rPr>
            </w:pPr>
          </w:p>
        </w:tc>
        <w:tc>
          <w:tcPr>
            <w:tcW w:w="760" w:type="dxa"/>
            <w:vAlign w:val="bottom"/>
            <w:tcBorders>
              <w:bottom w:val="single" w:sz="8" w:color="auto"/>
              <w:right w:val="single" w:sz="8" w:color="auto"/>
            </w:tcBorders>
          </w:tcPr>
          <w:p>
            <w:pPr>
              <w:spacing w:after="0"/>
              <w:rPr>
                <w:sz w:val="19"/>
                <w:szCs w:val="19"/>
                <w:color w:val="auto"/>
              </w:rPr>
            </w:pPr>
          </w:p>
        </w:tc>
        <w:tc>
          <w:tcPr>
            <w:tcW w:w="880" w:type="dxa"/>
            <w:vAlign w:val="bottom"/>
            <w:tcBorders>
              <w:bottom w:val="single" w:sz="8" w:color="auto"/>
              <w:right w:val="single" w:sz="8" w:color="auto"/>
            </w:tcBorders>
          </w:tcPr>
          <w:p>
            <w:pPr>
              <w:spacing w:after="0" w:line="223" w:lineRule="exact"/>
              <w:rPr>
                <w:sz w:val="20"/>
                <w:szCs w:val="20"/>
                <w:color w:val="auto"/>
              </w:rPr>
            </w:pPr>
            <w:r>
              <w:rPr>
                <w:rFonts w:ascii="Arial" w:cs="Arial" w:eastAsia="Arial" w:hAnsi="Arial"/>
                <w:sz w:val="20"/>
                <w:szCs w:val="20"/>
                <w:color w:val="auto"/>
              </w:rPr>
              <w:t>[†]</w:t>
            </w:r>
          </w:p>
        </w:tc>
        <w:tc>
          <w:tcPr>
            <w:tcW w:w="840" w:type="dxa"/>
            <w:vAlign w:val="bottom"/>
            <w:tcBorders>
              <w:bottom w:val="single" w:sz="8" w:color="auto"/>
              <w:right w:val="single" w:sz="8" w:color="auto"/>
            </w:tcBorders>
          </w:tcPr>
          <w:p>
            <w:pPr>
              <w:spacing w:after="0" w:line="223" w:lineRule="exact"/>
              <w:rPr>
                <w:sz w:val="20"/>
                <w:szCs w:val="20"/>
                <w:color w:val="auto"/>
              </w:rPr>
            </w:pPr>
            <w:r>
              <w:rPr>
                <w:rFonts w:ascii="Arial" w:cs="Arial" w:eastAsia="Arial" w:hAnsi="Arial"/>
                <w:sz w:val="20"/>
                <w:szCs w:val="20"/>
                <w:color w:val="auto"/>
              </w:rPr>
              <w:t>[†]</w:t>
            </w:r>
          </w:p>
        </w:tc>
        <w:tc>
          <w:tcPr>
            <w:tcW w:w="1040" w:type="dxa"/>
            <w:vAlign w:val="bottom"/>
            <w:tcBorders>
              <w:bottom w:val="single" w:sz="8" w:color="auto"/>
              <w:right w:val="single" w:sz="8" w:color="auto"/>
            </w:tcBorders>
          </w:tcPr>
          <w:p>
            <w:pPr>
              <w:spacing w:after="0" w:line="223" w:lineRule="exact"/>
              <w:rPr>
                <w:sz w:val="20"/>
                <w:szCs w:val="20"/>
                <w:color w:val="auto"/>
              </w:rPr>
            </w:pPr>
            <w:r>
              <w:rPr>
                <w:rFonts w:ascii="Arial" w:cs="Arial" w:eastAsia="Arial" w:hAnsi="Arial"/>
                <w:sz w:val="20"/>
                <w:szCs w:val="20"/>
                <w:color w:val="auto"/>
              </w:rPr>
              <w:t>[†]</w:t>
            </w:r>
          </w:p>
        </w:tc>
      </w:tr>
      <w:tr>
        <w:trPr>
          <w:trHeight w:val="223"/>
        </w:trPr>
        <w:tc>
          <w:tcPr>
            <w:tcW w:w="780" w:type="dxa"/>
            <w:vAlign w:val="bottom"/>
            <w:tcBorders>
              <w:left w:val="single" w:sz="8" w:color="auto"/>
              <w:bottom w:val="single" w:sz="8" w:color="auto"/>
              <w:right w:val="single" w:sz="8" w:color="auto"/>
            </w:tcBorders>
          </w:tcPr>
          <w:p>
            <w:pPr>
              <w:spacing w:after="0" w:line="223" w:lineRule="exact"/>
              <w:rPr>
                <w:sz w:val="20"/>
                <w:szCs w:val="20"/>
                <w:color w:val="auto"/>
              </w:rPr>
            </w:pPr>
            <w:r>
              <w:rPr>
                <w:rFonts w:ascii="Arial" w:cs="Arial" w:eastAsia="Arial" w:hAnsi="Arial"/>
                <w:sz w:val="20"/>
                <w:szCs w:val="20"/>
                <w:color w:val="auto"/>
              </w:rPr>
              <w:t>[†]</w:t>
            </w:r>
          </w:p>
        </w:tc>
        <w:tc>
          <w:tcPr>
            <w:tcW w:w="960" w:type="dxa"/>
            <w:vAlign w:val="bottom"/>
            <w:tcBorders>
              <w:bottom w:val="single" w:sz="8" w:color="auto"/>
              <w:right w:val="single" w:sz="8" w:color="auto"/>
            </w:tcBorders>
          </w:tcPr>
          <w:p>
            <w:pPr>
              <w:spacing w:after="0" w:line="223" w:lineRule="exact"/>
              <w:rPr>
                <w:sz w:val="20"/>
                <w:szCs w:val="20"/>
                <w:color w:val="auto"/>
              </w:rPr>
            </w:pPr>
            <w:r>
              <w:rPr>
                <w:rFonts w:ascii="Arial" w:cs="Arial" w:eastAsia="Arial" w:hAnsi="Arial"/>
                <w:sz w:val="20"/>
                <w:szCs w:val="20"/>
                <w:color w:val="auto"/>
              </w:rPr>
              <w:t>[†]</w:t>
            </w:r>
          </w:p>
        </w:tc>
        <w:tc>
          <w:tcPr>
            <w:tcW w:w="920" w:type="dxa"/>
            <w:vAlign w:val="bottom"/>
            <w:tcBorders>
              <w:bottom w:val="single" w:sz="8" w:color="auto"/>
              <w:right w:val="single" w:sz="8" w:color="auto"/>
            </w:tcBorders>
          </w:tcPr>
          <w:p>
            <w:pPr>
              <w:spacing w:after="0" w:line="223" w:lineRule="exact"/>
              <w:rPr>
                <w:sz w:val="20"/>
                <w:szCs w:val="20"/>
                <w:color w:val="auto"/>
              </w:rPr>
            </w:pPr>
            <w:r>
              <w:rPr>
                <w:rFonts w:ascii="Arial" w:cs="Arial" w:eastAsia="Arial" w:hAnsi="Arial"/>
                <w:sz w:val="20"/>
                <w:szCs w:val="20"/>
                <w:color w:val="auto"/>
              </w:rPr>
              <w:t>[†]</w:t>
            </w:r>
          </w:p>
        </w:tc>
        <w:tc>
          <w:tcPr>
            <w:tcW w:w="2560" w:type="dxa"/>
            <w:vAlign w:val="bottom"/>
            <w:tcBorders>
              <w:bottom w:val="single" w:sz="8" w:color="auto"/>
              <w:right w:val="single" w:sz="8" w:color="auto"/>
            </w:tcBorders>
          </w:tcPr>
          <w:p>
            <w:pPr>
              <w:spacing w:after="0" w:line="223" w:lineRule="exact"/>
              <w:rPr>
                <w:sz w:val="20"/>
                <w:szCs w:val="20"/>
                <w:color w:val="auto"/>
              </w:rPr>
            </w:pPr>
            <w:r>
              <w:rPr>
                <w:rFonts w:ascii="Arial" w:cs="Arial" w:eastAsia="Arial" w:hAnsi="Arial"/>
                <w:sz w:val="20"/>
                <w:szCs w:val="20"/>
                <w:color w:val="auto"/>
              </w:rPr>
              <w:t>[†]</w:t>
            </w:r>
          </w:p>
        </w:tc>
        <w:tc>
          <w:tcPr>
            <w:tcW w:w="760" w:type="dxa"/>
            <w:vAlign w:val="bottom"/>
            <w:tcBorders>
              <w:bottom w:val="single" w:sz="8" w:color="auto"/>
              <w:right w:val="single" w:sz="8" w:color="auto"/>
            </w:tcBorders>
          </w:tcPr>
          <w:p>
            <w:pPr>
              <w:spacing w:after="0"/>
              <w:rPr>
                <w:sz w:val="19"/>
                <w:szCs w:val="19"/>
                <w:color w:val="auto"/>
              </w:rPr>
            </w:pPr>
          </w:p>
        </w:tc>
        <w:tc>
          <w:tcPr>
            <w:tcW w:w="1120" w:type="dxa"/>
            <w:vAlign w:val="bottom"/>
            <w:tcBorders>
              <w:bottom w:val="single" w:sz="8" w:color="auto"/>
              <w:right w:val="single" w:sz="8" w:color="auto"/>
            </w:tcBorders>
          </w:tcPr>
          <w:p>
            <w:pPr>
              <w:spacing w:after="0"/>
              <w:rPr>
                <w:sz w:val="19"/>
                <w:szCs w:val="19"/>
                <w:color w:val="auto"/>
              </w:rPr>
            </w:pPr>
          </w:p>
        </w:tc>
        <w:tc>
          <w:tcPr>
            <w:tcW w:w="760" w:type="dxa"/>
            <w:vAlign w:val="bottom"/>
            <w:tcBorders>
              <w:bottom w:val="single" w:sz="8" w:color="auto"/>
              <w:right w:val="single" w:sz="8" w:color="auto"/>
            </w:tcBorders>
          </w:tcPr>
          <w:p>
            <w:pPr>
              <w:spacing w:after="0"/>
              <w:rPr>
                <w:sz w:val="19"/>
                <w:szCs w:val="19"/>
                <w:color w:val="auto"/>
              </w:rPr>
            </w:pPr>
          </w:p>
        </w:tc>
        <w:tc>
          <w:tcPr>
            <w:tcW w:w="760" w:type="dxa"/>
            <w:vAlign w:val="bottom"/>
            <w:tcBorders>
              <w:bottom w:val="single" w:sz="8" w:color="auto"/>
              <w:right w:val="single" w:sz="8" w:color="auto"/>
            </w:tcBorders>
          </w:tcPr>
          <w:p>
            <w:pPr>
              <w:spacing w:after="0"/>
              <w:rPr>
                <w:sz w:val="19"/>
                <w:szCs w:val="19"/>
                <w:color w:val="auto"/>
              </w:rPr>
            </w:pPr>
          </w:p>
        </w:tc>
        <w:tc>
          <w:tcPr>
            <w:tcW w:w="880" w:type="dxa"/>
            <w:vAlign w:val="bottom"/>
            <w:tcBorders>
              <w:bottom w:val="single" w:sz="8" w:color="auto"/>
              <w:right w:val="single" w:sz="8" w:color="auto"/>
            </w:tcBorders>
          </w:tcPr>
          <w:p>
            <w:pPr>
              <w:spacing w:after="0" w:line="223" w:lineRule="exact"/>
              <w:rPr>
                <w:sz w:val="20"/>
                <w:szCs w:val="20"/>
                <w:color w:val="auto"/>
              </w:rPr>
            </w:pPr>
            <w:r>
              <w:rPr>
                <w:rFonts w:ascii="Arial" w:cs="Arial" w:eastAsia="Arial" w:hAnsi="Arial"/>
                <w:sz w:val="20"/>
                <w:szCs w:val="20"/>
                <w:color w:val="auto"/>
              </w:rPr>
              <w:t>[†]</w:t>
            </w:r>
          </w:p>
        </w:tc>
        <w:tc>
          <w:tcPr>
            <w:tcW w:w="840" w:type="dxa"/>
            <w:vAlign w:val="bottom"/>
            <w:tcBorders>
              <w:bottom w:val="single" w:sz="8" w:color="auto"/>
              <w:right w:val="single" w:sz="8" w:color="auto"/>
            </w:tcBorders>
          </w:tcPr>
          <w:p>
            <w:pPr>
              <w:spacing w:after="0" w:line="223" w:lineRule="exact"/>
              <w:rPr>
                <w:sz w:val="20"/>
                <w:szCs w:val="20"/>
                <w:color w:val="auto"/>
              </w:rPr>
            </w:pPr>
            <w:r>
              <w:rPr>
                <w:rFonts w:ascii="Arial" w:cs="Arial" w:eastAsia="Arial" w:hAnsi="Arial"/>
                <w:sz w:val="20"/>
                <w:szCs w:val="20"/>
                <w:color w:val="auto"/>
              </w:rPr>
              <w:t>[†]</w:t>
            </w:r>
          </w:p>
        </w:tc>
        <w:tc>
          <w:tcPr>
            <w:tcW w:w="1040" w:type="dxa"/>
            <w:vAlign w:val="bottom"/>
            <w:tcBorders>
              <w:bottom w:val="single" w:sz="8" w:color="auto"/>
              <w:right w:val="single" w:sz="8" w:color="auto"/>
            </w:tcBorders>
          </w:tcPr>
          <w:p>
            <w:pPr>
              <w:spacing w:after="0" w:line="223" w:lineRule="exact"/>
              <w:rPr>
                <w:sz w:val="20"/>
                <w:szCs w:val="20"/>
                <w:color w:val="auto"/>
              </w:rPr>
            </w:pPr>
            <w:r>
              <w:rPr>
                <w:rFonts w:ascii="Arial" w:cs="Arial" w:eastAsia="Arial" w:hAnsi="Arial"/>
                <w:sz w:val="20"/>
                <w:szCs w:val="20"/>
                <w:color w:val="auto"/>
              </w:rPr>
              <w:t>[†]</w:t>
            </w:r>
          </w:p>
        </w:tc>
      </w:tr>
      <w:tr>
        <w:trPr>
          <w:trHeight w:val="223"/>
        </w:trPr>
        <w:tc>
          <w:tcPr>
            <w:tcW w:w="780" w:type="dxa"/>
            <w:vAlign w:val="bottom"/>
            <w:tcBorders>
              <w:left w:val="single" w:sz="8" w:color="auto"/>
              <w:bottom w:val="single" w:sz="8" w:color="auto"/>
              <w:right w:val="single" w:sz="8" w:color="auto"/>
            </w:tcBorders>
          </w:tcPr>
          <w:p>
            <w:pPr>
              <w:spacing w:after="0" w:line="223" w:lineRule="exact"/>
              <w:rPr>
                <w:sz w:val="20"/>
                <w:szCs w:val="20"/>
                <w:color w:val="auto"/>
              </w:rPr>
            </w:pPr>
            <w:r>
              <w:rPr>
                <w:rFonts w:ascii="Arial" w:cs="Arial" w:eastAsia="Arial" w:hAnsi="Arial"/>
                <w:sz w:val="20"/>
                <w:szCs w:val="20"/>
                <w:color w:val="auto"/>
              </w:rPr>
              <w:t>[†]</w:t>
            </w:r>
          </w:p>
        </w:tc>
        <w:tc>
          <w:tcPr>
            <w:tcW w:w="960" w:type="dxa"/>
            <w:vAlign w:val="bottom"/>
            <w:tcBorders>
              <w:bottom w:val="single" w:sz="8" w:color="auto"/>
              <w:right w:val="single" w:sz="8" w:color="auto"/>
            </w:tcBorders>
          </w:tcPr>
          <w:p>
            <w:pPr>
              <w:spacing w:after="0" w:line="223" w:lineRule="exact"/>
              <w:rPr>
                <w:sz w:val="20"/>
                <w:szCs w:val="20"/>
                <w:color w:val="auto"/>
              </w:rPr>
            </w:pPr>
            <w:r>
              <w:rPr>
                <w:rFonts w:ascii="Arial" w:cs="Arial" w:eastAsia="Arial" w:hAnsi="Arial"/>
                <w:sz w:val="20"/>
                <w:szCs w:val="20"/>
                <w:color w:val="auto"/>
              </w:rPr>
              <w:t>[†]</w:t>
            </w:r>
          </w:p>
        </w:tc>
        <w:tc>
          <w:tcPr>
            <w:tcW w:w="920" w:type="dxa"/>
            <w:vAlign w:val="bottom"/>
            <w:tcBorders>
              <w:bottom w:val="single" w:sz="8" w:color="auto"/>
              <w:right w:val="single" w:sz="8" w:color="auto"/>
            </w:tcBorders>
          </w:tcPr>
          <w:p>
            <w:pPr>
              <w:spacing w:after="0" w:line="223" w:lineRule="exact"/>
              <w:rPr>
                <w:sz w:val="20"/>
                <w:szCs w:val="20"/>
                <w:color w:val="auto"/>
              </w:rPr>
            </w:pPr>
            <w:r>
              <w:rPr>
                <w:rFonts w:ascii="Arial" w:cs="Arial" w:eastAsia="Arial" w:hAnsi="Arial"/>
                <w:sz w:val="20"/>
                <w:szCs w:val="20"/>
                <w:color w:val="auto"/>
              </w:rPr>
              <w:t>[†]</w:t>
            </w:r>
          </w:p>
        </w:tc>
        <w:tc>
          <w:tcPr>
            <w:tcW w:w="2560" w:type="dxa"/>
            <w:vAlign w:val="bottom"/>
            <w:tcBorders>
              <w:bottom w:val="single" w:sz="8" w:color="auto"/>
              <w:right w:val="single" w:sz="8" w:color="auto"/>
            </w:tcBorders>
          </w:tcPr>
          <w:p>
            <w:pPr>
              <w:spacing w:after="0" w:line="223" w:lineRule="exact"/>
              <w:rPr>
                <w:sz w:val="20"/>
                <w:szCs w:val="20"/>
                <w:color w:val="auto"/>
              </w:rPr>
            </w:pPr>
            <w:r>
              <w:rPr>
                <w:rFonts w:ascii="Arial" w:cs="Arial" w:eastAsia="Arial" w:hAnsi="Arial"/>
                <w:sz w:val="20"/>
                <w:szCs w:val="20"/>
                <w:color w:val="auto"/>
              </w:rPr>
              <w:t>[†]</w:t>
            </w:r>
          </w:p>
        </w:tc>
        <w:tc>
          <w:tcPr>
            <w:tcW w:w="760" w:type="dxa"/>
            <w:vAlign w:val="bottom"/>
            <w:tcBorders>
              <w:bottom w:val="single" w:sz="8" w:color="auto"/>
              <w:right w:val="single" w:sz="8" w:color="auto"/>
            </w:tcBorders>
          </w:tcPr>
          <w:p>
            <w:pPr>
              <w:spacing w:after="0" w:line="223" w:lineRule="exact"/>
              <w:rPr>
                <w:sz w:val="20"/>
                <w:szCs w:val="20"/>
                <w:color w:val="auto"/>
              </w:rPr>
            </w:pPr>
            <w:r>
              <w:rPr>
                <w:rFonts w:ascii="Arial" w:cs="Arial" w:eastAsia="Arial" w:hAnsi="Arial"/>
                <w:sz w:val="20"/>
                <w:szCs w:val="20"/>
                <w:color w:val="auto"/>
              </w:rPr>
              <w:t>[†]</w:t>
            </w:r>
          </w:p>
        </w:tc>
        <w:tc>
          <w:tcPr>
            <w:tcW w:w="1120" w:type="dxa"/>
            <w:vAlign w:val="bottom"/>
            <w:tcBorders>
              <w:bottom w:val="single" w:sz="8" w:color="auto"/>
              <w:right w:val="single" w:sz="8" w:color="auto"/>
            </w:tcBorders>
          </w:tcPr>
          <w:p>
            <w:pPr>
              <w:spacing w:after="0" w:line="223" w:lineRule="exact"/>
              <w:rPr>
                <w:sz w:val="20"/>
                <w:szCs w:val="20"/>
                <w:color w:val="auto"/>
              </w:rPr>
            </w:pPr>
            <w:r>
              <w:rPr>
                <w:rFonts w:ascii="Arial" w:cs="Arial" w:eastAsia="Arial" w:hAnsi="Arial"/>
                <w:sz w:val="20"/>
                <w:szCs w:val="20"/>
                <w:color w:val="auto"/>
              </w:rPr>
              <w:t>[†]</w:t>
            </w:r>
          </w:p>
        </w:tc>
        <w:tc>
          <w:tcPr>
            <w:tcW w:w="760" w:type="dxa"/>
            <w:vAlign w:val="bottom"/>
            <w:tcBorders>
              <w:bottom w:val="single" w:sz="8" w:color="auto"/>
              <w:right w:val="single" w:sz="8" w:color="auto"/>
            </w:tcBorders>
          </w:tcPr>
          <w:p>
            <w:pPr>
              <w:spacing w:after="0"/>
              <w:rPr>
                <w:sz w:val="19"/>
                <w:szCs w:val="19"/>
                <w:color w:val="auto"/>
              </w:rPr>
            </w:pPr>
          </w:p>
        </w:tc>
        <w:tc>
          <w:tcPr>
            <w:tcW w:w="760" w:type="dxa"/>
            <w:vAlign w:val="bottom"/>
            <w:tcBorders>
              <w:bottom w:val="single" w:sz="8" w:color="auto"/>
              <w:right w:val="single" w:sz="8" w:color="auto"/>
            </w:tcBorders>
          </w:tcPr>
          <w:p>
            <w:pPr>
              <w:spacing w:after="0"/>
              <w:rPr>
                <w:sz w:val="19"/>
                <w:szCs w:val="19"/>
                <w:color w:val="auto"/>
              </w:rPr>
            </w:pPr>
          </w:p>
        </w:tc>
        <w:tc>
          <w:tcPr>
            <w:tcW w:w="880" w:type="dxa"/>
            <w:vAlign w:val="bottom"/>
            <w:tcBorders>
              <w:bottom w:val="single" w:sz="8" w:color="auto"/>
              <w:right w:val="single" w:sz="8" w:color="auto"/>
            </w:tcBorders>
          </w:tcPr>
          <w:p>
            <w:pPr>
              <w:spacing w:after="0" w:line="223" w:lineRule="exact"/>
              <w:rPr>
                <w:sz w:val="20"/>
                <w:szCs w:val="20"/>
                <w:color w:val="auto"/>
              </w:rPr>
            </w:pPr>
            <w:r>
              <w:rPr>
                <w:rFonts w:ascii="Arial" w:cs="Arial" w:eastAsia="Arial" w:hAnsi="Arial"/>
                <w:sz w:val="20"/>
                <w:szCs w:val="20"/>
                <w:color w:val="auto"/>
              </w:rPr>
              <w:t>[†]</w:t>
            </w:r>
          </w:p>
        </w:tc>
        <w:tc>
          <w:tcPr>
            <w:tcW w:w="840" w:type="dxa"/>
            <w:vAlign w:val="bottom"/>
            <w:tcBorders>
              <w:bottom w:val="single" w:sz="8" w:color="auto"/>
              <w:right w:val="single" w:sz="8" w:color="auto"/>
            </w:tcBorders>
          </w:tcPr>
          <w:p>
            <w:pPr>
              <w:spacing w:after="0" w:line="223" w:lineRule="exact"/>
              <w:rPr>
                <w:sz w:val="20"/>
                <w:szCs w:val="20"/>
                <w:color w:val="auto"/>
              </w:rPr>
            </w:pPr>
            <w:r>
              <w:rPr>
                <w:rFonts w:ascii="Arial" w:cs="Arial" w:eastAsia="Arial" w:hAnsi="Arial"/>
                <w:sz w:val="20"/>
                <w:szCs w:val="20"/>
                <w:color w:val="auto"/>
              </w:rPr>
              <w:t>[†]</w:t>
            </w:r>
          </w:p>
        </w:tc>
        <w:tc>
          <w:tcPr>
            <w:tcW w:w="1040" w:type="dxa"/>
            <w:vAlign w:val="bottom"/>
            <w:tcBorders>
              <w:bottom w:val="single" w:sz="8" w:color="auto"/>
              <w:right w:val="single" w:sz="8" w:color="auto"/>
            </w:tcBorders>
          </w:tcPr>
          <w:p>
            <w:pPr>
              <w:spacing w:after="0" w:line="223" w:lineRule="exact"/>
              <w:rPr>
                <w:sz w:val="20"/>
                <w:szCs w:val="20"/>
                <w:color w:val="auto"/>
              </w:rPr>
            </w:pPr>
            <w:r>
              <w:rPr>
                <w:rFonts w:ascii="Arial" w:cs="Arial" w:eastAsia="Arial" w:hAnsi="Arial"/>
                <w:sz w:val="20"/>
                <w:szCs w:val="20"/>
                <w:color w:val="auto"/>
              </w:rPr>
              <w:t>[†]</w:t>
            </w:r>
          </w:p>
        </w:tc>
      </w:tr>
      <w:tr>
        <w:trPr>
          <w:trHeight w:val="223"/>
        </w:trPr>
        <w:tc>
          <w:tcPr>
            <w:tcW w:w="780" w:type="dxa"/>
            <w:vAlign w:val="bottom"/>
            <w:tcBorders>
              <w:left w:val="single" w:sz="8" w:color="auto"/>
              <w:bottom w:val="single" w:sz="8" w:color="auto"/>
              <w:right w:val="single" w:sz="8" w:color="auto"/>
            </w:tcBorders>
          </w:tcPr>
          <w:p>
            <w:pPr>
              <w:spacing w:after="0" w:line="223" w:lineRule="exact"/>
              <w:rPr>
                <w:sz w:val="20"/>
                <w:szCs w:val="20"/>
                <w:color w:val="auto"/>
              </w:rPr>
            </w:pPr>
            <w:r>
              <w:rPr>
                <w:rFonts w:ascii="Arial" w:cs="Arial" w:eastAsia="Arial" w:hAnsi="Arial"/>
                <w:sz w:val="20"/>
                <w:szCs w:val="20"/>
                <w:color w:val="auto"/>
              </w:rPr>
              <w:t>[†]</w:t>
            </w:r>
          </w:p>
        </w:tc>
        <w:tc>
          <w:tcPr>
            <w:tcW w:w="960" w:type="dxa"/>
            <w:vAlign w:val="bottom"/>
            <w:tcBorders>
              <w:bottom w:val="single" w:sz="8" w:color="auto"/>
              <w:right w:val="single" w:sz="8" w:color="auto"/>
            </w:tcBorders>
          </w:tcPr>
          <w:p>
            <w:pPr>
              <w:spacing w:after="0" w:line="223" w:lineRule="exact"/>
              <w:rPr>
                <w:sz w:val="20"/>
                <w:szCs w:val="20"/>
                <w:color w:val="auto"/>
              </w:rPr>
            </w:pPr>
            <w:r>
              <w:rPr>
                <w:rFonts w:ascii="Arial" w:cs="Arial" w:eastAsia="Arial" w:hAnsi="Arial"/>
                <w:sz w:val="20"/>
                <w:szCs w:val="20"/>
                <w:color w:val="auto"/>
              </w:rPr>
              <w:t>[†]</w:t>
            </w:r>
          </w:p>
        </w:tc>
        <w:tc>
          <w:tcPr>
            <w:tcW w:w="920" w:type="dxa"/>
            <w:vAlign w:val="bottom"/>
            <w:tcBorders>
              <w:bottom w:val="single" w:sz="8" w:color="auto"/>
              <w:right w:val="single" w:sz="8" w:color="auto"/>
            </w:tcBorders>
          </w:tcPr>
          <w:p>
            <w:pPr>
              <w:spacing w:after="0" w:line="223" w:lineRule="exact"/>
              <w:rPr>
                <w:sz w:val="20"/>
                <w:szCs w:val="20"/>
                <w:color w:val="auto"/>
              </w:rPr>
            </w:pPr>
            <w:r>
              <w:rPr>
                <w:rFonts w:ascii="Arial" w:cs="Arial" w:eastAsia="Arial" w:hAnsi="Arial"/>
                <w:sz w:val="20"/>
                <w:szCs w:val="20"/>
                <w:color w:val="auto"/>
              </w:rPr>
              <w:t>[†]</w:t>
            </w:r>
          </w:p>
        </w:tc>
        <w:tc>
          <w:tcPr>
            <w:tcW w:w="2560" w:type="dxa"/>
            <w:vAlign w:val="bottom"/>
            <w:tcBorders>
              <w:bottom w:val="single" w:sz="8" w:color="auto"/>
              <w:right w:val="single" w:sz="8" w:color="auto"/>
            </w:tcBorders>
          </w:tcPr>
          <w:p>
            <w:pPr>
              <w:spacing w:after="0" w:line="223" w:lineRule="exact"/>
              <w:rPr>
                <w:sz w:val="20"/>
                <w:szCs w:val="20"/>
                <w:color w:val="auto"/>
              </w:rPr>
            </w:pPr>
            <w:r>
              <w:rPr>
                <w:rFonts w:ascii="Arial" w:cs="Arial" w:eastAsia="Arial" w:hAnsi="Arial"/>
                <w:sz w:val="20"/>
                <w:szCs w:val="20"/>
                <w:color w:val="auto"/>
              </w:rPr>
              <w:t>[†]</w:t>
            </w:r>
          </w:p>
        </w:tc>
        <w:tc>
          <w:tcPr>
            <w:tcW w:w="760" w:type="dxa"/>
            <w:vAlign w:val="bottom"/>
            <w:tcBorders>
              <w:bottom w:val="single" w:sz="8" w:color="auto"/>
              <w:right w:val="single" w:sz="8" w:color="auto"/>
            </w:tcBorders>
          </w:tcPr>
          <w:p>
            <w:pPr>
              <w:spacing w:after="0"/>
              <w:rPr>
                <w:sz w:val="19"/>
                <w:szCs w:val="19"/>
                <w:color w:val="auto"/>
              </w:rPr>
            </w:pPr>
          </w:p>
        </w:tc>
        <w:tc>
          <w:tcPr>
            <w:tcW w:w="1120" w:type="dxa"/>
            <w:vAlign w:val="bottom"/>
            <w:tcBorders>
              <w:bottom w:val="single" w:sz="8" w:color="auto"/>
              <w:right w:val="single" w:sz="8" w:color="auto"/>
            </w:tcBorders>
          </w:tcPr>
          <w:p>
            <w:pPr>
              <w:spacing w:after="0"/>
              <w:rPr>
                <w:sz w:val="19"/>
                <w:szCs w:val="19"/>
                <w:color w:val="auto"/>
              </w:rPr>
            </w:pPr>
          </w:p>
        </w:tc>
        <w:tc>
          <w:tcPr>
            <w:tcW w:w="760" w:type="dxa"/>
            <w:vAlign w:val="bottom"/>
            <w:tcBorders>
              <w:bottom w:val="single" w:sz="8" w:color="auto"/>
              <w:right w:val="single" w:sz="8" w:color="auto"/>
            </w:tcBorders>
          </w:tcPr>
          <w:p>
            <w:pPr>
              <w:spacing w:after="0"/>
              <w:rPr>
                <w:sz w:val="19"/>
                <w:szCs w:val="19"/>
                <w:color w:val="auto"/>
              </w:rPr>
            </w:pPr>
          </w:p>
        </w:tc>
        <w:tc>
          <w:tcPr>
            <w:tcW w:w="760" w:type="dxa"/>
            <w:vAlign w:val="bottom"/>
            <w:tcBorders>
              <w:bottom w:val="single" w:sz="8" w:color="auto"/>
              <w:right w:val="single" w:sz="8" w:color="auto"/>
            </w:tcBorders>
          </w:tcPr>
          <w:p>
            <w:pPr>
              <w:spacing w:after="0"/>
              <w:rPr>
                <w:sz w:val="19"/>
                <w:szCs w:val="19"/>
                <w:color w:val="auto"/>
              </w:rPr>
            </w:pPr>
          </w:p>
        </w:tc>
        <w:tc>
          <w:tcPr>
            <w:tcW w:w="880" w:type="dxa"/>
            <w:vAlign w:val="bottom"/>
            <w:tcBorders>
              <w:bottom w:val="single" w:sz="8" w:color="auto"/>
              <w:right w:val="single" w:sz="8" w:color="auto"/>
            </w:tcBorders>
          </w:tcPr>
          <w:p>
            <w:pPr>
              <w:spacing w:after="0" w:line="223" w:lineRule="exact"/>
              <w:rPr>
                <w:sz w:val="20"/>
                <w:szCs w:val="20"/>
                <w:color w:val="auto"/>
              </w:rPr>
            </w:pPr>
            <w:r>
              <w:rPr>
                <w:rFonts w:ascii="Arial" w:cs="Arial" w:eastAsia="Arial" w:hAnsi="Arial"/>
                <w:sz w:val="20"/>
                <w:szCs w:val="20"/>
                <w:color w:val="auto"/>
              </w:rPr>
              <w:t>[†]</w:t>
            </w:r>
          </w:p>
        </w:tc>
        <w:tc>
          <w:tcPr>
            <w:tcW w:w="840" w:type="dxa"/>
            <w:vAlign w:val="bottom"/>
            <w:tcBorders>
              <w:bottom w:val="single" w:sz="8" w:color="auto"/>
              <w:right w:val="single" w:sz="8" w:color="auto"/>
            </w:tcBorders>
          </w:tcPr>
          <w:p>
            <w:pPr>
              <w:spacing w:after="0" w:line="223" w:lineRule="exact"/>
              <w:rPr>
                <w:sz w:val="20"/>
                <w:szCs w:val="20"/>
                <w:color w:val="auto"/>
              </w:rPr>
            </w:pPr>
            <w:r>
              <w:rPr>
                <w:rFonts w:ascii="Arial" w:cs="Arial" w:eastAsia="Arial" w:hAnsi="Arial"/>
                <w:sz w:val="20"/>
                <w:szCs w:val="20"/>
                <w:color w:val="auto"/>
              </w:rPr>
              <w:t>[†]</w:t>
            </w:r>
          </w:p>
        </w:tc>
        <w:tc>
          <w:tcPr>
            <w:tcW w:w="1040" w:type="dxa"/>
            <w:vAlign w:val="bottom"/>
            <w:tcBorders>
              <w:bottom w:val="single" w:sz="8" w:color="auto"/>
              <w:right w:val="single" w:sz="8" w:color="auto"/>
            </w:tcBorders>
          </w:tcPr>
          <w:p>
            <w:pPr>
              <w:spacing w:after="0" w:line="223" w:lineRule="exact"/>
              <w:rPr>
                <w:sz w:val="20"/>
                <w:szCs w:val="20"/>
                <w:color w:val="auto"/>
              </w:rPr>
            </w:pPr>
            <w:r>
              <w:rPr>
                <w:rFonts w:ascii="Arial" w:cs="Arial" w:eastAsia="Arial" w:hAnsi="Arial"/>
                <w:sz w:val="20"/>
                <w:szCs w:val="20"/>
                <w:color w:val="auto"/>
              </w:rPr>
              <w:t>[†]</w:t>
            </w:r>
          </w:p>
        </w:tc>
      </w:tr>
      <w:tr>
        <w:trPr>
          <w:trHeight w:val="223"/>
        </w:trPr>
        <w:tc>
          <w:tcPr>
            <w:tcW w:w="780" w:type="dxa"/>
            <w:vAlign w:val="bottom"/>
            <w:tcBorders>
              <w:left w:val="single" w:sz="8" w:color="auto"/>
              <w:bottom w:val="single" w:sz="8" w:color="auto"/>
              <w:right w:val="single" w:sz="8" w:color="auto"/>
            </w:tcBorders>
          </w:tcPr>
          <w:p>
            <w:pPr>
              <w:spacing w:after="0" w:line="223" w:lineRule="exact"/>
              <w:rPr>
                <w:sz w:val="20"/>
                <w:szCs w:val="20"/>
                <w:color w:val="auto"/>
              </w:rPr>
            </w:pPr>
            <w:r>
              <w:rPr>
                <w:rFonts w:ascii="Arial" w:cs="Arial" w:eastAsia="Arial" w:hAnsi="Arial"/>
                <w:sz w:val="20"/>
                <w:szCs w:val="20"/>
                <w:color w:val="auto"/>
              </w:rPr>
              <w:t>[†]</w:t>
            </w:r>
          </w:p>
        </w:tc>
        <w:tc>
          <w:tcPr>
            <w:tcW w:w="960" w:type="dxa"/>
            <w:vAlign w:val="bottom"/>
            <w:tcBorders>
              <w:bottom w:val="single" w:sz="8" w:color="auto"/>
              <w:right w:val="single" w:sz="8" w:color="auto"/>
            </w:tcBorders>
          </w:tcPr>
          <w:p>
            <w:pPr>
              <w:spacing w:after="0" w:line="223" w:lineRule="exact"/>
              <w:rPr>
                <w:sz w:val="20"/>
                <w:szCs w:val="20"/>
                <w:color w:val="auto"/>
              </w:rPr>
            </w:pPr>
            <w:r>
              <w:rPr>
                <w:rFonts w:ascii="Arial" w:cs="Arial" w:eastAsia="Arial" w:hAnsi="Arial"/>
                <w:sz w:val="20"/>
                <w:szCs w:val="20"/>
                <w:color w:val="auto"/>
              </w:rPr>
              <w:t>[†]</w:t>
            </w:r>
          </w:p>
        </w:tc>
        <w:tc>
          <w:tcPr>
            <w:tcW w:w="920" w:type="dxa"/>
            <w:vAlign w:val="bottom"/>
            <w:tcBorders>
              <w:bottom w:val="single" w:sz="8" w:color="auto"/>
              <w:right w:val="single" w:sz="8" w:color="auto"/>
            </w:tcBorders>
          </w:tcPr>
          <w:p>
            <w:pPr>
              <w:spacing w:after="0" w:line="223" w:lineRule="exact"/>
              <w:rPr>
                <w:sz w:val="20"/>
                <w:szCs w:val="20"/>
                <w:color w:val="auto"/>
              </w:rPr>
            </w:pPr>
            <w:r>
              <w:rPr>
                <w:rFonts w:ascii="Arial" w:cs="Arial" w:eastAsia="Arial" w:hAnsi="Arial"/>
                <w:sz w:val="20"/>
                <w:szCs w:val="20"/>
                <w:color w:val="auto"/>
              </w:rPr>
              <w:t>[†]</w:t>
            </w:r>
          </w:p>
        </w:tc>
        <w:tc>
          <w:tcPr>
            <w:tcW w:w="2560" w:type="dxa"/>
            <w:vAlign w:val="bottom"/>
            <w:tcBorders>
              <w:bottom w:val="single" w:sz="8" w:color="auto"/>
              <w:right w:val="single" w:sz="8" w:color="auto"/>
            </w:tcBorders>
          </w:tcPr>
          <w:p>
            <w:pPr>
              <w:spacing w:after="0" w:line="223" w:lineRule="exact"/>
              <w:rPr>
                <w:sz w:val="20"/>
                <w:szCs w:val="20"/>
                <w:color w:val="auto"/>
              </w:rPr>
            </w:pPr>
            <w:r>
              <w:rPr>
                <w:rFonts w:ascii="Arial" w:cs="Arial" w:eastAsia="Arial" w:hAnsi="Arial"/>
                <w:sz w:val="20"/>
                <w:szCs w:val="20"/>
                <w:color w:val="auto"/>
              </w:rPr>
              <w:t>[†]</w:t>
            </w:r>
          </w:p>
        </w:tc>
        <w:tc>
          <w:tcPr>
            <w:tcW w:w="760" w:type="dxa"/>
            <w:vAlign w:val="bottom"/>
            <w:tcBorders>
              <w:bottom w:val="single" w:sz="8" w:color="auto"/>
              <w:right w:val="single" w:sz="8" w:color="auto"/>
            </w:tcBorders>
          </w:tcPr>
          <w:p>
            <w:pPr>
              <w:spacing w:after="0"/>
              <w:rPr>
                <w:sz w:val="19"/>
                <w:szCs w:val="19"/>
                <w:color w:val="auto"/>
              </w:rPr>
            </w:pPr>
          </w:p>
        </w:tc>
        <w:tc>
          <w:tcPr>
            <w:tcW w:w="1120" w:type="dxa"/>
            <w:vAlign w:val="bottom"/>
            <w:tcBorders>
              <w:bottom w:val="single" w:sz="8" w:color="auto"/>
              <w:right w:val="single" w:sz="8" w:color="auto"/>
            </w:tcBorders>
          </w:tcPr>
          <w:p>
            <w:pPr>
              <w:spacing w:after="0"/>
              <w:rPr>
                <w:sz w:val="19"/>
                <w:szCs w:val="19"/>
                <w:color w:val="auto"/>
              </w:rPr>
            </w:pPr>
          </w:p>
        </w:tc>
        <w:tc>
          <w:tcPr>
            <w:tcW w:w="760" w:type="dxa"/>
            <w:vAlign w:val="bottom"/>
            <w:tcBorders>
              <w:bottom w:val="single" w:sz="8" w:color="auto"/>
              <w:right w:val="single" w:sz="8" w:color="auto"/>
            </w:tcBorders>
          </w:tcPr>
          <w:p>
            <w:pPr>
              <w:spacing w:after="0"/>
              <w:rPr>
                <w:sz w:val="19"/>
                <w:szCs w:val="19"/>
                <w:color w:val="auto"/>
              </w:rPr>
            </w:pPr>
          </w:p>
        </w:tc>
        <w:tc>
          <w:tcPr>
            <w:tcW w:w="760" w:type="dxa"/>
            <w:vAlign w:val="bottom"/>
            <w:tcBorders>
              <w:bottom w:val="single" w:sz="8" w:color="auto"/>
              <w:right w:val="single" w:sz="8" w:color="auto"/>
            </w:tcBorders>
          </w:tcPr>
          <w:p>
            <w:pPr>
              <w:spacing w:after="0"/>
              <w:rPr>
                <w:sz w:val="19"/>
                <w:szCs w:val="19"/>
                <w:color w:val="auto"/>
              </w:rPr>
            </w:pPr>
          </w:p>
        </w:tc>
        <w:tc>
          <w:tcPr>
            <w:tcW w:w="880" w:type="dxa"/>
            <w:vAlign w:val="bottom"/>
            <w:tcBorders>
              <w:bottom w:val="single" w:sz="8" w:color="auto"/>
              <w:right w:val="single" w:sz="8" w:color="auto"/>
            </w:tcBorders>
          </w:tcPr>
          <w:p>
            <w:pPr>
              <w:spacing w:after="0" w:line="223" w:lineRule="exact"/>
              <w:rPr>
                <w:sz w:val="20"/>
                <w:szCs w:val="20"/>
                <w:color w:val="auto"/>
              </w:rPr>
            </w:pPr>
            <w:r>
              <w:rPr>
                <w:rFonts w:ascii="Arial" w:cs="Arial" w:eastAsia="Arial" w:hAnsi="Arial"/>
                <w:sz w:val="20"/>
                <w:szCs w:val="20"/>
                <w:color w:val="auto"/>
              </w:rPr>
              <w:t>[†]</w:t>
            </w:r>
          </w:p>
        </w:tc>
        <w:tc>
          <w:tcPr>
            <w:tcW w:w="840" w:type="dxa"/>
            <w:vAlign w:val="bottom"/>
            <w:tcBorders>
              <w:bottom w:val="single" w:sz="8" w:color="auto"/>
              <w:right w:val="single" w:sz="8" w:color="auto"/>
            </w:tcBorders>
          </w:tcPr>
          <w:p>
            <w:pPr>
              <w:spacing w:after="0" w:line="223" w:lineRule="exact"/>
              <w:rPr>
                <w:sz w:val="20"/>
                <w:szCs w:val="20"/>
                <w:color w:val="auto"/>
              </w:rPr>
            </w:pPr>
            <w:r>
              <w:rPr>
                <w:rFonts w:ascii="Arial" w:cs="Arial" w:eastAsia="Arial" w:hAnsi="Arial"/>
                <w:sz w:val="20"/>
                <w:szCs w:val="20"/>
                <w:color w:val="auto"/>
              </w:rPr>
              <w:t>[†]</w:t>
            </w:r>
          </w:p>
        </w:tc>
        <w:tc>
          <w:tcPr>
            <w:tcW w:w="1040" w:type="dxa"/>
            <w:vAlign w:val="bottom"/>
            <w:tcBorders>
              <w:bottom w:val="single" w:sz="8" w:color="auto"/>
              <w:right w:val="single" w:sz="8" w:color="auto"/>
            </w:tcBorders>
          </w:tcPr>
          <w:p>
            <w:pPr>
              <w:spacing w:after="0" w:line="223" w:lineRule="exact"/>
              <w:rPr>
                <w:sz w:val="20"/>
                <w:szCs w:val="20"/>
                <w:color w:val="auto"/>
              </w:rPr>
            </w:pPr>
            <w:r>
              <w:rPr>
                <w:rFonts w:ascii="Arial" w:cs="Arial" w:eastAsia="Arial" w:hAnsi="Arial"/>
                <w:sz w:val="20"/>
                <w:szCs w:val="20"/>
                <w:color w:val="auto"/>
              </w:rPr>
              <w:t>[†]</w:t>
            </w:r>
          </w:p>
        </w:tc>
      </w:tr>
      <w:tr>
        <w:trPr>
          <w:trHeight w:val="223"/>
        </w:trPr>
        <w:tc>
          <w:tcPr>
            <w:tcW w:w="780" w:type="dxa"/>
            <w:vAlign w:val="bottom"/>
            <w:tcBorders>
              <w:left w:val="single" w:sz="8" w:color="auto"/>
              <w:bottom w:val="single" w:sz="8" w:color="auto"/>
              <w:right w:val="single" w:sz="8" w:color="auto"/>
            </w:tcBorders>
          </w:tcPr>
          <w:p>
            <w:pPr>
              <w:spacing w:after="0" w:line="223" w:lineRule="exact"/>
              <w:rPr>
                <w:sz w:val="20"/>
                <w:szCs w:val="20"/>
                <w:color w:val="auto"/>
              </w:rPr>
            </w:pPr>
            <w:r>
              <w:rPr>
                <w:rFonts w:ascii="Arial" w:cs="Arial" w:eastAsia="Arial" w:hAnsi="Arial"/>
                <w:sz w:val="20"/>
                <w:szCs w:val="20"/>
                <w:color w:val="auto"/>
              </w:rPr>
              <w:t>[†]</w:t>
            </w:r>
          </w:p>
        </w:tc>
        <w:tc>
          <w:tcPr>
            <w:tcW w:w="960" w:type="dxa"/>
            <w:vAlign w:val="bottom"/>
            <w:tcBorders>
              <w:bottom w:val="single" w:sz="8" w:color="auto"/>
              <w:right w:val="single" w:sz="8" w:color="auto"/>
            </w:tcBorders>
          </w:tcPr>
          <w:p>
            <w:pPr>
              <w:spacing w:after="0" w:line="223" w:lineRule="exact"/>
              <w:rPr>
                <w:sz w:val="20"/>
                <w:szCs w:val="20"/>
                <w:color w:val="auto"/>
              </w:rPr>
            </w:pPr>
            <w:r>
              <w:rPr>
                <w:rFonts w:ascii="Arial" w:cs="Arial" w:eastAsia="Arial" w:hAnsi="Arial"/>
                <w:sz w:val="20"/>
                <w:szCs w:val="20"/>
                <w:color w:val="auto"/>
              </w:rPr>
              <w:t>[†]</w:t>
            </w:r>
          </w:p>
        </w:tc>
        <w:tc>
          <w:tcPr>
            <w:tcW w:w="920" w:type="dxa"/>
            <w:vAlign w:val="bottom"/>
            <w:tcBorders>
              <w:bottom w:val="single" w:sz="8" w:color="auto"/>
              <w:right w:val="single" w:sz="8" w:color="auto"/>
            </w:tcBorders>
          </w:tcPr>
          <w:p>
            <w:pPr>
              <w:spacing w:after="0" w:line="223" w:lineRule="exact"/>
              <w:rPr>
                <w:sz w:val="20"/>
                <w:szCs w:val="20"/>
                <w:color w:val="auto"/>
              </w:rPr>
            </w:pPr>
            <w:r>
              <w:rPr>
                <w:rFonts w:ascii="Arial" w:cs="Arial" w:eastAsia="Arial" w:hAnsi="Arial"/>
                <w:sz w:val="20"/>
                <w:szCs w:val="20"/>
                <w:color w:val="auto"/>
              </w:rPr>
              <w:t>[†]</w:t>
            </w:r>
          </w:p>
        </w:tc>
        <w:tc>
          <w:tcPr>
            <w:tcW w:w="2560" w:type="dxa"/>
            <w:vAlign w:val="bottom"/>
            <w:tcBorders>
              <w:bottom w:val="single" w:sz="8" w:color="auto"/>
              <w:right w:val="single" w:sz="8" w:color="auto"/>
            </w:tcBorders>
          </w:tcPr>
          <w:p>
            <w:pPr>
              <w:spacing w:after="0" w:line="223" w:lineRule="exact"/>
              <w:rPr>
                <w:sz w:val="20"/>
                <w:szCs w:val="20"/>
                <w:color w:val="auto"/>
              </w:rPr>
            </w:pPr>
            <w:r>
              <w:rPr>
                <w:rFonts w:ascii="Arial" w:cs="Arial" w:eastAsia="Arial" w:hAnsi="Arial"/>
                <w:sz w:val="20"/>
                <w:szCs w:val="20"/>
                <w:color w:val="auto"/>
              </w:rPr>
              <w:t>[†]</w:t>
            </w:r>
          </w:p>
        </w:tc>
        <w:tc>
          <w:tcPr>
            <w:tcW w:w="760" w:type="dxa"/>
            <w:vAlign w:val="bottom"/>
            <w:tcBorders>
              <w:bottom w:val="single" w:sz="8" w:color="auto"/>
              <w:right w:val="single" w:sz="8" w:color="auto"/>
            </w:tcBorders>
          </w:tcPr>
          <w:p>
            <w:pPr>
              <w:spacing w:after="0" w:line="223" w:lineRule="exact"/>
              <w:rPr>
                <w:sz w:val="20"/>
                <w:szCs w:val="20"/>
                <w:color w:val="auto"/>
              </w:rPr>
            </w:pPr>
            <w:r>
              <w:rPr>
                <w:rFonts w:ascii="Arial" w:cs="Arial" w:eastAsia="Arial" w:hAnsi="Arial"/>
                <w:sz w:val="20"/>
                <w:szCs w:val="20"/>
                <w:color w:val="auto"/>
              </w:rPr>
              <w:t>[†]</w:t>
            </w:r>
          </w:p>
        </w:tc>
        <w:tc>
          <w:tcPr>
            <w:tcW w:w="1120" w:type="dxa"/>
            <w:vAlign w:val="bottom"/>
            <w:tcBorders>
              <w:bottom w:val="single" w:sz="8" w:color="auto"/>
              <w:right w:val="single" w:sz="8" w:color="auto"/>
            </w:tcBorders>
          </w:tcPr>
          <w:p>
            <w:pPr>
              <w:spacing w:after="0" w:line="223" w:lineRule="exact"/>
              <w:rPr>
                <w:sz w:val="20"/>
                <w:szCs w:val="20"/>
                <w:color w:val="auto"/>
              </w:rPr>
            </w:pPr>
            <w:r>
              <w:rPr>
                <w:rFonts w:ascii="Arial" w:cs="Arial" w:eastAsia="Arial" w:hAnsi="Arial"/>
                <w:sz w:val="20"/>
                <w:szCs w:val="20"/>
                <w:color w:val="auto"/>
              </w:rPr>
              <w:t>[†]</w:t>
            </w:r>
          </w:p>
        </w:tc>
        <w:tc>
          <w:tcPr>
            <w:tcW w:w="760" w:type="dxa"/>
            <w:vAlign w:val="bottom"/>
            <w:tcBorders>
              <w:bottom w:val="single" w:sz="8" w:color="auto"/>
              <w:right w:val="single" w:sz="8" w:color="auto"/>
            </w:tcBorders>
          </w:tcPr>
          <w:p>
            <w:pPr>
              <w:spacing w:after="0" w:line="223" w:lineRule="exact"/>
              <w:rPr>
                <w:sz w:val="20"/>
                <w:szCs w:val="20"/>
                <w:color w:val="auto"/>
              </w:rPr>
            </w:pPr>
            <w:r>
              <w:rPr>
                <w:rFonts w:ascii="Arial" w:cs="Arial" w:eastAsia="Arial" w:hAnsi="Arial"/>
                <w:sz w:val="20"/>
                <w:szCs w:val="20"/>
                <w:color w:val="auto"/>
              </w:rPr>
              <w:t>[†]</w:t>
            </w:r>
          </w:p>
        </w:tc>
        <w:tc>
          <w:tcPr>
            <w:tcW w:w="760" w:type="dxa"/>
            <w:vAlign w:val="bottom"/>
            <w:tcBorders>
              <w:bottom w:val="single" w:sz="8" w:color="auto"/>
              <w:right w:val="single" w:sz="8" w:color="auto"/>
            </w:tcBorders>
          </w:tcPr>
          <w:p>
            <w:pPr>
              <w:spacing w:after="0" w:line="223" w:lineRule="exact"/>
              <w:rPr>
                <w:sz w:val="20"/>
                <w:szCs w:val="20"/>
                <w:color w:val="auto"/>
              </w:rPr>
            </w:pPr>
            <w:r>
              <w:rPr>
                <w:rFonts w:ascii="Arial" w:cs="Arial" w:eastAsia="Arial" w:hAnsi="Arial"/>
                <w:sz w:val="20"/>
                <w:szCs w:val="20"/>
                <w:color w:val="auto"/>
              </w:rPr>
              <w:t>[†]</w:t>
            </w:r>
          </w:p>
        </w:tc>
        <w:tc>
          <w:tcPr>
            <w:tcW w:w="880" w:type="dxa"/>
            <w:vAlign w:val="bottom"/>
            <w:tcBorders>
              <w:bottom w:val="single" w:sz="8" w:color="auto"/>
              <w:right w:val="single" w:sz="8" w:color="auto"/>
            </w:tcBorders>
          </w:tcPr>
          <w:p>
            <w:pPr>
              <w:spacing w:after="0"/>
              <w:rPr>
                <w:sz w:val="19"/>
                <w:szCs w:val="19"/>
                <w:color w:val="auto"/>
              </w:rPr>
            </w:pPr>
          </w:p>
        </w:tc>
        <w:tc>
          <w:tcPr>
            <w:tcW w:w="840" w:type="dxa"/>
            <w:vAlign w:val="bottom"/>
            <w:tcBorders>
              <w:bottom w:val="single" w:sz="8" w:color="auto"/>
              <w:right w:val="single" w:sz="8" w:color="auto"/>
            </w:tcBorders>
          </w:tcPr>
          <w:p>
            <w:pPr>
              <w:spacing w:after="0"/>
              <w:rPr>
                <w:sz w:val="19"/>
                <w:szCs w:val="19"/>
                <w:color w:val="auto"/>
              </w:rPr>
            </w:pPr>
          </w:p>
        </w:tc>
        <w:tc>
          <w:tcPr>
            <w:tcW w:w="1040" w:type="dxa"/>
            <w:vAlign w:val="bottom"/>
            <w:tcBorders>
              <w:bottom w:val="single" w:sz="8" w:color="auto"/>
              <w:right w:val="single" w:sz="8" w:color="auto"/>
            </w:tcBorders>
          </w:tcPr>
          <w:p>
            <w:pPr>
              <w:spacing w:after="0" w:line="223" w:lineRule="exact"/>
              <w:rPr>
                <w:sz w:val="20"/>
                <w:szCs w:val="20"/>
                <w:color w:val="auto"/>
              </w:rPr>
            </w:pPr>
            <w:r>
              <w:rPr>
                <w:rFonts w:ascii="Arial" w:cs="Arial" w:eastAsia="Arial" w:hAnsi="Arial"/>
                <w:sz w:val="20"/>
                <w:szCs w:val="20"/>
                <w:color w:val="auto"/>
              </w:rPr>
              <w:t>[†]</w:t>
            </w:r>
          </w:p>
        </w:tc>
      </w:tr>
      <w:tr>
        <w:trPr>
          <w:trHeight w:val="223"/>
        </w:trPr>
        <w:tc>
          <w:tcPr>
            <w:tcW w:w="780" w:type="dxa"/>
            <w:vAlign w:val="bottom"/>
            <w:tcBorders>
              <w:left w:val="single" w:sz="8" w:color="auto"/>
              <w:bottom w:val="single" w:sz="8" w:color="auto"/>
              <w:right w:val="single" w:sz="8" w:color="auto"/>
            </w:tcBorders>
          </w:tcPr>
          <w:p>
            <w:pPr>
              <w:spacing w:after="0" w:line="223" w:lineRule="exact"/>
              <w:rPr>
                <w:sz w:val="20"/>
                <w:szCs w:val="20"/>
                <w:color w:val="auto"/>
              </w:rPr>
            </w:pPr>
            <w:r>
              <w:rPr>
                <w:rFonts w:ascii="Arial" w:cs="Arial" w:eastAsia="Arial" w:hAnsi="Arial"/>
                <w:sz w:val="20"/>
                <w:szCs w:val="20"/>
                <w:color w:val="auto"/>
              </w:rPr>
              <w:t>[†]</w:t>
            </w:r>
          </w:p>
        </w:tc>
        <w:tc>
          <w:tcPr>
            <w:tcW w:w="960" w:type="dxa"/>
            <w:vAlign w:val="bottom"/>
            <w:tcBorders>
              <w:bottom w:val="single" w:sz="8" w:color="auto"/>
              <w:right w:val="single" w:sz="8" w:color="auto"/>
            </w:tcBorders>
          </w:tcPr>
          <w:p>
            <w:pPr>
              <w:spacing w:after="0" w:line="223" w:lineRule="exact"/>
              <w:rPr>
                <w:sz w:val="20"/>
                <w:szCs w:val="20"/>
                <w:color w:val="auto"/>
              </w:rPr>
            </w:pPr>
            <w:r>
              <w:rPr>
                <w:rFonts w:ascii="Arial" w:cs="Arial" w:eastAsia="Arial" w:hAnsi="Arial"/>
                <w:sz w:val="20"/>
                <w:szCs w:val="20"/>
                <w:color w:val="auto"/>
              </w:rPr>
              <w:t>[†]</w:t>
            </w:r>
          </w:p>
        </w:tc>
        <w:tc>
          <w:tcPr>
            <w:tcW w:w="920" w:type="dxa"/>
            <w:vAlign w:val="bottom"/>
            <w:tcBorders>
              <w:bottom w:val="single" w:sz="8" w:color="auto"/>
              <w:right w:val="single" w:sz="8" w:color="auto"/>
            </w:tcBorders>
          </w:tcPr>
          <w:p>
            <w:pPr>
              <w:spacing w:after="0" w:line="223" w:lineRule="exact"/>
              <w:rPr>
                <w:sz w:val="20"/>
                <w:szCs w:val="20"/>
                <w:color w:val="auto"/>
              </w:rPr>
            </w:pPr>
            <w:r>
              <w:rPr>
                <w:rFonts w:ascii="Arial" w:cs="Arial" w:eastAsia="Arial" w:hAnsi="Arial"/>
                <w:sz w:val="20"/>
                <w:szCs w:val="20"/>
                <w:color w:val="auto"/>
              </w:rPr>
              <w:t>[†]</w:t>
            </w:r>
          </w:p>
        </w:tc>
        <w:tc>
          <w:tcPr>
            <w:tcW w:w="2560" w:type="dxa"/>
            <w:vAlign w:val="bottom"/>
            <w:tcBorders>
              <w:bottom w:val="single" w:sz="8" w:color="auto"/>
              <w:right w:val="single" w:sz="8" w:color="auto"/>
            </w:tcBorders>
          </w:tcPr>
          <w:p>
            <w:pPr>
              <w:spacing w:after="0" w:line="223" w:lineRule="exact"/>
              <w:rPr>
                <w:sz w:val="20"/>
                <w:szCs w:val="20"/>
                <w:color w:val="auto"/>
              </w:rPr>
            </w:pPr>
            <w:r>
              <w:rPr>
                <w:rFonts w:ascii="Arial" w:cs="Arial" w:eastAsia="Arial" w:hAnsi="Arial"/>
                <w:sz w:val="20"/>
                <w:szCs w:val="20"/>
                <w:color w:val="auto"/>
              </w:rPr>
              <w:t>[†]</w:t>
            </w:r>
          </w:p>
        </w:tc>
        <w:tc>
          <w:tcPr>
            <w:tcW w:w="760" w:type="dxa"/>
            <w:vAlign w:val="bottom"/>
            <w:tcBorders>
              <w:bottom w:val="single" w:sz="8" w:color="auto"/>
              <w:right w:val="single" w:sz="8" w:color="auto"/>
            </w:tcBorders>
          </w:tcPr>
          <w:p>
            <w:pPr>
              <w:spacing w:after="0" w:line="223" w:lineRule="exact"/>
              <w:rPr>
                <w:sz w:val="20"/>
                <w:szCs w:val="20"/>
                <w:color w:val="auto"/>
              </w:rPr>
            </w:pPr>
            <w:r>
              <w:rPr>
                <w:rFonts w:ascii="Arial" w:cs="Arial" w:eastAsia="Arial" w:hAnsi="Arial"/>
                <w:sz w:val="20"/>
                <w:szCs w:val="20"/>
                <w:color w:val="auto"/>
              </w:rPr>
              <w:t>[†]</w:t>
            </w:r>
          </w:p>
        </w:tc>
        <w:tc>
          <w:tcPr>
            <w:tcW w:w="1120" w:type="dxa"/>
            <w:vAlign w:val="bottom"/>
            <w:tcBorders>
              <w:bottom w:val="single" w:sz="8" w:color="auto"/>
              <w:right w:val="single" w:sz="8" w:color="auto"/>
            </w:tcBorders>
          </w:tcPr>
          <w:p>
            <w:pPr>
              <w:spacing w:after="0" w:line="223" w:lineRule="exact"/>
              <w:rPr>
                <w:sz w:val="20"/>
                <w:szCs w:val="20"/>
                <w:color w:val="auto"/>
              </w:rPr>
            </w:pPr>
            <w:r>
              <w:rPr>
                <w:rFonts w:ascii="Arial" w:cs="Arial" w:eastAsia="Arial" w:hAnsi="Arial"/>
                <w:sz w:val="20"/>
                <w:szCs w:val="20"/>
                <w:color w:val="auto"/>
              </w:rPr>
              <w:t>[†]</w:t>
            </w:r>
          </w:p>
        </w:tc>
        <w:tc>
          <w:tcPr>
            <w:tcW w:w="760" w:type="dxa"/>
            <w:vAlign w:val="bottom"/>
            <w:tcBorders>
              <w:bottom w:val="single" w:sz="8" w:color="auto"/>
              <w:right w:val="single" w:sz="8" w:color="auto"/>
            </w:tcBorders>
          </w:tcPr>
          <w:p>
            <w:pPr>
              <w:spacing w:after="0" w:line="223" w:lineRule="exact"/>
              <w:rPr>
                <w:sz w:val="20"/>
                <w:szCs w:val="20"/>
                <w:color w:val="auto"/>
              </w:rPr>
            </w:pPr>
            <w:r>
              <w:rPr>
                <w:rFonts w:ascii="Arial" w:cs="Arial" w:eastAsia="Arial" w:hAnsi="Arial"/>
                <w:sz w:val="20"/>
                <w:szCs w:val="20"/>
                <w:color w:val="auto"/>
              </w:rPr>
              <w:t>[†]</w:t>
            </w:r>
          </w:p>
        </w:tc>
        <w:tc>
          <w:tcPr>
            <w:tcW w:w="760" w:type="dxa"/>
            <w:vAlign w:val="bottom"/>
            <w:tcBorders>
              <w:bottom w:val="single" w:sz="8" w:color="auto"/>
              <w:right w:val="single" w:sz="8" w:color="auto"/>
            </w:tcBorders>
          </w:tcPr>
          <w:p>
            <w:pPr>
              <w:spacing w:after="0"/>
              <w:rPr>
                <w:sz w:val="19"/>
                <w:szCs w:val="19"/>
                <w:color w:val="auto"/>
              </w:rPr>
            </w:pPr>
          </w:p>
        </w:tc>
        <w:tc>
          <w:tcPr>
            <w:tcW w:w="880" w:type="dxa"/>
            <w:vAlign w:val="bottom"/>
            <w:tcBorders>
              <w:bottom w:val="single" w:sz="8" w:color="auto"/>
              <w:right w:val="single" w:sz="8" w:color="auto"/>
            </w:tcBorders>
          </w:tcPr>
          <w:p>
            <w:pPr>
              <w:spacing w:after="0" w:line="223" w:lineRule="exact"/>
              <w:rPr>
                <w:sz w:val="20"/>
                <w:szCs w:val="20"/>
                <w:color w:val="auto"/>
              </w:rPr>
            </w:pPr>
            <w:r>
              <w:rPr>
                <w:rFonts w:ascii="Arial" w:cs="Arial" w:eastAsia="Arial" w:hAnsi="Arial"/>
                <w:sz w:val="20"/>
                <w:szCs w:val="20"/>
                <w:color w:val="auto"/>
              </w:rPr>
              <w:t>[†]</w:t>
            </w:r>
          </w:p>
        </w:tc>
        <w:tc>
          <w:tcPr>
            <w:tcW w:w="840" w:type="dxa"/>
            <w:vAlign w:val="bottom"/>
            <w:tcBorders>
              <w:bottom w:val="single" w:sz="8" w:color="auto"/>
              <w:right w:val="single" w:sz="8" w:color="auto"/>
            </w:tcBorders>
          </w:tcPr>
          <w:p>
            <w:pPr>
              <w:spacing w:after="0" w:line="223" w:lineRule="exact"/>
              <w:rPr>
                <w:sz w:val="20"/>
                <w:szCs w:val="20"/>
                <w:color w:val="auto"/>
              </w:rPr>
            </w:pPr>
            <w:r>
              <w:rPr>
                <w:rFonts w:ascii="Arial" w:cs="Arial" w:eastAsia="Arial" w:hAnsi="Arial"/>
                <w:sz w:val="20"/>
                <w:szCs w:val="20"/>
                <w:color w:val="auto"/>
              </w:rPr>
              <w:t>[†]</w:t>
            </w:r>
          </w:p>
        </w:tc>
        <w:tc>
          <w:tcPr>
            <w:tcW w:w="1040" w:type="dxa"/>
            <w:vAlign w:val="bottom"/>
            <w:tcBorders>
              <w:bottom w:val="single" w:sz="8" w:color="auto"/>
              <w:right w:val="single" w:sz="8" w:color="auto"/>
            </w:tcBorders>
          </w:tcPr>
          <w:p>
            <w:pPr>
              <w:spacing w:after="0" w:line="223" w:lineRule="exact"/>
              <w:rPr>
                <w:sz w:val="20"/>
                <w:szCs w:val="20"/>
                <w:color w:val="auto"/>
              </w:rPr>
            </w:pPr>
            <w:r>
              <w:rPr>
                <w:rFonts w:ascii="Arial" w:cs="Arial" w:eastAsia="Arial" w:hAnsi="Arial"/>
                <w:sz w:val="20"/>
                <w:szCs w:val="20"/>
                <w:color w:val="auto"/>
              </w:rPr>
              <w:t>[†]</w:t>
            </w:r>
          </w:p>
        </w:tc>
      </w:tr>
      <w:tr>
        <w:trPr>
          <w:trHeight w:val="223"/>
        </w:trPr>
        <w:tc>
          <w:tcPr>
            <w:tcW w:w="780" w:type="dxa"/>
            <w:vAlign w:val="bottom"/>
            <w:tcBorders>
              <w:left w:val="single" w:sz="8" w:color="auto"/>
              <w:bottom w:val="single" w:sz="8" w:color="auto"/>
              <w:right w:val="single" w:sz="8" w:color="auto"/>
            </w:tcBorders>
          </w:tcPr>
          <w:p>
            <w:pPr>
              <w:spacing w:after="0" w:line="223" w:lineRule="exact"/>
              <w:rPr>
                <w:sz w:val="20"/>
                <w:szCs w:val="20"/>
                <w:color w:val="auto"/>
              </w:rPr>
            </w:pPr>
            <w:r>
              <w:rPr>
                <w:rFonts w:ascii="Arial" w:cs="Arial" w:eastAsia="Arial" w:hAnsi="Arial"/>
                <w:sz w:val="20"/>
                <w:szCs w:val="20"/>
                <w:color w:val="auto"/>
              </w:rPr>
              <w:t>[†]</w:t>
            </w:r>
          </w:p>
        </w:tc>
        <w:tc>
          <w:tcPr>
            <w:tcW w:w="960" w:type="dxa"/>
            <w:vAlign w:val="bottom"/>
            <w:tcBorders>
              <w:bottom w:val="single" w:sz="8" w:color="auto"/>
              <w:right w:val="single" w:sz="8" w:color="auto"/>
            </w:tcBorders>
          </w:tcPr>
          <w:p>
            <w:pPr>
              <w:spacing w:after="0" w:line="223" w:lineRule="exact"/>
              <w:rPr>
                <w:sz w:val="20"/>
                <w:szCs w:val="20"/>
                <w:color w:val="auto"/>
              </w:rPr>
            </w:pPr>
            <w:r>
              <w:rPr>
                <w:rFonts w:ascii="Arial" w:cs="Arial" w:eastAsia="Arial" w:hAnsi="Arial"/>
                <w:sz w:val="20"/>
                <w:szCs w:val="20"/>
                <w:color w:val="auto"/>
              </w:rPr>
              <w:t>[†]</w:t>
            </w:r>
          </w:p>
        </w:tc>
        <w:tc>
          <w:tcPr>
            <w:tcW w:w="920" w:type="dxa"/>
            <w:vAlign w:val="bottom"/>
            <w:tcBorders>
              <w:bottom w:val="single" w:sz="8" w:color="auto"/>
              <w:right w:val="single" w:sz="8" w:color="auto"/>
            </w:tcBorders>
          </w:tcPr>
          <w:p>
            <w:pPr>
              <w:spacing w:after="0" w:line="223" w:lineRule="exact"/>
              <w:rPr>
                <w:sz w:val="20"/>
                <w:szCs w:val="20"/>
                <w:color w:val="auto"/>
              </w:rPr>
            </w:pPr>
            <w:r>
              <w:rPr>
                <w:rFonts w:ascii="Arial" w:cs="Arial" w:eastAsia="Arial" w:hAnsi="Arial"/>
                <w:sz w:val="20"/>
                <w:szCs w:val="20"/>
                <w:color w:val="auto"/>
              </w:rPr>
              <w:t>[†]</w:t>
            </w:r>
          </w:p>
        </w:tc>
        <w:tc>
          <w:tcPr>
            <w:tcW w:w="2560" w:type="dxa"/>
            <w:vAlign w:val="bottom"/>
            <w:tcBorders>
              <w:bottom w:val="single" w:sz="8" w:color="auto"/>
              <w:right w:val="single" w:sz="8" w:color="auto"/>
            </w:tcBorders>
          </w:tcPr>
          <w:p>
            <w:pPr>
              <w:spacing w:after="0" w:line="223" w:lineRule="exact"/>
              <w:rPr>
                <w:sz w:val="20"/>
                <w:szCs w:val="20"/>
                <w:color w:val="auto"/>
              </w:rPr>
            </w:pPr>
            <w:r>
              <w:rPr>
                <w:rFonts w:ascii="Arial" w:cs="Arial" w:eastAsia="Arial" w:hAnsi="Arial"/>
                <w:sz w:val="20"/>
                <w:szCs w:val="20"/>
                <w:color w:val="auto"/>
              </w:rPr>
              <w:t>[†]</w:t>
            </w:r>
          </w:p>
        </w:tc>
        <w:tc>
          <w:tcPr>
            <w:tcW w:w="760" w:type="dxa"/>
            <w:vAlign w:val="bottom"/>
            <w:tcBorders>
              <w:bottom w:val="single" w:sz="8" w:color="auto"/>
              <w:right w:val="single" w:sz="8" w:color="auto"/>
            </w:tcBorders>
          </w:tcPr>
          <w:p>
            <w:pPr>
              <w:spacing w:after="0" w:line="223" w:lineRule="exact"/>
              <w:rPr>
                <w:sz w:val="20"/>
                <w:szCs w:val="20"/>
                <w:color w:val="auto"/>
              </w:rPr>
            </w:pPr>
            <w:r>
              <w:rPr>
                <w:rFonts w:ascii="Arial" w:cs="Arial" w:eastAsia="Arial" w:hAnsi="Arial"/>
                <w:sz w:val="20"/>
                <w:szCs w:val="20"/>
                <w:color w:val="auto"/>
              </w:rPr>
              <w:t>[†]</w:t>
            </w:r>
          </w:p>
        </w:tc>
        <w:tc>
          <w:tcPr>
            <w:tcW w:w="1120" w:type="dxa"/>
            <w:vAlign w:val="bottom"/>
            <w:tcBorders>
              <w:bottom w:val="single" w:sz="8" w:color="auto"/>
              <w:right w:val="single" w:sz="8" w:color="auto"/>
            </w:tcBorders>
          </w:tcPr>
          <w:p>
            <w:pPr>
              <w:spacing w:after="0" w:line="223" w:lineRule="exact"/>
              <w:rPr>
                <w:sz w:val="20"/>
                <w:szCs w:val="20"/>
                <w:color w:val="auto"/>
              </w:rPr>
            </w:pPr>
            <w:r>
              <w:rPr>
                <w:rFonts w:ascii="Arial" w:cs="Arial" w:eastAsia="Arial" w:hAnsi="Arial"/>
                <w:sz w:val="20"/>
                <w:szCs w:val="20"/>
                <w:color w:val="auto"/>
              </w:rPr>
              <w:t>[†]</w:t>
            </w:r>
          </w:p>
        </w:tc>
        <w:tc>
          <w:tcPr>
            <w:tcW w:w="760" w:type="dxa"/>
            <w:vAlign w:val="bottom"/>
            <w:tcBorders>
              <w:bottom w:val="single" w:sz="8" w:color="auto"/>
              <w:right w:val="single" w:sz="8" w:color="auto"/>
            </w:tcBorders>
          </w:tcPr>
          <w:p>
            <w:pPr>
              <w:spacing w:after="0"/>
              <w:rPr>
                <w:sz w:val="19"/>
                <w:szCs w:val="19"/>
                <w:color w:val="auto"/>
              </w:rPr>
            </w:pPr>
          </w:p>
        </w:tc>
        <w:tc>
          <w:tcPr>
            <w:tcW w:w="760" w:type="dxa"/>
            <w:vAlign w:val="bottom"/>
            <w:tcBorders>
              <w:bottom w:val="single" w:sz="8" w:color="auto"/>
              <w:right w:val="single" w:sz="8" w:color="auto"/>
            </w:tcBorders>
          </w:tcPr>
          <w:p>
            <w:pPr>
              <w:spacing w:after="0"/>
              <w:rPr>
                <w:sz w:val="19"/>
                <w:szCs w:val="19"/>
                <w:color w:val="auto"/>
              </w:rPr>
            </w:pPr>
          </w:p>
        </w:tc>
        <w:tc>
          <w:tcPr>
            <w:tcW w:w="880" w:type="dxa"/>
            <w:vAlign w:val="bottom"/>
            <w:tcBorders>
              <w:bottom w:val="single" w:sz="8" w:color="auto"/>
              <w:right w:val="single" w:sz="8" w:color="auto"/>
            </w:tcBorders>
          </w:tcPr>
          <w:p>
            <w:pPr>
              <w:spacing w:after="0"/>
              <w:rPr>
                <w:sz w:val="19"/>
                <w:szCs w:val="19"/>
                <w:color w:val="auto"/>
              </w:rPr>
            </w:pPr>
          </w:p>
        </w:tc>
        <w:tc>
          <w:tcPr>
            <w:tcW w:w="840" w:type="dxa"/>
            <w:vAlign w:val="bottom"/>
            <w:tcBorders>
              <w:bottom w:val="single" w:sz="8" w:color="auto"/>
              <w:right w:val="single" w:sz="8" w:color="auto"/>
            </w:tcBorders>
          </w:tcPr>
          <w:p>
            <w:pPr>
              <w:spacing w:after="0"/>
              <w:rPr>
                <w:sz w:val="19"/>
                <w:szCs w:val="19"/>
                <w:color w:val="auto"/>
              </w:rPr>
            </w:pPr>
          </w:p>
        </w:tc>
        <w:tc>
          <w:tcPr>
            <w:tcW w:w="1040" w:type="dxa"/>
            <w:vAlign w:val="bottom"/>
            <w:tcBorders>
              <w:bottom w:val="single" w:sz="8" w:color="auto"/>
              <w:right w:val="single" w:sz="8" w:color="auto"/>
            </w:tcBorders>
          </w:tcPr>
          <w:p>
            <w:pPr>
              <w:spacing w:after="0" w:line="223" w:lineRule="exact"/>
              <w:rPr>
                <w:sz w:val="20"/>
                <w:szCs w:val="20"/>
                <w:color w:val="auto"/>
              </w:rPr>
            </w:pPr>
            <w:r>
              <w:rPr>
                <w:rFonts w:ascii="Arial" w:cs="Arial" w:eastAsia="Arial" w:hAnsi="Arial"/>
                <w:sz w:val="20"/>
                <w:szCs w:val="20"/>
                <w:color w:val="auto"/>
              </w:rPr>
              <w:t>[†]</w:t>
            </w:r>
          </w:p>
        </w:tc>
      </w:tr>
      <w:tr>
        <w:trPr>
          <w:trHeight w:val="223"/>
        </w:trPr>
        <w:tc>
          <w:tcPr>
            <w:tcW w:w="780" w:type="dxa"/>
            <w:vAlign w:val="bottom"/>
            <w:tcBorders>
              <w:left w:val="single" w:sz="8" w:color="auto"/>
              <w:bottom w:val="single" w:sz="8" w:color="auto"/>
              <w:right w:val="single" w:sz="8" w:color="auto"/>
            </w:tcBorders>
          </w:tcPr>
          <w:p>
            <w:pPr>
              <w:spacing w:after="0" w:line="223" w:lineRule="exact"/>
              <w:rPr>
                <w:sz w:val="20"/>
                <w:szCs w:val="20"/>
                <w:color w:val="auto"/>
              </w:rPr>
            </w:pPr>
            <w:r>
              <w:rPr>
                <w:rFonts w:ascii="Arial" w:cs="Arial" w:eastAsia="Arial" w:hAnsi="Arial"/>
                <w:sz w:val="20"/>
                <w:szCs w:val="20"/>
                <w:color w:val="auto"/>
              </w:rPr>
              <w:t>[†]</w:t>
            </w:r>
          </w:p>
        </w:tc>
        <w:tc>
          <w:tcPr>
            <w:tcW w:w="960" w:type="dxa"/>
            <w:vAlign w:val="bottom"/>
            <w:tcBorders>
              <w:bottom w:val="single" w:sz="8" w:color="auto"/>
              <w:right w:val="single" w:sz="8" w:color="auto"/>
            </w:tcBorders>
          </w:tcPr>
          <w:p>
            <w:pPr>
              <w:spacing w:after="0" w:line="223" w:lineRule="exact"/>
              <w:rPr>
                <w:sz w:val="20"/>
                <w:szCs w:val="20"/>
                <w:color w:val="auto"/>
              </w:rPr>
            </w:pPr>
            <w:r>
              <w:rPr>
                <w:rFonts w:ascii="Arial" w:cs="Arial" w:eastAsia="Arial" w:hAnsi="Arial"/>
                <w:sz w:val="20"/>
                <w:szCs w:val="20"/>
                <w:color w:val="auto"/>
              </w:rPr>
              <w:t>[†]</w:t>
            </w:r>
          </w:p>
        </w:tc>
        <w:tc>
          <w:tcPr>
            <w:tcW w:w="920" w:type="dxa"/>
            <w:vAlign w:val="bottom"/>
            <w:tcBorders>
              <w:bottom w:val="single" w:sz="8" w:color="auto"/>
              <w:right w:val="single" w:sz="8" w:color="auto"/>
            </w:tcBorders>
          </w:tcPr>
          <w:p>
            <w:pPr>
              <w:spacing w:after="0" w:line="223" w:lineRule="exact"/>
              <w:rPr>
                <w:sz w:val="20"/>
                <w:szCs w:val="20"/>
                <w:color w:val="auto"/>
              </w:rPr>
            </w:pPr>
            <w:r>
              <w:rPr>
                <w:rFonts w:ascii="Arial" w:cs="Arial" w:eastAsia="Arial" w:hAnsi="Arial"/>
                <w:sz w:val="20"/>
                <w:szCs w:val="20"/>
                <w:color w:val="auto"/>
              </w:rPr>
              <w:t>[†]</w:t>
            </w:r>
          </w:p>
        </w:tc>
        <w:tc>
          <w:tcPr>
            <w:tcW w:w="2560" w:type="dxa"/>
            <w:vAlign w:val="bottom"/>
            <w:tcBorders>
              <w:bottom w:val="single" w:sz="8" w:color="auto"/>
              <w:right w:val="single" w:sz="8" w:color="auto"/>
            </w:tcBorders>
          </w:tcPr>
          <w:p>
            <w:pPr>
              <w:spacing w:after="0" w:line="223" w:lineRule="exact"/>
              <w:rPr>
                <w:sz w:val="20"/>
                <w:szCs w:val="20"/>
                <w:color w:val="auto"/>
              </w:rPr>
            </w:pPr>
            <w:r>
              <w:rPr>
                <w:rFonts w:ascii="Arial" w:cs="Arial" w:eastAsia="Arial" w:hAnsi="Arial"/>
                <w:sz w:val="20"/>
                <w:szCs w:val="20"/>
                <w:color w:val="auto"/>
              </w:rPr>
              <w:t>[†]</w:t>
            </w:r>
          </w:p>
        </w:tc>
        <w:tc>
          <w:tcPr>
            <w:tcW w:w="760" w:type="dxa"/>
            <w:vAlign w:val="bottom"/>
            <w:tcBorders>
              <w:bottom w:val="single" w:sz="8" w:color="auto"/>
              <w:right w:val="single" w:sz="8" w:color="auto"/>
            </w:tcBorders>
          </w:tcPr>
          <w:p>
            <w:pPr>
              <w:spacing w:after="0" w:line="223" w:lineRule="exact"/>
              <w:rPr>
                <w:sz w:val="20"/>
                <w:szCs w:val="20"/>
                <w:color w:val="auto"/>
              </w:rPr>
            </w:pPr>
            <w:r>
              <w:rPr>
                <w:rFonts w:ascii="Arial" w:cs="Arial" w:eastAsia="Arial" w:hAnsi="Arial"/>
                <w:sz w:val="20"/>
                <w:szCs w:val="20"/>
                <w:color w:val="auto"/>
              </w:rPr>
              <w:t>[†]</w:t>
            </w:r>
          </w:p>
        </w:tc>
        <w:tc>
          <w:tcPr>
            <w:tcW w:w="1120" w:type="dxa"/>
            <w:vAlign w:val="bottom"/>
            <w:tcBorders>
              <w:bottom w:val="single" w:sz="8" w:color="auto"/>
              <w:right w:val="single" w:sz="8" w:color="auto"/>
            </w:tcBorders>
          </w:tcPr>
          <w:p>
            <w:pPr>
              <w:spacing w:after="0" w:line="223" w:lineRule="exact"/>
              <w:rPr>
                <w:sz w:val="20"/>
                <w:szCs w:val="20"/>
                <w:color w:val="auto"/>
              </w:rPr>
            </w:pPr>
            <w:r>
              <w:rPr>
                <w:rFonts w:ascii="Arial" w:cs="Arial" w:eastAsia="Arial" w:hAnsi="Arial"/>
                <w:sz w:val="20"/>
                <w:szCs w:val="20"/>
                <w:color w:val="auto"/>
              </w:rPr>
              <w:t>[†]</w:t>
            </w:r>
          </w:p>
        </w:tc>
        <w:tc>
          <w:tcPr>
            <w:tcW w:w="760" w:type="dxa"/>
            <w:vAlign w:val="bottom"/>
            <w:tcBorders>
              <w:bottom w:val="single" w:sz="8" w:color="auto"/>
              <w:right w:val="single" w:sz="8" w:color="auto"/>
            </w:tcBorders>
          </w:tcPr>
          <w:p>
            <w:pPr>
              <w:spacing w:after="0" w:line="223" w:lineRule="exact"/>
              <w:rPr>
                <w:sz w:val="20"/>
                <w:szCs w:val="20"/>
                <w:color w:val="auto"/>
              </w:rPr>
            </w:pPr>
            <w:r>
              <w:rPr>
                <w:rFonts w:ascii="Arial" w:cs="Arial" w:eastAsia="Arial" w:hAnsi="Arial"/>
                <w:sz w:val="20"/>
                <w:szCs w:val="20"/>
                <w:color w:val="auto"/>
              </w:rPr>
              <w:t>[†]</w:t>
            </w:r>
          </w:p>
        </w:tc>
        <w:tc>
          <w:tcPr>
            <w:tcW w:w="760" w:type="dxa"/>
            <w:vAlign w:val="bottom"/>
            <w:tcBorders>
              <w:bottom w:val="single" w:sz="8" w:color="auto"/>
              <w:right w:val="single" w:sz="8" w:color="auto"/>
            </w:tcBorders>
          </w:tcPr>
          <w:p>
            <w:pPr>
              <w:spacing w:after="0" w:line="223" w:lineRule="exact"/>
              <w:rPr>
                <w:sz w:val="20"/>
                <w:szCs w:val="20"/>
                <w:color w:val="auto"/>
              </w:rPr>
            </w:pPr>
            <w:r>
              <w:rPr>
                <w:rFonts w:ascii="Arial" w:cs="Arial" w:eastAsia="Arial" w:hAnsi="Arial"/>
                <w:sz w:val="20"/>
                <w:szCs w:val="20"/>
                <w:color w:val="auto"/>
              </w:rPr>
              <w:t>[†]</w:t>
            </w:r>
          </w:p>
        </w:tc>
        <w:tc>
          <w:tcPr>
            <w:tcW w:w="880" w:type="dxa"/>
            <w:vAlign w:val="bottom"/>
            <w:tcBorders>
              <w:bottom w:val="single" w:sz="8" w:color="auto"/>
              <w:right w:val="single" w:sz="8" w:color="auto"/>
            </w:tcBorders>
          </w:tcPr>
          <w:p>
            <w:pPr>
              <w:spacing w:after="0"/>
              <w:rPr>
                <w:sz w:val="19"/>
                <w:szCs w:val="19"/>
                <w:color w:val="auto"/>
              </w:rPr>
            </w:pPr>
          </w:p>
        </w:tc>
        <w:tc>
          <w:tcPr>
            <w:tcW w:w="840" w:type="dxa"/>
            <w:vAlign w:val="bottom"/>
            <w:tcBorders>
              <w:bottom w:val="single" w:sz="8" w:color="auto"/>
              <w:right w:val="single" w:sz="8" w:color="auto"/>
            </w:tcBorders>
          </w:tcPr>
          <w:p>
            <w:pPr>
              <w:spacing w:after="0"/>
              <w:rPr>
                <w:sz w:val="19"/>
                <w:szCs w:val="19"/>
                <w:color w:val="auto"/>
              </w:rPr>
            </w:pPr>
          </w:p>
        </w:tc>
        <w:tc>
          <w:tcPr>
            <w:tcW w:w="1040" w:type="dxa"/>
            <w:vAlign w:val="bottom"/>
            <w:tcBorders>
              <w:bottom w:val="single" w:sz="8" w:color="auto"/>
              <w:right w:val="single" w:sz="8" w:color="auto"/>
            </w:tcBorders>
          </w:tcPr>
          <w:p>
            <w:pPr>
              <w:spacing w:after="0" w:line="223" w:lineRule="exact"/>
              <w:rPr>
                <w:sz w:val="20"/>
                <w:szCs w:val="20"/>
                <w:color w:val="auto"/>
              </w:rPr>
            </w:pPr>
            <w:r>
              <w:rPr>
                <w:rFonts w:ascii="Arial" w:cs="Arial" w:eastAsia="Arial" w:hAnsi="Arial"/>
                <w:sz w:val="20"/>
                <w:szCs w:val="20"/>
                <w:color w:val="auto"/>
              </w:rPr>
              <w:t>[†]</w:t>
            </w:r>
          </w:p>
        </w:tc>
      </w:tr>
      <w:tr>
        <w:trPr>
          <w:trHeight w:val="223"/>
        </w:trPr>
        <w:tc>
          <w:tcPr>
            <w:tcW w:w="780" w:type="dxa"/>
            <w:vAlign w:val="bottom"/>
            <w:tcBorders>
              <w:left w:val="single" w:sz="8" w:color="auto"/>
              <w:bottom w:val="single" w:sz="8" w:color="auto"/>
              <w:right w:val="single" w:sz="8" w:color="auto"/>
            </w:tcBorders>
          </w:tcPr>
          <w:p>
            <w:pPr>
              <w:spacing w:after="0" w:line="223" w:lineRule="exact"/>
              <w:rPr>
                <w:sz w:val="20"/>
                <w:szCs w:val="20"/>
                <w:color w:val="auto"/>
              </w:rPr>
            </w:pPr>
            <w:r>
              <w:rPr>
                <w:rFonts w:ascii="Arial" w:cs="Arial" w:eastAsia="Arial" w:hAnsi="Arial"/>
                <w:sz w:val="20"/>
                <w:szCs w:val="20"/>
                <w:color w:val="auto"/>
              </w:rPr>
              <w:t>[†]</w:t>
            </w:r>
          </w:p>
        </w:tc>
        <w:tc>
          <w:tcPr>
            <w:tcW w:w="960" w:type="dxa"/>
            <w:vAlign w:val="bottom"/>
            <w:tcBorders>
              <w:bottom w:val="single" w:sz="8" w:color="auto"/>
              <w:right w:val="single" w:sz="8" w:color="auto"/>
            </w:tcBorders>
          </w:tcPr>
          <w:p>
            <w:pPr>
              <w:spacing w:after="0" w:line="223" w:lineRule="exact"/>
              <w:rPr>
                <w:sz w:val="20"/>
                <w:szCs w:val="20"/>
                <w:color w:val="auto"/>
              </w:rPr>
            </w:pPr>
            <w:r>
              <w:rPr>
                <w:rFonts w:ascii="Arial" w:cs="Arial" w:eastAsia="Arial" w:hAnsi="Arial"/>
                <w:sz w:val="20"/>
                <w:szCs w:val="20"/>
                <w:color w:val="auto"/>
              </w:rPr>
              <w:t>[†]</w:t>
            </w:r>
          </w:p>
        </w:tc>
        <w:tc>
          <w:tcPr>
            <w:tcW w:w="920" w:type="dxa"/>
            <w:vAlign w:val="bottom"/>
            <w:tcBorders>
              <w:bottom w:val="single" w:sz="8" w:color="auto"/>
              <w:right w:val="single" w:sz="8" w:color="auto"/>
            </w:tcBorders>
          </w:tcPr>
          <w:p>
            <w:pPr>
              <w:spacing w:after="0" w:line="223" w:lineRule="exact"/>
              <w:rPr>
                <w:sz w:val="20"/>
                <w:szCs w:val="20"/>
                <w:color w:val="auto"/>
              </w:rPr>
            </w:pPr>
            <w:r>
              <w:rPr>
                <w:rFonts w:ascii="Arial" w:cs="Arial" w:eastAsia="Arial" w:hAnsi="Arial"/>
                <w:sz w:val="20"/>
                <w:szCs w:val="20"/>
                <w:color w:val="auto"/>
              </w:rPr>
              <w:t>[†]</w:t>
            </w:r>
          </w:p>
        </w:tc>
        <w:tc>
          <w:tcPr>
            <w:tcW w:w="2560" w:type="dxa"/>
            <w:vAlign w:val="bottom"/>
            <w:tcBorders>
              <w:bottom w:val="single" w:sz="8" w:color="auto"/>
              <w:right w:val="single" w:sz="8" w:color="auto"/>
            </w:tcBorders>
          </w:tcPr>
          <w:p>
            <w:pPr>
              <w:spacing w:after="0" w:line="223" w:lineRule="exact"/>
              <w:rPr>
                <w:sz w:val="20"/>
                <w:szCs w:val="20"/>
                <w:color w:val="auto"/>
              </w:rPr>
            </w:pPr>
            <w:r>
              <w:rPr>
                <w:rFonts w:ascii="Arial" w:cs="Arial" w:eastAsia="Arial" w:hAnsi="Arial"/>
                <w:sz w:val="20"/>
                <w:szCs w:val="20"/>
                <w:color w:val="auto"/>
              </w:rPr>
              <w:t>[†]</w:t>
            </w:r>
          </w:p>
        </w:tc>
        <w:tc>
          <w:tcPr>
            <w:tcW w:w="760" w:type="dxa"/>
            <w:vAlign w:val="bottom"/>
            <w:tcBorders>
              <w:bottom w:val="single" w:sz="8" w:color="auto"/>
              <w:right w:val="single" w:sz="8" w:color="auto"/>
            </w:tcBorders>
          </w:tcPr>
          <w:p>
            <w:pPr>
              <w:spacing w:after="0" w:line="223" w:lineRule="exact"/>
              <w:rPr>
                <w:sz w:val="20"/>
                <w:szCs w:val="20"/>
                <w:color w:val="auto"/>
              </w:rPr>
            </w:pPr>
            <w:r>
              <w:rPr>
                <w:rFonts w:ascii="Arial" w:cs="Arial" w:eastAsia="Arial" w:hAnsi="Arial"/>
                <w:sz w:val="20"/>
                <w:szCs w:val="20"/>
                <w:color w:val="auto"/>
              </w:rPr>
              <w:t>[†]</w:t>
            </w:r>
          </w:p>
        </w:tc>
        <w:tc>
          <w:tcPr>
            <w:tcW w:w="1120" w:type="dxa"/>
            <w:vAlign w:val="bottom"/>
            <w:tcBorders>
              <w:bottom w:val="single" w:sz="8" w:color="auto"/>
              <w:right w:val="single" w:sz="8" w:color="auto"/>
            </w:tcBorders>
          </w:tcPr>
          <w:p>
            <w:pPr>
              <w:spacing w:after="0" w:line="223" w:lineRule="exact"/>
              <w:rPr>
                <w:sz w:val="20"/>
                <w:szCs w:val="20"/>
                <w:color w:val="auto"/>
              </w:rPr>
            </w:pPr>
            <w:r>
              <w:rPr>
                <w:rFonts w:ascii="Arial" w:cs="Arial" w:eastAsia="Arial" w:hAnsi="Arial"/>
                <w:sz w:val="20"/>
                <w:szCs w:val="20"/>
                <w:color w:val="auto"/>
              </w:rPr>
              <w:t>[†]</w:t>
            </w:r>
          </w:p>
        </w:tc>
        <w:tc>
          <w:tcPr>
            <w:tcW w:w="760" w:type="dxa"/>
            <w:vAlign w:val="bottom"/>
            <w:tcBorders>
              <w:bottom w:val="single" w:sz="8" w:color="auto"/>
              <w:right w:val="single" w:sz="8" w:color="auto"/>
            </w:tcBorders>
          </w:tcPr>
          <w:p>
            <w:pPr>
              <w:spacing w:after="0" w:line="223" w:lineRule="exact"/>
              <w:rPr>
                <w:sz w:val="20"/>
                <w:szCs w:val="20"/>
                <w:color w:val="auto"/>
              </w:rPr>
            </w:pPr>
            <w:r>
              <w:rPr>
                <w:rFonts w:ascii="Arial" w:cs="Arial" w:eastAsia="Arial" w:hAnsi="Arial"/>
                <w:sz w:val="20"/>
                <w:szCs w:val="20"/>
                <w:color w:val="auto"/>
              </w:rPr>
              <w:t>[†]</w:t>
            </w:r>
          </w:p>
        </w:tc>
        <w:tc>
          <w:tcPr>
            <w:tcW w:w="760" w:type="dxa"/>
            <w:vAlign w:val="bottom"/>
            <w:tcBorders>
              <w:bottom w:val="single" w:sz="8" w:color="auto"/>
              <w:right w:val="single" w:sz="8" w:color="auto"/>
            </w:tcBorders>
          </w:tcPr>
          <w:p>
            <w:pPr>
              <w:spacing w:after="0" w:line="223" w:lineRule="exact"/>
              <w:rPr>
                <w:sz w:val="20"/>
                <w:szCs w:val="20"/>
                <w:color w:val="auto"/>
              </w:rPr>
            </w:pPr>
            <w:r>
              <w:rPr>
                <w:rFonts w:ascii="Arial" w:cs="Arial" w:eastAsia="Arial" w:hAnsi="Arial"/>
                <w:sz w:val="20"/>
                <w:szCs w:val="20"/>
                <w:color w:val="auto"/>
              </w:rPr>
              <w:t>[†]</w:t>
            </w:r>
          </w:p>
        </w:tc>
        <w:tc>
          <w:tcPr>
            <w:tcW w:w="880" w:type="dxa"/>
            <w:vAlign w:val="bottom"/>
            <w:tcBorders>
              <w:bottom w:val="single" w:sz="8" w:color="auto"/>
              <w:right w:val="single" w:sz="8" w:color="auto"/>
            </w:tcBorders>
          </w:tcPr>
          <w:p>
            <w:pPr>
              <w:spacing w:after="0"/>
              <w:rPr>
                <w:sz w:val="19"/>
                <w:szCs w:val="19"/>
                <w:color w:val="auto"/>
              </w:rPr>
            </w:pPr>
          </w:p>
        </w:tc>
        <w:tc>
          <w:tcPr>
            <w:tcW w:w="840" w:type="dxa"/>
            <w:vAlign w:val="bottom"/>
            <w:tcBorders>
              <w:bottom w:val="single" w:sz="8" w:color="auto"/>
              <w:right w:val="single" w:sz="8" w:color="auto"/>
            </w:tcBorders>
          </w:tcPr>
          <w:p>
            <w:pPr>
              <w:spacing w:after="0"/>
              <w:rPr>
                <w:sz w:val="19"/>
                <w:szCs w:val="19"/>
                <w:color w:val="auto"/>
              </w:rPr>
            </w:pPr>
          </w:p>
        </w:tc>
        <w:tc>
          <w:tcPr>
            <w:tcW w:w="1040" w:type="dxa"/>
            <w:vAlign w:val="bottom"/>
            <w:tcBorders>
              <w:bottom w:val="single" w:sz="8" w:color="auto"/>
              <w:right w:val="single" w:sz="8" w:color="auto"/>
            </w:tcBorders>
          </w:tcPr>
          <w:p>
            <w:pPr>
              <w:spacing w:after="0" w:line="223" w:lineRule="exact"/>
              <w:rPr>
                <w:sz w:val="20"/>
                <w:szCs w:val="20"/>
                <w:color w:val="auto"/>
              </w:rPr>
            </w:pPr>
            <w:r>
              <w:rPr>
                <w:rFonts w:ascii="Arial" w:cs="Arial" w:eastAsia="Arial" w:hAnsi="Arial"/>
                <w:sz w:val="20"/>
                <w:szCs w:val="20"/>
                <w:color w:val="auto"/>
              </w:rPr>
              <w:t>[†]</w:t>
            </w:r>
          </w:p>
        </w:tc>
      </w:tr>
      <w:tr>
        <w:trPr>
          <w:trHeight w:val="223"/>
        </w:trPr>
        <w:tc>
          <w:tcPr>
            <w:tcW w:w="780" w:type="dxa"/>
            <w:vAlign w:val="bottom"/>
            <w:tcBorders>
              <w:left w:val="single" w:sz="8" w:color="auto"/>
              <w:bottom w:val="single" w:sz="8" w:color="auto"/>
              <w:right w:val="single" w:sz="8" w:color="auto"/>
            </w:tcBorders>
          </w:tcPr>
          <w:p>
            <w:pPr>
              <w:spacing w:after="0" w:line="223" w:lineRule="exact"/>
              <w:rPr>
                <w:sz w:val="20"/>
                <w:szCs w:val="20"/>
                <w:color w:val="auto"/>
              </w:rPr>
            </w:pPr>
            <w:r>
              <w:rPr>
                <w:rFonts w:ascii="Arial" w:cs="Arial" w:eastAsia="Arial" w:hAnsi="Arial"/>
                <w:sz w:val="20"/>
                <w:szCs w:val="20"/>
                <w:color w:val="auto"/>
              </w:rPr>
              <w:t>[†]</w:t>
            </w:r>
          </w:p>
        </w:tc>
        <w:tc>
          <w:tcPr>
            <w:tcW w:w="960" w:type="dxa"/>
            <w:vAlign w:val="bottom"/>
            <w:tcBorders>
              <w:bottom w:val="single" w:sz="8" w:color="auto"/>
              <w:right w:val="single" w:sz="8" w:color="auto"/>
            </w:tcBorders>
          </w:tcPr>
          <w:p>
            <w:pPr>
              <w:spacing w:after="0" w:line="223" w:lineRule="exact"/>
              <w:rPr>
                <w:sz w:val="20"/>
                <w:szCs w:val="20"/>
                <w:color w:val="auto"/>
              </w:rPr>
            </w:pPr>
            <w:r>
              <w:rPr>
                <w:rFonts w:ascii="Arial" w:cs="Arial" w:eastAsia="Arial" w:hAnsi="Arial"/>
                <w:sz w:val="20"/>
                <w:szCs w:val="20"/>
                <w:color w:val="auto"/>
              </w:rPr>
              <w:t>[†]</w:t>
            </w:r>
          </w:p>
        </w:tc>
        <w:tc>
          <w:tcPr>
            <w:tcW w:w="920" w:type="dxa"/>
            <w:vAlign w:val="bottom"/>
            <w:tcBorders>
              <w:bottom w:val="single" w:sz="8" w:color="auto"/>
              <w:right w:val="single" w:sz="8" w:color="auto"/>
            </w:tcBorders>
          </w:tcPr>
          <w:p>
            <w:pPr>
              <w:spacing w:after="0" w:line="223" w:lineRule="exact"/>
              <w:rPr>
                <w:sz w:val="20"/>
                <w:szCs w:val="20"/>
                <w:color w:val="auto"/>
              </w:rPr>
            </w:pPr>
            <w:r>
              <w:rPr>
                <w:rFonts w:ascii="Arial" w:cs="Arial" w:eastAsia="Arial" w:hAnsi="Arial"/>
                <w:sz w:val="20"/>
                <w:szCs w:val="20"/>
                <w:color w:val="auto"/>
              </w:rPr>
              <w:t>[†]</w:t>
            </w:r>
          </w:p>
        </w:tc>
        <w:tc>
          <w:tcPr>
            <w:tcW w:w="2560" w:type="dxa"/>
            <w:vAlign w:val="bottom"/>
            <w:tcBorders>
              <w:bottom w:val="single" w:sz="8" w:color="auto"/>
              <w:right w:val="single" w:sz="8" w:color="auto"/>
            </w:tcBorders>
          </w:tcPr>
          <w:p>
            <w:pPr>
              <w:spacing w:after="0" w:line="223" w:lineRule="exact"/>
              <w:rPr>
                <w:sz w:val="20"/>
                <w:szCs w:val="20"/>
                <w:color w:val="auto"/>
              </w:rPr>
            </w:pPr>
            <w:r>
              <w:rPr>
                <w:rFonts w:ascii="Arial" w:cs="Arial" w:eastAsia="Arial" w:hAnsi="Arial"/>
                <w:sz w:val="20"/>
                <w:szCs w:val="20"/>
                <w:color w:val="auto"/>
              </w:rPr>
              <w:t>[†]</w:t>
            </w:r>
          </w:p>
        </w:tc>
        <w:tc>
          <w:tcPr>
            <w:tcW w:w="760" w:type="dxa"/>
            <w:vAlign w:val="bottom"/>
            <w:tcBorders>
              <w:bottom w:val="single" w:sz="8" w:color="auto"/>
              <w:right w:val="single" w:sz="8" w:color="auto"/>
            </w:tcBorders>
          </w:tcPr>
          <w:p>
            <w:pPr>
              <w:spacing w:after="0" w:line="223" w:lineRule="exact"/>
              <w:rPr>
                <w:sz w:val="20"/>
                <w:szCs w:val="20"/>
                <w:color w:val="auto"/>
              </w:rPr>
            </w:pPr>
            <w:r>
              <w:rPr>
                <w:rFonts w:ascii="Arial" w:cs="Arial" w:eastAsia="Arial" w:hAnsi="Arial"/>
                <w:sz w:val="20"/>
                <w:szCs w:val="20"/>
                <w:color w:val="auto"/>
              </w:rPr>
              <w:t>[†]</w:t>
            </w:r>
          </w:p>
        </w:tc>
        <w:tc>
          <w:tcPr>
            <w:tcW w:w="1120" w:type="dxa"/>
            <w:vAlign w:val="bottom"/>
            <w:tcBorders>
              <w:bottom w:val="single" w:sz="8" w:color="auto"/>
              <w:right w:val="single" w:sz="8" w:color="auto"/>
            </w:tcBorders>
          </w:tcPr>
          <w:p>
            <w:pPr>
              <w:spacing w:after="0" w:line="223" w:lineRule="exact"/>
              <w:rPr>
                <w:sz w:val="20"/>
                <w:szCs w:val="20"/>
                <w:color w:val="auto"/>
              </w:rPr>
            </w:pPr>
            <w:r>
              <w:rPr>
                <w:rFonts w:ascii="Arial" w:cs="Arial" w:eastAsia="Arial" w:hAnsi="Arial"/>
                <w:sz w:val="20"/>
                <w:szCs w:val="20"/>
                <w:color w:val="auto"/>
              </w:rPr>
              <w:t>[†]</w:t>
            </w:r>
          </w:p>
        </w:tc>
        <w:tc>
          <w:tcPr>
            <w:tcW w:w="760" w:type="dxa"/>
            <w:vAlign w:val="bottom"/>
            <w:tcBorders>
              <w:bottom w:val="single" w:sz="8" w:color="auto"/>
              <w:right w:val="single" w:sz="8" w:color="auto"/>
            </w:tcBorders>
          </w:tcPr>
          <w:p>
            <w:pPr>
              <w:spacing w:after="0"/>
              <w:rPr>
                <w:sz w:val="19"/>
                <w:szCs w:val="19"/>
                <w:color w:val="auto"/>
              </w:rPr>
            </w:pPr>
          </w:p>
        </w:tc>
        <w:tc>
          <w:tcPr>
            <w:tcW w:w="760" w:type="dxa"/>
            <w:vAlign w:val="bottom"/>
            <w:tcBorders>
              <w:bottom w:val="single" w:sz="8" w:color="auto"/>
              <w:right w:val="single" w:sz="8" w:color="auto"/>
            </w:tcBorders>
          </w:tcPr>
          <w:p>
            <w:pPr>
              <w:spacing w:after="0"/>
              <w:rPr>
                <w:sz w:val="19"/>
                <w:szCs w:val="19"/>
                <w:color w:val="auto"/>
              </w:rPr>
            </w:pPr>
          </w:p>
        </w:tc>
        <w:tc>
          <w:tcPr>
            <w:tcW w:w="880" w:type="dxa"/>
            <w:vAlign w:val="bottom"/>
            <w:tcBorders>
              <w:bottom w:val="single" w:sz="8" w:color="auto"/>
              <w:right w:val="single" w:sz="8" w:color="auto"/>
            </w:tcBorders>
          </w:tcPr>
          <w:p>
            <w:pPr>
              <w:spacing w:after="0"/>
              <w:rPr>
                <w:sz w:val="19"/>
                <w:szCs w:val="19"/>
                <w:color w:val="auto"/>
              </w:rPr>
            </w:pPr>
          </w:p>
        </w:tc>
        <w:tc>
          <w:tcPr>
            <w:tcW w:w="840" w:type="dxa"/>
            <w:vAlign w:val="bottom"/>
            <w:tcBorders>
              <w:bottom w:val="single" w:sz="8" w:color="auto"/>
              <w:right w:val="single" w:sz="8" w:color="auto"/>
            </w:tcBorders>
          </w:tcPr>
          <w:p>
            <w:pPr>
              <w:spacing w:after="0"/>
              <w:rPr>
                <w:sz w:val="19"/>
                <w:szCs w:val="19"/>
                <w:color w:val="auto"/>
              </w:rPr>
            </w:pPr>
          </w:p>
        </w:tc>
        <w:tc>
          <w:tcPr>
            <w:tcW w:w="1040" w:type="dxa"/>
            <w:vAlign w:val="bottom"/>
            <w:tcBorders>
              <w:bottom w:val="single" w:sz="8" w:color="auto"/>
              <w:right w:val="single" w:sz="8" w:color="auto"/>
            </w:tcBorders>
          </w:tcPr>
          <w:p>
            <w:pPr>
              <w:spacing w:after="0" w:line="223" w:lineRule="exact"/>
              <w:rPr>
                <w:sz w:val="20"/>
                <w:szCs w:val="20"/>
                <w:color w:val="auto"/>
              </w:rPr>
            </w:pPr>
            <w:r>
              <w:rPr>
                <w:rFonts w:ascii="Arial" w:cs="Arial" w:eastAsia="Arial" w:hAnsi="Arial"/>
                <w:sz w:val="20"/>
                <w:szCs w:val="20"/>
                <w:color w:val="auto"/>
              </w:rPr>
              <w:t>[†]</w:t>
            </w:r>
          </w:p>
        </w:tc>
      </w:tr>
      <w:tr>
        <w:trPr>
          <w:trHeight w:val="223"/>
        </w:trPr>
        <w:tc>
          <w:tcPr>
            <w:tcW w:w="780" w:type="dxa"/>
            <w:vAlign w:val="bottom"/>
            <w:tcBorders>
              <w:left w:val="single" w:sz="8" w:color="auto"/>
              <w:bottom w:val="single" w:sz="8" w:color="auto"/>
              <w:right w:val="single" w:sz="8" w:color="auto"/>
            </w:tcBorders>
          </w:tcPr>
          <w:p>
            <w:pPr>
              <w:spacing w:after="0" w:line="223" w:lineRule="exact"/>
              <w:rPr>
                <w:sz w:val="20"/>
                <w:szCs w:val="20"/>
                <w:color w:val="auto"/>
              </w:rPr>
            </w:pPr>
            <w:r>
              <w:rPr>
                <w:rFonts w:ascii="Arial" w:cs="Arial" w:eastAsia="Arial" w:hAnsi="Arial"/>
                <w:sz w:val="20"/>
                <w:szCs w:val="20"/>
                <w:color w:val="auto"/>
              </w:rPr>
              <w:t>[†]</w:t>
            </w:r>
          </w:p>
        </w:tc>
        <w:tc>
          <w:tcPr>
            <w:tcW w:w="960" w:type="dxa"/>
            <w:vAlign w:val="bottom"/>
            <w:tcBorders>
              <w:bottom w:val="single" w:sz="8" w:color="auto"/>
              <w:right w:val="single" w:sz="8" w:color="auto"/>
            </w:tcBorders>
          </w:tcPr>
          <w:p>
            <w:pPr>
              <w:spacing w:after="0" w:line="223" w:lineRule="exact"/>
              <w:rPr>
                <w:sz w:val="20"/>
                <w:szCs w:val="20"/>
                <w:color w:val="auto"/>
              </w:rPr>
            </w:pPr>
            <w:r>
              <w:rPr>
                <w:rFonts w:ascii="Arial" w:cs="Arial" w:eastAsia="Arial" w:hAnsi="Arial"/>
                <w:sz w:val="20"/>
                <w:szCs w:val="20"/>
                <w:color w:val="auto"/>
              </w:rPr>
              <w:t>[†]</w:t>
            </w:r>
          </w:p>
        </w:tc>
        <w:tc>
          <w:tcPr>
            <w:tcW w:w="920" w:type="dxa"/>
            <w:vAlign w:val="bottom"/>
            <w:tcBorders>
              <w:bottom w:val="single" w:sz="8" w:color="auto"/>
              <w:right w:val="single" w:sz="8" w:color="auto"/>
            </w:tcBorders>
          </w:tcPr>
          <w:p>
            <w:pPr>
              <w:spacing w:after="0" w:line="223" w:lineRule="exact"/>
              <w:rPr>
                <w:sz w:val="20"/>
                <w:szCs w:val="20"/>
                <w:color w:val="auto"/>
              </w:rPr>
            </w:pPr>
            <w:r>
              <w:rPr>
                <w:rFonts w:ascii="Arial" w:cs="Arial" w:eastAsia="Arial" w:hAnsi="Arial"/>
                <w:sz w:val="20"/>
                <w:szCs w:val="20"/>
                <w:color w:val="auto"/>
              </w:rPr>
              <w:t>[†]</w:t>
            </w:r>
          </w:p>
        </w:tc>
        <w:tc>
          <w:tcPr>
            <w:tcW w:w="2560" w:type="dxa"/>
            <w:vAlign w:val="bottom"/>
            <w:tcBorders>
              <w:bottom w:val="single" w:sz="8" w:color="auto"/>
              <w:right w:val="single" w:sz="8" w:color="auto"/>
            </w:tcBorders>
          </w:tcPr>
          <w:p>
            <w:pPr>
              <w:spacing w:after="0" w:line="223" w:lineRule="exact"/>
              <w:rPr>
                <w:sz w:val="20"/>
                <w:szCs w:val="20"/>
                <w:color w:val="auto"/>
              </w:rPr>
            </w:pPr>
            <w:r>
              <w:rPr>
                <w:rFonts w:ascii="Arial" w:cs="Arial" w:eastAsia="Arial" w:hAnsi="Arial"/>
                <w:sz w:val="20"/>
                <w:szCs w:val="20"/>
                <w:color w:val="auto"/>
              </w:rPr>
              <w:t>[†]</w:t>
            </w:r>
          </w:p>
        </w:tc>
        <w:tc>
          <w:tcPr>
            <w:tcW w:w="760" w:type="dxa"/>
            <w:vAlign w:val="bottom"/>
            <w:tcBorders>
              <w:bottom w:val="single" w:sz="8" w:color="auto"/>
              <w:right w:val="single" w:sz="8" w:color="auto"/>
            </w:tcBorders>
          </w:tcPr>
          <w:p>
            <w:pPr>
              <w:spacing w:after="0" w:line="223" w:lineRule="exact"/>
              <w:rPr>
                <w:sz w:val="20"/>
                <w:szCs w:val="20"/>
                <w:color w:val="auto"/>
              </w:rPr>
            </w:pPr>
            <w:r>
              <w:rPr>
                <w:rFonts w:ascii="Arial" w:cs="Arial" w:eastAsia="Arial" w:hAnsi="Arial"/>
                <w:sz w:val="20"/>
                <w:szCs w:val="20"/>
                <w:color w:val="auto"/>
              </w:rPr>
              <w:t>[†]</w:t>
            </w:r>
          </w:p>
        </w:tc>
        <w:tc>
          <w:tcPr>
            <w:tcW w:w="1120" w:type="dxa"/>
            <w:vAlign w:val="bottom"/>
            <w:tcBorders>
              <w:bottom w:val="single" w:sz="8" w:color="auto"/>
              <w:right w:val="single" w:sz="8" w:color="auto"/>
            </w:tcBorders>
          </w:tcPr>
          <w:p>
            <w:pPr>
              <w:spacing w:after="0" w:line="223" w:lineRule="exact"/>
              <w:rPr>
                <w:sz w:val="20"/>
                <w:szCs w:val="20"/>
                <w:color w:val="auto"/>
              </w:rPr>
            </w:pPr>
            <w:r>
              <w:rPr>
                <w:rFonts w:ascii="Arial" w:cs="Arial" w:eastAsia="Arial" w:hAnsi="Arial"/>
                <w:sz w:val="20"/>
                <w:szCs w:val="20"/>
                <w:color w:val="auto"/>
              </w:rPr>
              <w:t>[†]</w:t>
            </w:r>
          </w:p>
        </w:tc>
        <w:tc>
          <w:tcPr>
            <w:tcW w:w="760" w:type="dxa"/>
            <w:vAlign w:val="bottom"/>
            <w:tcBorders>
              <w:bottom w:val="single" w:sz="8" w:color="auto"/>
              <w:right w:val="single" w:sz="8" w:color="auto"/>
            </w:tcBorders>
          </w:tcPr>
          <w:p>
            <w:pPr>
              <w:spacing w:after="0" w:line="223" w:lineRule="exact"/>
              <w:rPr>
                <w:sz w:val="20"/>
                <w:szCs w:val="20"/>
                <w:color w:val="auto"/>
              </w:rPr>
            </w:pPr>
            <w:r>
              <w:rPr>
                <w:rFonts w:ascii="Arial" w:cs="Arial" w:eastAsia="Arial" w:hAnsi="Arial"/>
                <w:sz w:val="20"/>
                <w:szCs w:val="20"/>
                <w:color w:val="auto"/>
              </w:rPr>
              <w:t>[†]</w:t>
            </w:r>
          </w:p>
        </w:tc>
        <w:tc>
          <w:tcPr>
            <w:tcW w:w="760" w:type="dxa"/>
            <w:vAlign w:val="bottom"/>
            <w:tcBorders>
              <w:bottom w:val="single" w:sz="8" w:color="auto"/>
              <w:right w:val="single" w:sz="8" w:color="auto"/>
            </w:tcBorders>
          </w:tcPr>
          <w:p>
            <w:pPr>
              <w:spacing w:after="0" w:line="223" w:lineRule="exact"/>
              <w:rPr>
                <w:sz w:val="20"/>
                <w:szCs w:val="20"/>
                <w:color w:val="auto"/>
              </w:rPr>
            </w:pPr>
            <w:r>
              <w:rPr>
                <w:rFonts w:ascii="Arial" w:cs="Arial" w:eastAsia="Arial" w:hAnsi="Arial"/>
                <w:sz w:val="20"/>
                <w:szCs w:val="20"/>
                <w:color w:val="auto"/>
              </w:rPr>
              <w:t>[†]</w:t>
            </w:r>
          </w:p>
        </w:tc>
        <w:tc>
          <w:tcPr>
            <w:tcW w:w="880" w:type="dxa"/>
            <w:vAlign w:val="bottom"/>
            <w:tcBorders>
              <w:bottom w:val="single" w:sz="8" w:color="auto"/>
              <w:right w:val="single" w:sz="8" w:color="auto"/>
            </w:tcBorders>
          </w:tcPr>
          <w:p>
            <w:pPr>
              <w:spacing w:after="0" w:line="223" w:lineRule="exact"/>
              <w:rPr>
                <w:sz w:val="20"/>
                <w:szCs w:val="20"/>
                <w:color w:val="auto"/>
              </w:rPr>
            </w:pPr>
            <w:r>
              <w:rPr>
                <w:rFonts w:ascii="Arial" w:cs="Arial" w:eastAsia="Arial" w:hAnsi="Arial"/>
                <w:sz w:val="20"/>
                <w:szCs w:val="20"/>
                <w:color w:val="auto"/>
              </w:rPr>
              <w:t>[†]</w:t>
            </w:r>
          </w:p>
        </w:tc>
        <w:tc>
          <w:tcPr>
            <w:tcW w:w="840" w:type="dxa"/>
            <w:vAlign w:val="bottom"/>
            <w:tcBorders>
              <w:bottom w:val="single" w:sz="8" w:color="auto"/>
              <w:right w:val="single" w:sz="8" w:color="auto"/>
            </w:tcBorders>
          </w:tcPr>
          <w:p>
            <w:pPr>
              <w:spacing w:after="0" w:line="223" w:lineRule="exact"/>
              <w:rPr>
                <w:sz w:val="20"/>
                <w:szCs w:val="20"/>
                <w:color w:val="auto"/>
              </w:rPr>
            </w:pPr>
            <w:r>
              <w:rPr>
                <w:rFonts w:ascii="Arial" w:cs="Arial" w:eastAsia="Arial" w:hAnsi="Arial"/>
                <w:sz w:val="20"/>
                <w:szCs w:val="20"/>
                <w:color w:val="auto"/>
              </w:rPr>
              <w:t>[†]</w:t>
            </w:r>
          </w:p>
        </w:tc>
        <w:tc>
          <w:tcPr>
            <w:tcW w:w="1040" w:type="dxa"/>
            <w:vAlign w:val="bottom"/>
            <w:tcBorders>
              <w:bottom w:val="single" w:sz="8" w:color="auto"/>
              <w:right w:val="single" w:sz="8" w:color="auto"/>
            </w:tcBorders>
          </w:tcPr>
          <w:p>
            <w:pPr>
              <w:spacing w:after="0" w:line="223" w:lineRule="exact"/>
              <w:rPr>
                <w:sz w:val="20"/>
                <w:szCs w:val="20"/>
                <w:color w:val="auto"/>
              </w:rPr>
            </w:pPr>
            <w:r>
              <w:rPr>
                <w:rFonts w:ascii="Arial" w:cs="Arial" w:eastAsia="Arial" w:hAnsi="Arial"/>
                <w:sz w:val="20"/>
                <w:szCs w:val="20"/>
                <w:color w:val="auto"/>
              </w:rPr>
              <w:t>[†]</w:t>
            </w:r>
          </w:p>
        </w:tc>
      </w:tr>
      <w:tr>
        <w:trPr>
          <w:trHeight w:val="223"/>
        </w:trPr>
        <w:tc>
          <w:tcPr>
            <w:tcW w:w="780" w:type="dxa"/>
            <w:vAlign w:val="bottom"/>
            <w:tcBorders>
              <w:left w:val="single" w:sz="8" w:color="auto"/>
              <w:bottom w:val="single" w:sz="8" w:color="auto"/>
              <w:right w:val="single" w:sz="8" w:color="auto"/>
            </w:tcBorders>
          </w:tcPr>
          <w:p>
            <w:pPr>
              <w:spacing w:after="0" w:line="223" w:lineRule="exact"/>
              <w:rPr>
                <w:sz w:val="20"/>
                <w:szCs w:val="20"/>
                <w:color w:val="auto"/>
              </w:rPr>
            </w:pPr>
            <w:r>
              <w:rPr>
                <w:rFonts w:ascii="Arial" w:cs="Arial" w:eastAsia="Arial" w:hAnsi="Arial"/>
                <w:sz w:val="20"/>
                <w:szCs w:val="20"/>
                <w:color w:val="auto"/>
              </w:rPr>
              <w:t>[†]</w:t>
            </w:r>
          </w:p>
        </w:tc>
        <w:tc>
          <w:tcPr>
            <w:tcW w:w="960" w:type="dxa"/>
            <w:vAlign w:val="bottom"/>
            <w:tcBorders>
              <w:bottom w:val="single" w:sz="8" w:color="auto"/>
              <w:right w:val="single" w:sz="8" w:color="auto"/>
            </w:tcBorders>
          </w:tcPr>
          <w:p>
            <w:pPr>
              <w:spacing w:after="0" w:line="223" w:lineRule="exact"/>
              <w:rPr>
                <w:sz w:val="20"/>
                <w:szCs w:val="20"/>
                <w:color w:val="auto"/>
              </w:rPr>
            </w:pPr>
            <w:r>
              <w:rPr>
                <w:rFonts w:ascii="Arial" w:cs="Arial" w:eastAsia="Arial" w:hAnsi="Arial"/>
                <w:sz w:val="20"/>
                <w:szCs w:val="20"/>
                <w:color w:val="auto"/>
              </w:rPr>
              <w:t>[†]</w:t>
            </w:r>
          </w:p>
        </w:tc>
        <w:tc>
          <w:tcPr>
            <w:tcW w:w="920" w:type="dxa"/>
            <w:vAlign w:val="bottom"/>
            <w:tcBorders>
              <w:bottom w:val="single" w:sz="8" w:color="auto"/>
              <w:right w:val="single" w:sz="8" w:color="auto"/>
            </w:tcBorders>
          </w:tcPr>
          <w:p>
            <w:pPr>
              <w:spacing w:after="0" w:line="223" w:lineRule="exact"/>
              <w:rPr>
                <w:sz w:val="20"/>
                <w:szCs w:val="20"/>
                <w:color w:val="auto"/>
              </w:rPr>
            </w:pPr>
            <w:r>
              <w:rPr>
                <w:rFonts w:ascii="Arial" w:cs="Arial" w:eastAsia="Arial" w:hAnsi="Arial"/>
                <w:sz w:val="20"/>
                <w:szCs w:val="20"/>
                <w:color w:val="auto"/>
              </w:rPr>
              <w:t>[†]</w:t>
            </w:r>
          </w:p>
        </w:tc>
        <w:tc>
          <w:tcPr>
            <w:tcW w:w="2560" w:type="dxa"/>
            <w:vAlign w:val="bottom"/>
            <w:tcBorders>
              <w:bottom w:val="single" w:sz="8" w:color="auto"/>
              <w:right w:val="single" w:sz="8" w:color="auto"/>
            </w:tcBorders>
          </w:tcPr>
          <w:p>
            <w:pPr>
              <w:spacing w:after="0" w:line="223" w:lineRule="exact"/>
              <w:rPr>
                <w:sz w:val="20"/>
                <w:szCs w:val="20"/>
                <w:color w:val="auto"/>
              </w:rPr>
            </w:pPr>
            <w:r>
              <w:rPr>
                <w:rFonts w:ascii="Arial" w:cs="Arial" w:eastAsia="Arial" w:hAnsi="Arial"/>
                <w:sz w:val="20"/>
                <w:szCs w:val="20"/>
                <w:color w:val="auto"/>
              </w:rPr>
              <w:t>[†]</w:t>
            </w:r>
          </w:p>
        </w:tc>
        <w:tc>
          <w:tcPr>
            <w:tcW w:w="760" w:type="dxa"/>
            <w:vAlign w:val="bottom"/>
            <w:tcBorders>
              <w:bottom w:val="single" w:sz="8" w:color="auto"/>
              <w:right w:val="single" w:sz="8" w:color="auto"/>
            </w:tcBorders>
          </w:tcPr>
          <w:p>
            <w:pPr>
              <w:spacing w:after="0" w:line="223" w:lineRule="exact"/>
              <w:rPr>
                <w:sz w:val="20"/>
                <w:szCs w:val="20"/>
                <w:color w:val="auto"/>
              </w:rPr>
            </w:pPr>
            <w:r>
              <w:rPr>
                <w:rFonts w:ascii="Arial" w:cs="Arial" w:eastAsia="Arial" w:hAnsi="Arial"/>
                <w:sz w:val="20"/>
                <w:szCs w:val="20"/>
                <w:color w:val="auto"/>
              </w:rPr>
              <w:t>[†]</w:t>
            </w:r>
          </w:p>
        </w:tc>
        <w:tc>
          <w:tcPr>
            <w:tcW w:w="1120" w:type="dxa"/>
            <w:vAlign w:val="bottom"/>
            <w:tcBorders>
              <w:bottom w:val="single" w:sz="8" w:color="auto"/>
              <w:right w:val="single" w:sz="8" w:color="auto"/>
            </w:tcBorders>
          </w:tcPr>
          <w:p>
            <w:pPr>
              <w:spacing w:after="0" w:line="223" w:lineRule="exact"/>
              <w:rPr>
                <w:sz w:val="20"/>
                <w:szCs w:val="20"/>
                <w:color w:val="auto"/>
              </w:rPr>
            </w:pPr>
            <w:r>
              <w:rPr>
                <w:rFonts w:ascii="Arial" w:cs="Arial" w:eastAsia="Arial" w:hAnsi="Arial"/>
                <w:sz w:val="20"/>
                <w:szCs w:val="20"/>
                <w:color w:val="auto"/>
              </w:rPr>
              <w:t>[†]</w:t>
            </w:r>
          </w:p>
        </w:tc>
        <w:tc>
          <w:tcPr>
            <w:tcW w:w="760" w:type="dxa"/>
            <w:vAlign w:val="bottom"/>
            <w:tcBorders>
              <w:bottom w:val="single" w:sz="8" w:color="auto"/>
              <w:right w:val="single" w:sz="8" w:color="auto"/>
            </w:tcBorders>
          </w:tcPr>
          <w:p>
            <w:pPr>
              <w:spacing w:after="0" w:line="223" w:lineRule="exact"/>
              <w:rPr>
                <w:sz w:val="20"/>
                <w:szCs w:val="20"/>
                <w:color w:val="auto"/>
              </w:rPr>
            </w:pPr>
            <w:r>
              <w:rPr>
                <w:rFonts w:ascii="Arial" w:cs="Arial" w:eastAsia="Arial" w:hAnsi="Arial"/>
                <w:sz w:val="20"/>
                <w:szCs w:val="20"/>
                <w:color w:val="auto"/>
              </w:rPr>
              <w:t>[†]</w:t>
            </w:r>
          </w:p>
        </w:tc>
        <w:tc>
          <w:tcPr>
            <w:tcW w:w="760" w:type="dxa"/>
            <w:vAlign w:val="bottom"/>
            <w:tcBorders>
              <w:bottom w:val="single" w:sz="8" w:color="auto"/>
              <w:right w:val="single" w:sz="8" w:color="auto"/>
            </w:tcBorders>
          </w:tcPr>
          <w:p>
            <w:pPr>
              <w:spacing w:after="0" w:line="223" w:lineRule="exact"/>
              <w:rPr>
                <w:sz w:val="20"/>
                <w:szCs w:val="20"/>
                <w:color w:val="auto"/>
              </w:rPr>
            </w:pPr>
            <w:r>
              <w:rPr>
                <w:rFonts w:ascii="Arial" w:cs="Arial" w:eastAsia="Arial" w:hAnsi="Arial"/>
                <w:sz w:val="20"/>
                <w:szCs w:val="20"/>
                <w:color w:val="auto"/>
              </w:rPr>
              <w:t>[†]</w:t>
            </w:r>
          </w:p>
        </w:tc>
        <w:tc>
          <w:tcPr>
            <w:tcW w:w="880" w:type="dxa"/>
            <w:vAlign w:val="bottom"/>
            <w:tcBorders>
              <w:bottom w:val="single" w:sz="8" w:color="auto"/>
              <w:right w:val="single" w:sz="8" w:color="auto"/>
            </w:tcBorders>
          </w:tcPr>
          <w:p>
            <w:pPr>
              <w:spacing w:after="0" w:line="223" w:lineRule="exact"/>
              <w:rPr>
                <w:sz w:val="20"/>
                <w:szCs w:val="20"/>
                <w:color w:val="auto"/>
              </w:rPr>
            </w:pPr>
            <w:r>
              <w:rPr>
                <w:rFonts w:ascii="Arial" w:cs="Arial" w:eastAsia="Arial" w:hAnsi="Arial"/>
                <w:sz w:val="20"/>
                <w:szCs w:val="20"/>
                <w:color w:val="auto"/>
              </w:rPr>
              <w:t>[†]</w:t>
            </w:r>
          </w:p>
        </w:tc>
        <w:tc>
          <w:tcPr>
            <w:tcW w:w="840" w:type="dxa"/>
            <w:vAlign w:val="bottom"/>
            <w:tcBorders>
              <w:bottom w:val="single" w:sz="8" w:color="auto"/>
              <w:right w:val="single" w:sz="8" w:color="auto"/>
            </w:tcBorders>
          </w:tcPr>
          <w:p>
            <w:pPr>
              <w:spacing w:after="0" w:line="223" w:lineRule="exact"/>
              <w:rPr>
                <w:sz w:val="20"/>
                <w:szCs w:val="20"/>
                <w:color w:val="auto"/>
              </w:rPr>
            </w:pPr>
            <w:r>
              <w:rPr>
                <w:rFonts w:ascii="Arial" w:cs="Arial" w:eastAsia="Arial" w:hAnsi="Arial"/>
                <w:sz w:val="20"/>
                <w:szCs w:val="20"/>
                <w:color w:val="auto"/>
              </w:rPr>
              <w:t>[†]</w:t>
            </w:r>
          </w:p>
        </w:tc>
        <w:tc>
          <w:tcPr>
            <w:tcW w:w="1040" w:type="dxa"/>
            <w:vAlign w:val="bottom"/>
            <w:tcBorders>
              <w:bottom w:val="single" w:sz="8" w:color="auto"/>
              <w:right w:val="single" w:sz="8" w:color="auto"/>
            </w:tcBorders>
          </w:tcPr>
          <w:p>
            <w:pPr>
              <w:spacing w:after="0" w:line="223" w:lineRule="exact"/>
              <w:rPr>
                <w:sz w:val="20"/>
                <w:szCs w:val="20"/>
                <w:color w:val="auto"/>
              </w:rPr>
            </w:pPr>
            <w:r>
              <w:rPr>
                <w:rFonts w:ascii="Arial" w:cs="Arial" w:eastAsia="Arial" w:hAnsi="Arial"/>
                <w:sz w:val="20"/>
                <w:szCs w:val="20"/>
                <w:color w:val="auto"/>
              </w:rPr>
              <w:t>[†]</w:t>
            </w:r>
          </w:p>
        </w:tc>
      </w:tr>
    </w:tbl>
    <w:p>
      <w:pPr>
        <w:spacing w:after="0" w:line="197" w:lineRule="exact"/>
        <w:rPr>
          <w:sz w:val="20"/>
          <w:szCs w:val="20"/>
          <w:color w:val="auto"/>
        </w:rPr>
      </w:pPr>
    </w:p>
    <w:p>
      <w:pPr>
        <w:ind w:right="40" w:firstLine="8"/>
        <w:spacing w:after="0" w:line="253" w:lineRule="auto"/>
        <w:tabs>
          <w:tab w:leader="none" w:pos="204" w:val="left"/>
        </w:tabs>
        <w:numPr>
          <w:ilvl w:val="0"/>
          <w:numId w:val="191"/>
        </w:numPr>
        <w:rPr>
          <w:rFonts w:ascii="Arial" w:cs="Arial" w:eastAsia="Arial" w:hAnsi="Arial"/>
          <w:sz w:val="14"/>
          <w:szCs w:val="14"/>
          <w:color w:val="auto"/>
        </w:rPr>
      </w:pPr>
      <w:r>
        <w:rPr>
          <w:rFonts w:ascii="Arial" w:cs="Arial" w:eastAsia="Arial" w:hAnsi="Arial"/>
          <w:sz w:val="14"/>
          <w:szCs w:val="14"/>
          <w:color w:val="auto"/>
        </w:rPr>
        <w:t>DESIGNATES PORTIONS OF THIS DOCUMENT THAT HAVE BEEN OMITTED PURSUANT TO A REQUEST FOR CONFIDENTIAL TREATMENT FILED SEPARATELY WITH THE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40640</wp:posOffset>
            </wp:positionV>
            <wp:extent cx="7289165" cy="425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9" w:right="239" w:bottom="1440" w:gutter="0" w:footer="0" w:header="0"/>
        </w:sectPr>
      </w:pPr>
    </w:p>
    <w:bookmarkStart w:id="140" w:name="page141"/>
    <w:bookmarkEnd w:id="140"/>
    <w:tbl>
      <w:tblPr>
        <w:tblLayout w:type="fixed"/>
        <w:tblInd w:w="50" w:type="dxa"/>
        <w:tblCellMar>
          <w:top w:w="0" w:type="dxa"/>
          <w:left w:w="0" w:type="dxa"/>
          <w:bottom w:w="0" w:type="dxa"/>
          <w:right w:w="0" w:type="dxa"/>
        </w:tblCellMar>
      </w:tblPr>
      <w:tr>
        <w:trPr>
          <w:trHeight w:val="139"/>
        </w:trPr>
        <w:tc>
          <w:tcPr>
            <w:tcW w:w="780" w:type="dxa"/>
            <w:vAlign w:val="bottom"/>
            <w:tcBorders>
              <w:top w:val="single" w:sz="8" w:color="auto"/>
              <w:left w:val="single" w:sz="8" w:color="auto"/>
              <w:right w:val="single" w:sz="8" w:color="auto"/>
            </w:tcBorders>
          </w:tcPr>
          <w:p>
            <w:pPr>
              <w:spacing w:after="0" w:line="139" w:lineRule="exact"/>
              <w:rPr>
                <w:sz w:val="20"/>
                <w:szCs w:val="20"/>
                <w:color w:val="auto"/>
              </w:rPr>
            </w:pPr>
            <w:r>
              <w:rPr>
                <w:rFonts w:ascii="Arial" w:cs="Arial" w:eastAsia="Arial" w:hAnsi="Arial"/>
                <w:sz w:val="14"/>
                <w:szCs w:val="14"/>
                <w:b w:val="1"/>
                <w:bCs w:val="1"/>
                <w:color w:val="auto"/>
              </w:rPr>
              <w:t>Part of</w:t>
            </w:r>
          </w:p>
        </w:tc>
        <w:tc>
          <w:tcPr>
            <w:tcW w:w="960" w:type="dxa"/>
            <w:vAlign w:val="bottom"/>
            <w:tcBorders>
              <w:top w:val="single" w:sz="8" w:color="auto"/>
              <w:right w:val="single" w:sz="8" w:color="auto"/>
            </w:tcBorders>
          </w:tcPr>
          <w:p>
            <w:pPr>
              <w:spacing w:after="0" w:line="139" w:lineRule="exact"/>
              <w:rPr>
                <w:sz w:val="20"/>
                <w:szCs w:val="20"/>
                <w:color w:val="auto"/>
              </w:rPr>
            </w:pPr>
            <w:r>
              <w:rPr>
                <w:rFonts w:ascii="Arial" w:cs="Arial" w:eastAsia="Arial" w:hAnsi="Arial"/>
                <w:sz w:val="14"/>
                <w:szCs w:val="14"/>
                <w:b w:val="1"/>
                <w:bCs w:val="1"/>
                <w:color w:val="auto"/>
              </w:rPr>
              <w:t>Brinks Gilson</w:t>
            </w:r>
          </w:p>
        </w:tc>
        <w:tc>
          <w:tcPr>
            <w:tcW w:w="920" w:type="dxa"/>
            <w:vAlign w:val="bottom"/>
            <w:tcBorders>
              <w:top w:val="single" w:sz="8" w:color="auto"/>
              <w:right w:val="single" w:sz="8" w:color="auto"/>
            </w:tcBorders>
          </w:tcPr>
          <w:p>
            <w:pPr>
              <w:spacing w:after="0" w:line="139" w:lineRule="exact"/>
              <w:rPr>
                <w:sz w:val="20"/>
                <w:szCs w:val="20"/>
                <w:color w:val="auto"/>
              </w:rPr>
            </w:pPr>
            <w:r>
              <w:rPr>
                <w:rFonts w:ascii="Arial" w:cs="Arial" w:eastAsia="Arial" w:hAnsi="Arial"/>
                <w:sz w:val="14"/>
                <w:szCs w:val="14"/>
                <w:b w:val="1"/>
                <w:bCs w:val="1"/>
                <w:color w:val="auto"/>
              </w:rPr>
              <w:t>Country</w:t>
            </w:r>
          </w:p>
        </w:tc>
        <w:tc>
          <w:tcPr>
            <w:tcW w:w="2560" w:type="dxa"/>
            <w:vAlign w:val="bottom"/>
            <w:tcBorders>
              <w:top w:val="single" w:sz="8" w:color="auto"/>
              <w:right w:val="single" w:sz="8" w:color="auto"/>
            </w:tcBorders>
          </w:tcPr>
          <w:p>
            <w:pPr>
              <w:spacing w:after="0" w:line="139" w:lineRule="exact"/>
              <w:rPr>
                <w:sz w:val="20"/>
                <w:szCs w:val="20"/>
                <w:color w:val="auto"/>
              </w:rPr>
            </w:pPr>
            <w:r>
              <w:rPr>
                <w:rFonts w:ascii="Arial" w:cs="Arial" w:eastAsia="Arial" w:hAnsi="Arial"/>
                <w:sz w:val="14"/>
                <w:szCs w:val="14"/>
                <w:b w:val="1"/>
                <w:bCs w:val="1"/>
                <w:color w:val="auto"/>
              </w:rPr>
              <w:t>Title</w:t>
            </w:r>
          </w:p>
        </w:tc>
        <w:tc>
          <w:tcPr>
            <w:tcW w:w="760" w:type="dxa"/>
            <w:vAlign w:val="bottom"/>
            <w:tcBorders>
              <w:top w:val="single" w:sz="8" w:color="auto"/>
              <w:right w:val="single" w:sz="8" w:color="auto"/>
            </w:tcBorders>
          </w:tcPr>
          <w:p>
            <w:pPr>
              <w:spacing w:after="0" w:line="139" w:lineRule="exact"/>
              <w:rPr>
                <w:sz w:val="20"/>
                <w:szCs w:val="20"/>
                <w:color w:val="auto"/>
              </w:rPr>
            </w:pPr>
            <w:r>
              <w:rPr>
                <w:rFonts w:ascii="Arial" w:cs="Arial" w:eastAsia="Arial" w:hAnsi="Arial"/>
                <w:sz w:val="14"/>
                <w:szCs w:val="14"/>
                <w:b w:val="1"/>
                <w:bCs w:val="1"/>
                <w:color w:val="auto"/>
              </w:rPr>
              <w:t>App. Date</w:t>
            </w:r>
          </w:p>
        </w:tc>
        <w:tc>
          <w:tcPr>
            <w:tcW w:w="1120" w:type="dxa"/>
            <w:vAlign w:val="bottom"/>
            <w:tcBorders>
              <w:top w:val="single" w:sz="8" w:color="auto"/>
              <w:right w:val="single" w:sz="8" w:color="auto"/>
            </w:tcBorders>
          </w:tcPr>
          <w:p>
            <w:pPr>
              <w:spacing w:after="0" w:line="139" w:lineRule="exact"/>
              <w:rPr>
                <w:sz w:val="20"/>
                <w:szCs w:val="20"/>
                <w:color w:val="auto"/>
              </w:rPr>
            </w:pPr>
            <w:r>
              <w:rPr>
                <w:rFonts w:ascii="Arial" w:cs="Arial" w:eastAsia="Arial" w:hAnsi="Arial"/>
                <w:sz w:val="14"/>
                <w:szCs w:val="14"/>
                <w:b w:val="1"/>
                <w:bCs w:val="1"/>
                <w:color w:val="auto"/>
              </w:rPr>
              <w:t>App.</w:t>
            </w:r>
          </w:p>
        </w:tc>
        <w:tc>
          <w:tcPr>
            <w:tcW w:w="760" w:type="dxa"/>
            <w:vAlign w:val="bottom"/>
            <w:tcBorders>
              <w:top w:val="single" w:sz="8" w:color="auto"/>
              <w:right w:val="single" w:sz="8" w:color="auto"/>
            </w:tcBorders>
          </w:tcPr>
          <w:p>
            <w:pPr>
              <w:spacing w:after="0" w:line="139" w:lineRule="exact"/>
              <w:rPr>
                <w:sz w:val="20"/>
                <w:szCs w:val="20"/>
                <w:color w:val="auto"/>
              </w:rPr>
            </w:pPr>
            <w:r>
              <w:rPr>
                <w:rFonts w:ascii="Arial" w:cs="Arial" w:eastAsia="Arial" w:hAnsi="Arial"/>
                <w:sz w:val="14"/>
                <w:szCs w:val="14"/>
                <w:b w:val="1"/>
                <w:bCs w:val="1"/>
                <w:color w:val="auto"/>
              </w:rPr>
              <w:t>Pub Date</w:t>
            </w:r>
          </w:p>
        </w:tc>
        <w:tc>
          <w:tcPr>
            <w:tcW w:w="760" w:type="dxa"/>
            <w:vAlign w:val="bottom"/>
            <w:tcBorders>
              <w:top w:val="single" w:sz="8" w:color="auto"/>
              <w:right w:val="single" w:sz="8" w:color="auto"/>
            </w:tcBorders>
          </w:tcPr>
          <w:p>
            <w:pPr>
              <w:spacing w:after="0" w:line="139" w:lineRule="exact"/>
              <w:rPr>
                <w:sz w:val="20"/>
                <w:szCs w:val="20"/>
                <w:color w:val="auto"/>
              </w:rPr>
            </w:pPr>
            <w:r>
              <w:rPr>
                <w:rFonts w:ascii="Arial" w:cs="Arial" w:eastAsia="Arial" w:hAnsi="Arial"/>
                <w:sz w:val="14"/>
                <w:szCs w:val="14"/>
                <w:b w:val="1"/>
                <w:bCs w:val="1"/>
                <w:color w:val="auto"/>
              </w:rPr>
              <w:t>Pub No.</w:t>
            </w:r>
          </w:p>
        </w:tc>
        <w:tc>
          <w:tcPr>
            <w:tcW w:w="880" w:type="dxa"/>
            <w:vAlign w:val="bottom"/>
            <w:tcBorders>
              <w:top w:val="single" w:sz="8" w:color="auto"/>
              <w:right w:val="single" w:sz="8" w:color="auto"/>
            </w:tcBorders>
          </w:tcPr>
          <w:p>
            <w:pPr>
              <w:spacing w:after="0" w:line="139" w:lineRule="exact"/>
              <w:rPr>
                <w:sz w:val="20"/>
                <w:szCs w:val="20"/>
                <w:color w:val="auto"/>
              </w:rPr>
            </w:pPr>
            <w:r>
              <w:rPr>
                <w:rFonts w:ascii="Arial" w:cs="Arial" w:eastAsia="Arial" w:hAnsi="Arial"/>
                <w:sz w:val="14"/>
                <w:szCs w:val="14"/>
                <w:b w:val="1"/>
                <w:bCs w:val="1"/>
                <w:color w:val="auto"/>
              </w:rPr>
              <w:t>Issued Date</w:t>
            </w:r>
          </w:p>
        </w:tc>
        <w:tc>
          <w:tcPr>
            <w:tcW w:w="840" w:type="dxa"/>
            <w:vAlign w:val="bottom"/>
            <w:tcBorders>
              <w:top w:val="single" w:sz="8" w:color="auto"/>
              <w:right w:val="single" w:sz="8" w:color="auto"/>
            </w:tcBorders>
          </w:tcPr>
          <w:p>
            <w:pPr>
              <w:spacing w:after="0" w:line="139" w:lineRule="exact"/>
              <w:rPr>
                <w:sz w:val="20"/>
                <w:szCs w:val="20"/>
                <w:color w:val="auto"/>
              </w:rPr>
            </w:pPr>
            <w:r>
              <w:rPr>
                <w:rFonts w:ascii="Arial" w:cs="Arial" w:eastAsia="Arial" w:hAnsi="Arial"/>
                <w:sz w:val="14"/>
                <w:szCs w:val="14"/>
                <w:b w:val="1"/>
                <w:bCs w:val="1"/>
                <w:color w:val="auto"/>
              </w:rPr>
              <w:t>Patent No.</w:t>
            </w:r>
          </w:p>
        </w:tc>
        <w:tc>
          <w:tcPr>
            <w:tcW w:w="1040" w:type="dxa"/>
            <w:vAlign w:val="bottom"/>
            <w:tcBorders>
              <w:top w:val="single" w:sz="8" w:color="auto"/>
              <w:right w:val="single" w:sz="8" w:color="auto"/>
            </w:tcBorders>
          </w:tcPr>
          <w:p>
            <w:pPr>
              <w:spacing w:after="0" w:line="139" w:lineRule="exact"/>
              <w:rPr>
                <w:sz w:val="20"/>
                <w:szCs w:val="20"/>
                <w:color w:val="auto"/>
              </w:rPr>
            </w:pPr>
            <w:r>
              <w:rPr>
                <w:rFonts w:ascii="Arial" w:cs="Arial" w:eastAsia="Arial" w:hAnsi="Arial"/>
                <w:sz w:val="14"/>
                <w:szCs w:val="14"/>
                <w:b w:val="1"/>
                <w:bCs w:val="1"/>
                <w:color w:val="auto"/>
              </w:rPr>
              <w:t>Status</w:t>
            </w:r>
          </w:p>
        </w:tc>
      </w:tr>
      <w:tr>
        <w:trPr>
          <w:trHeight w:val="149"/>
        </w:trPr>
        <w:tc>
          <w:tcPr>
            <w:tcW w:w="780" w:type="dxa"/>
            <w:vAlign w:val="bottom"/>
            <w:tcBorders>
              <w:left w:val="single" w:sz="8" w:color="auto"/>
              <w:right w:val="single" w:sz="8" w:color="auto"/>
            </w:tcBorders>
          </w:tcPr>
          <w:p>
            <w:pPr>
              <w:spacing w:after="0" w:line="149" w:lineRule="exact"/>
              <w:rPr>
                <w:sz w:val="20"/>
                <w:szCs w:val="20"/>
                <w:color w:val="auto"/>
              </w:rPr>
            </w:pPr>
            <w:r>
              <w:rPr>
                <w:rFonts w:ascii="Arial" w:cs="Arial" w:eastAsia="Arial" w:hAnsi="Arial"/>
                <w:sz w:val="14"/>
                <w:szCs w:val="14"/>
                <w:b w:val="1"/>
                <w:bCs w:val="1"/>
                <w:color w:val="auto"/>
              </w:rPr>
              <w:t>Grant</w:t>
            </w:r>
          </w:p>
        </w:tc>
        <w:tc>
          <w:tcPr>
            <w:tcW w:w="960" w:type="dxa"/>
            <w:vAlign w:val="bottom"/>
            <w:tcBorders>
              <w:right w:val="single" w:sz="8" w:color="auto"/>
            </w:tcBorders>
          </w:tcPr>
          <w:p>
            <w:pPr>
              <w:spacing w:after="0" w:line="149" w:lineRule="exact"/>
              <w:rPr>
                <w:sz w:val="20"/>
                <w:szCs w:val="20"/>
                <w:color w:val="auto"/>
              </w:rPr>
            </w:pPr>
            <w:r>
              <w:rPr>
                <w:rFonts w:ascii="Arial" w:cs="Arial" w:eastAsia="Arial" w:hAnsi="Arial"/>
                <w:sz w:val="14"/>
                <w:szCs w:val="14"/>
                <w:b w:val="1"/>
                <w:bCs w:val="1"/>
                <w:color w:val="auto"/>
              </w:rPr>
              <w:t>Leoni</w:t>
            </w:r>
          </w:p>
        </w:tc>
        <w:tc>
          <w:tcPr>
            <w:tcW w:w="920" w:type="dxa"/>
            <w:vAlign w:val="bottom"/>
            <w:tcBorders>
              <w:right w:val="single" w:sz="8" w:color="auto"/>
            </w:tcBorders>
          </w:tcPr>
          <w:p>
            <w:pPr>
              <w:spacing w:after="0"/>
              <w:rPr>
                <w:sz w:val="12"/>
                <w:szCs w:val="12"/>
                <w:color w:val="auto"/>
              </w:rPr>
            </w:pPr>
          </w:p>
        </w:tc>
        <w:tc>
          <w:tcPr>
            <w:tcW w:w="2560" w:type="dxa"/>
            <w:vAlign w:val="bottom"/>
            <w:tcBorders>
              <w:right w:val="single" w:sz="8" w:color="auto"/>
            </w:tcBorders>
          </w:tcPr>
          <w:p>
            <w:pPr>
              <w:spacing w:after="0"/>
              <w:rPr>
                <w:sz w:val="12"/>
                <w:szCs w:val="12"/>
                <w:color w:val="auto"/>
              </w:rPr>
            </w:pPr>
          </w:p>
        </w:tc>
        <w:tc>
          <w:tcPr>
            <w:tcW w:w="760" w:type="dxa"/>
            <w:vAlign w:val="bottom"/>
            <w:tcBorders>
              <w:right w:val="single" w:sz="8" w:color="auto"/>
            </w:tcBorders>
          </w:tcPr>
          <w:p>
            <w:pPr>
              <w:spacing w:after="0"/>
              <w:rPr>
                <w:sz w:val="12"/>
                <w:szCs w:val="12"/>
                <w:color w:val="auto"/>
              </w:rPr>
            </w:pPr>
          </w:p>
        </w:tc>
        <w:tc>
          <w:tcPr>
            <w:tcW w:w="1120" w:type="dxa"/>
            <w:vAlign w:val="bottom"/>
            <w:tcBorders>
              <w:right w:val="single" w:sz="8" w:color="auto"/>
            </w:tcBorders>
          </w:tcPr>
          <w:p>
            <w:pPr>
              <w:spacing w:after="0" w:line="149" w:lineRule="exact"/>
              <w:rPr>
                <w:sz w:val="20"/>
                <w:szCs w:val="20"/>
                <w:color w:val="auto"/>
              </w:rPr>
            </w:pPr>
            <w:r>
              <w:rPr>
                <w:rFonts w:ascii="Arial" w:cs="Arial" w:eastAsia="Arial" w:hAnsi="Arial"/>
                <w:sz w:val="14"/>
                <w:szCs w:val="14"/>
                <w:b w:val="1"/>
                <w:bCs w:val="1"/>
                <w:color w:val="auto"/>
              </w:rPr>
              <w:t>No.</w:t>
            </w:r>
          </w:p>
        </w:tc>
        <w:tc>
          <w:tcPr>
            <w:tcW w:w="760" w:type="dxa"/>
            <w:vAlign w:val="bottom"/>
            <w:tcBorders>
              <w:right w:val="single" w:sz="8" w:color="auto"/>
            </w:tcBorders>
          </w:tcPr>
          <w:p>
            <w:pPr>
              <w:spacing w:after="0"/>
              <w:rPr>
                <w:sz w:val="12"/>
                <w:szCs w:val="12"/>
                <w:color w:val="auto"/>
              </w:rPr>
            </w:pPr>
          </w:p>
        </w:tc>
        <w:tc>
          <w:tcPr>
            <w:tcW w:w="760" w:type="dxa"/>
            <w:vAlign w:val="bottom"/>
            <w:tcBorders>
              <w:right w:val="single" w:sz="8" w:color="auto"/>
            </w:tcBorders>
          </w:tcPr>
          <w:p>
            <w:pPr>
              <w:spacing w:after="0"/>
              <w:rPr>
                <w:sz w:val="12"/>
                <w:szCs w:val="12"/>
                <w:color w:val="auto"/>
              </w:rPr>
            </w:pPr>
          </w:p>
        </w:tc>
        <w:tc>
          <w:tcPr>
            <w:tcW w:w="880" w:type="dxa"/>
            <w:vAlign w:val="bottom"/>
            <w:tcBorders>
              <w:right w:val="single" w:sz="8" w:color="auto"/>
            </w:tcBorders>
          </w:tcPr>
          <w:p>
            <w:pPr>
              <w:spacing w:after="0"/>
              <w:rPr>
                <w:sz w:val="12"/>
                <w:szCs w:val="12"/>
                <w:color w:val="auto"/>
              </w:rPr>
            </w:pPr>
          </w:p>
        </w:tc>
        <w:tc>
          <w:tcPr>
            <w:tcW w:w="840" w:type="dxa"/>
            <w:vAlign w:val="bottom"/>
            <w:tcBorders>
              <w:right w:val="single" w:sz="8" w:color="auto"/>
            </w:tcBorders>
          </w:tcPr>
          <w:p>
            <w:pPr>
              <w:spacing w:after="0"/>
              <w:rPr>
                <w:sz w:val="12"/>
                <w:szCs w:val="12"/>
                <w:color w:val="auto"/>
              </w:rPr>
            </w:pPr>
          </w:p>
        </w:tc>
        <w:tc>
          <w:tcPr>
            <w:tcW w:w="1040" w:type="dxa"/>
            <w:vAlign w:val="bottom"/>
            <w:tcBorders>
              <w:right w:val="single" w:sz="8" w:color="auto"/>
            </w:tcBorders>
          </w:tcPr>
          <w:p>
            <w:pPr>
              <w:spacing w:after="0"/>
              <w:rPr>
                <w:sz w:val="12"/>
                <w:szCs w:val="12"/>
                <w:color w:val="auto"/>
              </w:rPr>
            </w:pPr>
          </w:p>
        </w:tc>
      </w:tr>
      <w:tr>
        <w:trPr>
          <w:trHeight w:val="149"/>
        </w:trPr>
        <w:tc>
          <w:tcPr>
            <w:tcW w:w="780" w:type="dxa"/>
            <w:vAlign w:val="bottom"/>
            <w:tcBorders>
              <w:left w:val="single" w:sz="8" w:color="auto"/>
              <w:right w:val="single" w:sz="8" w:color="auto"/>
            </w:tcBorders>
          </w:tcPr>
          <w:p>
            <w:pPr>
              <w:spacing w:after="0" w:line="149" w:lineRule="exact"/>
              <w:rPr>
                <w:sz w:val="20"/>
                <w:szCs w:val="20"/>
                <w:color w:val="auto"/>
              </w:rPr>
            </w:pPr>
            <w:r>
              <w:rPr>
                <w:rFonts w:ascii="Arial" w:cs="Arial" w:eastAsia="Arial" w:hAnsi="Arial"/>
                <w:sz w:val="14"/>
                <w:szCs w:val="14"/>
                <w:b w:val="1"/>
                <w:bCs w:val="1"/>
                <w:color w:val="auto"/>
              </w:rPr>
              <w:t>Back</w:t>
            </w:r>
          </w:p>
        </w:tc>
        <w:tc>
          <w:tcPr>
            <w:tcW w:w="960" w:type="dxa"/>
            <w:vAlign w:val="bottom"/>
            <w:tcBorders>
              <w:right w:val="single" w:sz="8" w:color="auto"/>
            </w:tcBorders>
          </w:tcPr>
          <w:p>
            <w:pPr>
              <w:spacing w:after="0" w:line="149" w:lineRule="exact"/>
              <w:rPr>
                <w:sz w:val="20"/>
                <w:szCs w:val="20"/>
                <w:color w:val="auto"/>
              </w:rPr>
            </w:pPr>
            <w:r>
              <w:rPr>
                <w:rFonts w:ascii="Arial" w:cs="Arial" w:eastAsia="Arial" w:hAnsi="Arial"/>
                <w:sz w:val="14"/>
                <w:szCs w:val="14"/>
                <w:b w:val="1"/>
                <w:bCs w:val="1"/>
                <w:color w:val="auto"/>
              </w:rPr>
              <w:t>Reference</w:t>
            </w:r>
          </w:p>
        </w:tc>
        <w:tc>
          <w:tcPr>
            <w:tcW w:w="920" w:type="dxa"/>
            <w:vAlign w:val="bottom"/>
            <w:tcBorders>
              <w:right w:val="single" w:sz="8" w:color="auto"/>
            </w:tcBorders>
          </w:tcPr>
          <w:p>
            <w:pPr>
              <w:spacing w:after="0"/>
              <w:rPr>
                <w:sz w:val="12"/>
                <w:szCs w:val="12"/>
                <w:color w:val="auto"/>
              </w:rPr>
            </w:pPr>
          </w:p>
        </w:tc>
        <w:tc>
          <w:tcPr>
            <w:tcW w:w="2560" w:type="dxa"/>
            <w:vAlign w:val="bottom"/>
            <w:tcBorders>
              <w:right w:val="single" w:sz="8" w:color="auto"/>
            </w:tcBorders>
          </w:tcPr>
          <w:p>
            <w:pPr>
              <w:spacing w:after="0"/>
              <w:rPr>
                <w:sz w:val="12"/>
                <w:szCs w:val="12"/>
                <w:color w:val="auto"/>
              </w:rPr>
            </w:pPr>
          </w:p>
        </w:tc>
        <w:tc>
          <w:tcPr>
            <w:tcW w:w="760" w:type="dxa"/>
            <w:vAlign w:val="bottom"/>
            <w:tcBorders>
              <w:right w:val="single" w:sz="8" w:color="auto"/>
            </w:tcBorders>
          </w:tcPr>
          <w:p>
            <w:pPr>
              <w:spacing w:after="0"/>
              <w:rPr>
                <w:sz w:val="12"/>
                <w:szCs w:val="12"/>
                <w:color w:val="auto"/>
              </w:rPr>
            </w:pPr>
          </w:p>
        </w:tc>
        <w:tc>
          <w:tcPr>
            <w:tcW w:w="1120" w:type="dxa"/>
            <w:vAlign w:val="bottom"/>
            <w:tcBorders>
              <w:right w:val="single" w:sz="8" w:color="auto"/>
            </w:tcBorders>
          </w:tcPr>
          <w:p>
            <w:pPr>
              <w:spacing w:after="0"/>
              <w:rPr>
                <w:sz w:val="12"/>
                <w:szCs w:val="12"/>
                <w:color w:val="auto"/>
              </w:rPr>
            </w:pPr>
          </w:p>
        </w:tc>
        <w:tc>
          <w:tcPr>
            <w:tcW w:w="760" w:type="dxa"/>
            <w:vAlign w:val="bottom"/>
            <w:tcBorders>
              <w:right w:val="single" w:sz="8" w:color="auto"/>
            </w:tcBorders>
          </w:tcPr>
          <w:p>
            <w:pPr>
              <w:spacing w:after="0"/>
              <w:rPr>
                <w:sz w:val="12"/>
                <w:szCs w:val="12"/>
                <w:color w:val="auto"/>
              </w:rPr>
            </w:pPr>
          </w:p>
        </w:tc>
        <w:tc>
          <w:tcPr>
            <w:tcW w:w="760" w:type="dxa"/>
            <w:vAlign w:val="bottom"/>
            <w:tcBorders>
              <w:right w:val="single" w:sz="8" w:color="auto"/>
            </w:tcBorders>
          </w:tcPr>
          <w:p>
            <w:pPr>
              <w:spacing w:after="0"/>
              <w:rPr>
                <w:sz w:val="12"/>
                <w:szCs w:val="12"/>
                <w:color w:val="auto"/>
              </w:rPr>
            </w:pPr>
          </w:p>
        </w:tc>
        <w:tc>
          <w:tcPr>
            <w:tcW w:w="880" w:type="dxa"/>
            <w:vAlign w:val="bottom"/>
            <w:tcBorders>
              <w:right w:val="single" w:sz="8" w:color="auto"/>
            </w:tcBorders>
          </w:tcPr>
          <w:p>
            <w:pPr>
              <w:spacing w:after="0"/>
              <w:rPr>
                <w:sz w:val="12"/>
                <w:szCs w:val="12"/>
                <w:color w:val="auto"/>
              </w:rPr>
            </w:pPr>
          </w:p>
        </w:tc>
        <w:tc>
          <w:tcPr>
            <w:tcW w:w="840" w:type="dxa"/>
            <w:vAlign w:val="bottom"/>
            <w:tcBorders>
              <w:right w:val="single" w:sz="8" w:color="auto"/>
            </w:tcBorders>
          </w:tcPr>
          <w:p>
            <w:pPr>
              <w:spacing w:after="0"/>
              <w:rPr>
                <w:sz w:val="12"/>
                <w:szCs w:val="12"/>
                <w:color w:val="auto"/>
              </w:rPr>
            </w:pPr>
          </w:p>
        </w:tc>
        <w:tc>
          <w:tcPr>
            <w:tcW w:w="1040" w:type="dxa"/>
            <w:vAlign w:val="bottom"/>
            <w:tcBorders>
              <w:right w:val="single" w:sz="8" w:color="auto"/>
            </w:tcBorders>
          </w:tcPr>
          <w:p>
            <w:pPr>
              <w:spacing w:after="0"/>
              <w:rPr>
                <w:sz w:val="12"/>
                <w:szCs w:val="12"/>
                <w:color w:val="auto"/>
              </w:rPr>
            </w:pPr>
          </w:p>
        </w:tc>
      </w:tr>
      <w:tr>
        <w:trPr>
          <w:trHeight w:val="171"/>
        </w:trPr>
        <w:tc>
          <w:tcPr>
            <w:tcW w:w="780" w:type="dxa"/>
            <w:vAlign w:val="bottom"/>
            <w:tcBorders>
              <w:left w:val="single" w:sz="8" w:color="auto"/>
              <w:bottom w:val="single" w:sz="8" w:color="auto"/>
              <w:right w:val="single" w:sz="8" w:color="auto"/>
            </w:tcBorders>
          </w:tcPr>
          <w:p>
            <w:pPr>
              <w:spacing w:after="0"/>
              <w:rPr>
                <w:sz w:val="20"/>
                <w:szCs w:val="20"/>
                <w:color w:val="auto"/>
              </w:rPr>
            </w:pPr>
            <w:r>
              <w:rPr>
                <w:rFonts w:ascii="Arial" w:cs="Arial" w:eastAsia="Arial" w:hAnsi="Arial"/>
                <w:sz w:val="14"/>
                <w:szCs w:val="14"/>
                <w:b w:val="1"/>
                <w:bCs w:val="1"/>
                <w:color w:val="auto"/>
              </w:rPr>
              <w:t>License</w:t>
            </w:r>
          </w:p>
        </w:tc>
        <w:tc>
          <w:tcPr>
            <w:tcW w:w="960" w:type="dxa"/>
            <w:vAlign w:val="bottom"/>
            <w:tcBorders>
              <w:bottom w:val="single" w:sz="8" w:color="auto"/>
              <w:right w:val="single" w:sz="8" w:color="auto"/>
            </w:tcBorders>
          </w:tcPr>
          <w:p>
            <w:pPr>
              <w:spacing w:after="0"/>
              <w:rPr>
                <w:sz w:val="14"/>
                <w:szCs w:val="14"/>
                <w:color w:val="auto"/>
              </w:rPr>
            </w:pPr>
          </w:p>
        </w:tc>
        <w:tc>
          <w:tcPr>
            <w:tcW w:w="920" w:type="dxa"/>
            <w:vAlign w:val="bottom"/>
            <w:tcBorders>
              <w:bottom w:val="single" w:sz="8" w:color="auto"/>
              <w:right w:val="single" w:sz="8" w:color="auto"/>
            </w:tcBorders>
          </w:tcPr>
          <w:p>
            <w:pPr>
              <w:spacing w:after="0"/>
              <w:rPr>
                <w:sz w:val="14"/>
                <w:szCs w:val="14"/>
                <w:color w:val="auto"/>
              </w:rPr>
            </w:pPr>
          </w:p>
        </w:tc>
        <w:tc>
          <w:tcPr>
            <w:tcW w:w="2560" w:type="dxa"/>
            <w:vAlign w:val="bottom"/>
            <w:tcBorders>
              <w:bottom w:val="single" w:sz="8" w:color="auto"/>
              <w:right w:val="single" w:sz="8" w:color="auto"/>
            </w:tcBorders>
          </w:tcPr>
          <w:p>
            <w:pPr>
              <w:spacing w:after="0"/>
              <w:rPr>
                <w:sz w:val="14"/>
                <w:szCs w:val="14"/>
                <w:color w:val="auto"/>
              </w:rPr>
            </w:pPr>
          </w:p>
        </w:tc>
        <w:tc>
          <w:tcPr>
            <w:tcW w:w="760" w:type="dxa"/>
            <w:vAlign w:val="bottom"/>
            <w:tcBorders>
              <w:bottom w:val="single" w:sz="8" w:color="auto"/>
              <w:right w:val="single" w:sz="8" w:color="auto"/>
            </w:tcBorders>
          </w:tcPr>
          <w:p>
            <w:pPr>
              <w:spacing w:after="0"/>
              <w:rPr>
                <w:sz w:val="14"/>
                <w:szCs w:val="14"/>
                <w:color w:val="auto"/>
              </w:rPr>
            </w:pPr>
          </w:p>
        </w:tc>
        <w:tc>
          <w:tcPr>
            <w:tcW w:w="1120" w:type="dxa"/>
            <w:vAlign w:val="bottom"/>
            <w:tcBorders>
              <w:bottom w:val="single" w:sz="8" w:color="auto"/>
              <w:right w:val="single" w:sz="8" w:color="auto"/>
            </w:tcBorders>
          </w:tcPr>
          <w:p>
            <w:pPr>
              <w:spacing w:after="0"/>
              <w:rPr>
                <w:sz w:val="14"/>
                <w:szCs w:val="14"/>
                <w:color w:val="auto"/>
              </w:rPr>
            </w:pPr>
          </w:p>
        </w:tc>
        <w:tc>
          <w:tcPr>
            <w:tcW w:w="760" w:type="dxa"/>
            <w:vAlign w:val="bottom"/>
            <w:tcBorders>
              <w:bottom w:val="single" w:sz="8" w:color="auto"/>
              <w:right w:val="single" w:sz="8" w:color="auto"/>
            </w:tcBorders>
          </w:tcPr>
          <w:p>
            <w:pPr>
              <w:spacing w:after="0"/>
              <w:rPr>
                <w:sz w:val="14"/>
                <w:szCs w:val="14"/>
                <w:color w:val="auto"/>
              </w:rPr>
            </w:pPr>
          </w:p>
        </w:tc>
        <w:tc>
          <w:tcPr>
            <w:tcW w:w="760" w:type="dxa"/>
            <w:vAlign w:val="bottom"/>
            <w:tcBorders>
              <w:bottom w:val="single" w:sz="8" w:color="auto"/>
              <w:right w:val="single" w:sz="8" w:color="auto"/>
            </w:tcBorders>
          </w:tcPr>
          <w:p>
            <w:pPr>
              <w:spacing w:after="0"/>
              <w:rPr>
                <w:sz w:val="14"/>
                <w:szCs w:val="14"/>
                <w:color w:val="auto"/>
              </w:rPr>
            </w:pPr>
          </w:p>
        </w:tc>
        <w:tc>
          <w:tcPr>
            <w:tcW w:w="880" w:type="dxa"/>
            <w:vAlign w:val="bottom"/>
            <w:tcBorders>
              <w:bottom w:val="single" w:sz="8" w:color="auto"/>
              <w:right w:val="single" w:sz="8" w:color="auto"/>
            </w:tcBorders>
          </w:tcPr>
          <w:p>
            <w:pPr>
              <w:spacing w:after="0"/>
              <w:rPr>
                <w:sz w:val="14"/>
                <w:szCs w:val="14"/>
                <w:color w:val="auto"/>
              </w:rPr>
            </w:pPr>
          </w:p>
        </w:tc>
        <w:tc>
          <w:tcPr>
            <w:tcW w:w="840" w:type="dxa"/>
            <w:vAlign w:val="bottom"/>
            <w:tcBorders>
              <w:bottom w:val="single" w:sz="8" w:color="auto"/>
              <w:right w:val="single" w:sz="8" w:color="auto"/>
            </w:tcBorders>
          </w:tcPr>
          <w:p>
            <w:pPr>
              <w:spacing w:after="0"/>
              <w:rPr>
                <w:sz w:val="14"/>
                <w:szCs w:val="14"/>
                <w:color w:val="auto"/>
              </w:rPr>
            </w:pPr>
          </w:p>
        </w:tc>
        <w:tc>
          <w:tcPr>
            <w:tcW w:w="1040" w:type="dxa"/>
            <w:vAlign w:val="bottom"/>
            <w:tcBorders>
              <w:bottom w:val="single" w:sz="8" w:color="auto"/>
              <w:right w:val="single" w:sz="8" w:color="auto"/>
            </w:tcBorders>
          </w:tcPr>
          <w:p>
            <w:pPr>
              <w:spacing w:after="0"/>
              <w:rPr>
                <w:sz w:val="14"/>
                <w:szCs w:val="14"/>
                <w:color w:val="auto"/>
              </w:rPr>
            </w:pPr>
          </w:p>
        </w:tc>
      </w:tr>
      <w:tr>
        <w:trPr>
          <w:trHeight w:val="223"/>
        </w:trPr>
        <w:tc>
          <w:tcPr>
            <w:tcW w:w="780" w:type="dxa"/>
            <w:vAlign w:val="bottom"/>
            <w:tcBorders>
              <w:left w:val="single" w:sz="8" w:color="auto"/>
              <w:bottom w:val="single" w:sz="8" w:color="auto"/>
              <w:right w:val="single" w:sz="8" w:color="auto"/>
            </w:tcBorders>
          </w:tcPr>
          <w:p>
            <w:pPr>
              <w:spacing w:after="0" w:line="223" w:lineRule="exact"/>
              <w:rPr>
                <w:sz w:val="20"/>
                <w:szCs w:val="20"/>
                <w:color w:val="auto"/>
              </w:rPr>
            </w:pPr>
            <w:r>
              <w:rPr>
                <w:rFonts w:ascii="Arial" w:cs="Arial" w:eastAsia="Arial" w:hAnsi="Arial"/>
                <w:sz w:val="20"/>
                <w:szCs w:val="20"/>
                <w:color w:val="auto"/>
              </w:rPr>
              <w:t>[†]</w:t>
            </w:r>
          </w:p>
        </w:tc>
        <w:tc>
          <w:tcPr>
            <w:tcW w:w="960" w:type="dxa"/>
            <w:vAlign w:val="bottom"/>
            <w:tcBorders>
              <w:bottom w:val="single" w:sz="8" w:color="auto"/>
              <w:right w:val="single" w:sz="8" w:color="auto"/>
            </w:tcBorders>
          </w:tcPr>
          <w:p>
            <w:pPr>
              <w:spacing w:after="0" w:line="223" w:lineRule="exact"/>
              <w:rPr>
                <w:sz w:val="20"/>
                <w:szCs w:val="20"/>
                <w:color w:val="auto"/>
              </w:rPr>
            </w:pPr>
            <w:r>
              <w:rPr>
                <w:rFonts w:ascii="Arial" w:cs="Arial" w:eastAsia="Arial" w:hAnsi="Arial"/>
                <w:sz w:val="20"/>
                <w:szCs w:val="20"/>
                <w:color w:val="auto"/>
              </w:rPr>
              <w:t>[†]</w:t>
            </w:r>
          </w:p>
        </w:tc>
        <w:tc>
          <w:tcPr>
            <w:tcW w:w="920" w:type="dxa"/>
            <w:vAlign w:val="bottom"/>
            <w:tcBorders>
              <w:bottom w:val="single" w:sz="8" w:color="auto"/>
              <w:right w:val="single" w:sz="8" w:color="auto"/>
            </w:tcBorders>
          </w:tcPr>
          <w:p>
            <w:pPr>
              <w:spacing w:after="0" w:line="223" w:lineRule="exact"/>
              <w:rPr>
                <w:sz w:val="20"/>
                <w:szCs w:val="20"/>
                <w:color w:val="auto"/>
              </w:rPr>
            </w:pPr>
            <w:r>
              <w:rPr>
                <w:rFonts w:ascii="Arial" w:cs="Arial" w:eastAsia="Arial" w:hAnsi="Arial"/>
                <w:sz w:val="20"/>
                <w:szCs w:val="20"/>
                <w:color w:val="auto"/>
              </w:rPr>
              <w:t>[†]</w:t>
            </w:r>
          </w:p>
        </w:tc>
        <w:tc>
          <w:tcPr>
            <w:tcW w:w="2560" w:type="dxa"/>
            <w:vAlign w:val="bottom"/>
            <w:tcBorders>
              <w:bottom w:val="single" w:sz="8" w:color="auto"/>
              <w:right w:val="single" w:sz="8" w:color="auto"/>
            </w:tcBorders>
          </w:tcPr>
          <w:p>
            <w:pPr>
              <w:spacing w:after="0" w:line="223" w:lineRule="exact"/>
              <w:rPr>
                <w:sz w:val="20"/>
                <w:szCs w:val="20"/>
                <w:color w:val="auto"/>
              </w:rPr>
            </w:pPr>
            <w:r>
              <w:rPr>
                <w:rFonts w:ascii="Arial" w:cs="Arial" w:eastAsia="Arial" w:hAnsi="Arial"/>
                <w:sz w:val="20"/>
                <w:szCs w:val="20"/>
                <w:color w:val="auto"/>
              </w:rPr>
              <w:t>[†]</w:t>
            </w:r>
          </w:p>
        </w:tc>
        <w:tc>
          <w:tcPr>
            <w:tcW w:w="760" w:type="dxa"/>
            <w:vAlign w:val="bottom"/>
            <w:tcBorders>
              <w:bottom w:val="single" w:sz="8" w:color="auto"/>
              <w:right w:val="single" w:sz="8" w:color="auto"/>
            </w:tcBorders>
          </w:tcPr>
          <w:p>
            <w:pPr>
              <w:spacing w:after="0" w:line="223" w:lineRule="exact"/>
              <w:rPr>
                <w:sz w:val="20"/>
                <w:szCs w:val="20"/>
                <w:color w:val="auto"/>
              </w:rPr>
            </w:pPr>
            <w:r>
              <w:rPr>
                <w:rFonts w:ascii="Arial" w:cs="Arial" w:eastAsia="Arial" w:hAnsi="Arial"/>
                <w:sz w:val="20"/>
                <w:szCs w:val="20"/>
                <w:color w:val="auto"/>
              </w:rPr>
              <w:t>[†]</w:t>
            </w:r>
          </w:p>
        </w:tc>
        <w:tc>
          <w:tcPr>
            <w:tcW w:w="1120" w:type="dxa"/>
            <w:vAlign w:val="bottom"/>
            <w:tcBorders>
              <w:bottom w:val="single" w:sz="8" w:color="auto"/>
              <w:right w:val="single" w:sz="8" w:color="auto"/>
            </w:tcBorders>
          </w:tcPr>
          <w:p>
            <w:pPr>
              <w:spacing w:after="0" w:line="223" w:lineRule="exact"/>
              <w:rPr>
                <w:sz w:val="20"/>
                <w:szCs w:val="20"/>
                <w:color w:val="auto"/>
              </w:rPr>
            </w:pPr>
            <w:r>
              <w:rPr>
                <w:rFonts w:ascii="Arial" w:cs="Arial" w:eastAsia="Arial" w:hAnsi="Arial"/>
                <w:sz w:val="20"/>
                <w:szCs w:val="20"/>
                <w:color w:val="auto"/>
              </w:rPr>
              <w:t>[†]</w:t>
            </w:r>
          </w:p>
        </w:tc>
        <w:tc>
          <w:tcPr>
            <w:tcW w:w="760" w:type="dxa"/>
            <w:vAlign w:val="bottom"/>
            <w:tcBorders>
              <w:bottom w:val="single" w:sz="8" w:color="auto"/>
              <w:right w:val="single" w:sz="8" w:color="auto"/>
            </w:tcBorders>
          </w:tcPr>
          <w:p>
            <w:pPr>
              <w:spacing w:after="0"/>
              <w:rPr>
                <w:sz w:val="19"/>
                <w:szCs w:val="19"/>
                <w:color w:val="auto"/>
              </w:rPr>
            </w:pPr>
          </w:p>
        </w:tc>
        <w:tc>
          <w:tcPr>
            <w:tcW w:w="760" w:type="dxa"/>
            <w:vAlign w:val="bottom"/>
            <w:tcBorders>
              <w:bottom w:val="single" w:sz="8" w:color="auto"/>
              <w:right w:val="single" w:sz="8" w:color="auto"/>
            </w:tcBorders>
          </w:tcPr>
          <w:p>
            <w:pPr>
              <w:spacing w:after="0"/>
              <w:rPr>
                <w:sz w:val="19"/>
                <w:szCs w:val="19"/>
                <w:color w:val="auto"/>
              </w:rPr>
            </w:pPr>
          </w:p>
        </w:tc>
        <w:tc>
          <w:tcPr>
            <w:tcW w:w="880" w:type="dxa"/>
            <w:vAlign w:val="bottom"/>
            <w:tcBorders>
              <w:bottom w:val="single" w:sz="8" w:color="auto"/>
              <w:right w:val="single" w:sz="8" w:color="auto"/>
            </w:tcBorders>
          </w:tcPr>
          <w:p>
            <w:pPr>
              <w:spacing w:after="0"/>
              <w:rPr>
                <w:sz w:val="19"/>
                <w:szCs w:val="19"/>
                <w:color w:val="auto"/>
              </w:rPr>
            </w:pPr>
          </w:p>
        </w:tc>
        <w:tc>
          <w:tcPr>
            <w:tcW w:w="840" w:type="dxa"/>
            <w:vAlign w:val="bottom"/>
            <w:tcBorders>
              <w:bottom w:val="single" w:sz="8" w:color="auto"/>
              <w:right w:val="single" w:sz="8" w:color="auto"/>
            </w:tcBorders>
          </w:tcPr>
          <w:p>
            <w:pPr>
              <w:spacing w:after="0"/>
              <w:rPr>
                <w:sz w:val="19"/>
                <w:szCs w:val="19"/>
                <w:color w:val="auto"/>
              </w:rPr>
            </w:pPr>
          </w:p>
        </w:tc>
        <w:tc>
          <w:tcPr>
            <w:tcW w:w="1040" w:type="dxa"/>
            <w:vAlign w:val="bottom"/>
            <w:tcBorders>
              <w:bottom w:val="single" w:sz="8" w:color="auto"/>
              <w:right w:val="single" w:sz="8" w:color="auto"/>
            </w:tcBorders>
          </w:tcPr>
          <w:p>
            <w:pPr>
              <w:spacing w:after="0" w:line="223" w:lineRule="exact"/>
              <w:rPr>
                <w:sz w:val="20"/>
                <w:szCs w:val="20"/>
                <w:color w:val="auto"/>
              </w:rPr>
            </w:pPr>
            <w:r>
              <w:rPr>
                <w:rFonts w:ascii="Arial" w:cs="Arial" w:eastAsia="Arial" w:hAnsi="Arial"/>
                <w:sz w:val="20"/>
                <w:szCs w:val="20"/>
                <w:color w:val="auto"/>
              </w:rPr>
              <w:t>[†]</w:t>
            </w:r>
          </w:p>
        </w:tc>
      </w:tr>
      <w:tr>
        <w:trPr>
          <w:trHeight w:val="223"/>
        </w:trPr>
        <w:tc>
          <w:tcPr>
            <w:tcW w:w="780" w:type="dxa"/>
            <w:vAlign w:val="bottom"/>
            <w:tcBorders>
              <w:left w:val="single" w:sz="8" w:color="auto"/>
              <w:bottom w:val="single" w:sz="8" w:color="auto"/>
              <w:right w:val="single" w:sz="8" w:color="auto"/>
            </w:tcBorders>
          </w:tcPr>
          <w:p>
            <w:pPr>
              <w:spacing w:after="0" w:line="223" w:lineRule="exact"/>
              <w:rPr>
                <w:sz w:val="20"/>
                <w:szCs w:val="20"/>
                <w:color w:val="auto"/>
              </w:rPr>
            </w:pPr>
            <w:r>
              <w:rPr>
                <w:rFonts w:ascii="Arial" w:cs="Arial" w:eastAsia="Arial" w:hAnsi="Arial"/>
                <w:sz w:val="20"/>
                <w:szCs w:val="20"/>
                <w:color w:val="auto"/>
              </w:rPr>
              <w:t>[†]</w:t>
            </w:r>
          </w:p>
        </w:tc>
        <w:tc>
          <w:tcPr>
            <w:tcW w:w="960" w:type="dxa"/>
            <w:vAlign w:val="bottom"/>
            <w:tcBorders>
              <w:bottom w:val="single" w:sz="8" w:color="auto"/>
              <w:right w:val="single" w:sz="8" w:color="auto"/>
            </w:tcBorders>
          </w:tcPr>
          <w:p>
            <w:pPr>
              <w:spacing w:after="0" w:line="223" w:lineRule="exact"/>
              <w:rPr>
                <w:sz w:val="20"/>
                <w:szCs w:val="20"/>
                <w:color w:val="auto"/>
              </w:rPr>
            </w:pPr>
            <w:r>
              <w:rPr>
                <w:rFonts w:ascii="Arial" w:cs="Arial" w:eastAsia="Arial" w:hAnsi="Arial"/>
                <w:sz w:val="20"/>
                <w:szCs w:val="20"/>
                <w:color w:val="auto"/>
              </w:rPr>
              <w:t>[†]</w:t>
            </w:r>
          </w:p>
        </w:tc>
        <w:tc>
          <w:tcPr>
            <w:tcW w:w="920" w:type="dxa"/>
            <w:vAlign w:val="bottom"/>
            <w:tcBorders>
              <w:bottom w:val="single" w:sz="8" w:color="auto"/>
              <w:right w:val="single" w:sz="8" w:color="auto"/>
            </w:tcBorders>
          </w:tcPr>
          <w:p>
            <w:pPr>
              <w:spacing w:after="0" w:line="223" w:lineRule="exact"/>
              <w:rPr>
                <w:sz w:val="20"/>
                <w:szCs w:val="20"/>
                <w:color w:val="auto"/>
              </w:rPr>
            </w:pPr>
            <w:r>
              <w:rPr>
                <w:rFonts w:ascii="Arial" w:cs="Arial" w:eastAsia="Arial" w:hAnsi="Arial"/>
                <w:sz w:val="20"/>
                <w:szCs w:val="20"/>
                <w:color w:val="auto"/>
              </w:rPr>
              <w:t>[†]</w:t>
            </w:r>
          </w:p>
        </w:tc>
        <w:tc>
          <w:tcPr>
            <w:tcW w:w="2560" w:type="dxa"/>
            <w:vAlign w:val="bottom"/>
            <w:tcBorders>
              <w:bottom w:val="single" w:sz="8" w:color="auto"/>
              <w:right w:val="single" w:sz="8" w:color="auto"/>
            </w:tcBorders>
          </w:tcPr>
          <w:p>
            <w:pPr>
              <w:spacing w:after="0" w:line="223" w:lineRule="exact"/>
              <w:rPr>
                <w:sz w:val="20"/>
                <w:szCs w:val="20"/>
                <w:color w:val="auto"/>
              </w:rPr>
            </w:pPr>
            <w:r>
              <w:rPr>
                <w:rFonts w:ascii="Arial" w:cs="Arial" w:eastAsia="Arial" w:hAnsi="Arial"/>
                <w:sz w:val="20"/>
                <w:szCs w:val="20"/>
                <w:color w:val="auto"/>
              </w:rPr>
              <w:t>[†]</w:t>
            </w:r>
          </w:p>
        </w:tc>
        <w:tc>
          <w:tcPr>
            <w:tcW w:w="760" w:type="dxa"/>
            <w:vAlign w:val="bottom"/>
            <w:tcBorders>
              <w:bottom w:val="single" w:sz="8" w:color="auto"/>
              <w:right w:val="single" w:sz="8" w:color="auto"/>
            </w:tcBorders>
          </w:tcPr>
          <w:p>
            <w:pPr>
              <w:spacing w:after="0" w:line="223" w:lineRule="exact"/>
              <w:rPr>
                <w:sz w:val="20"/>
                <w:szCs w:val="20"/>
                <w:color w:val="auto"/>
              </w:rPr>
            </w:pPr>
            <w:r>
              <w:rPr>
                <w:rFonts w:ascii="Arial" w:cs="Arial" w:eastAsia="Arial" w:hAnsi="Arial"/>
                <w:sz w:val="20"/>
                <w:szCs w:val="20"/>
                <w:color w:val="auto"/>
              </w:rPr>
              <w:t>[†]</w:t>
            </w:r>
          </w:p>
        </w:tc>
        <w:tc>
          <w:tcPr>
            <w:tcW w:w="1120" w:type="dxa"/>
            <w:vAlign w:val="bottom"/>
            <w:tcBorders>
              <w:bottom w:val="single" w:sz="8" w:color="auto"/>
              <w:right w:val="single" w:sz="8" w:color="auto"/>
            </w:tcBorders>
          </w:tcPr>
          <w:p>
            <w:pPr>
              <w:spacing w:after="0" w:line="223" w:lineRule="exact"/>
              <w:rPr>
                <w:sz w:val="20"/>
                <w:szCs w:val="20"/>
                <w:color w:val="auto"/>
              </w:rPr>
            </w:pPr>
            <w:r>
              <w:rPr>
                <w:rFonts w:ascii="Arial" w:cs="Arial" w:eastAsia="Arial" w:hAnsi="Arial"/>
                <w:sz w:val="20"/>
                <w:szCs w:val="20"/>
                <w:color w:val="auto"/>
              </w:rPr>
              <w:t>[†]</w:t>
            </w:r>
          </w:p>
        </w:tc>
        <w:tc>
          <w:tcPr>
            <w:tcW w:w="760" w:type="dxa"/>
            <w:vAlign w:val="bottom"/>
            <w:tcBorders>
              <w:bottom w:val="single" w:sz="8" w:color="auto"/>
              <w:right w:val="single" w:sz="8" w:color="auto"/>
            </w:tcBorders>
          </w:tcPr>
          <w:p>
            <w:pPr>
              <w:spacing w:after="0"/>
              <w:rPr>
                <w:sz w:val="19"/>
                <w:szCs w:val="19"/>
                <w:color w:val="auto"/>
              </w:rPr>
            </w:pPr>
          </w:p>
        </w:tc>
        <w:tc>
          <w:tcPr>
            <w:tcW w:w="760" w:type="dxa"/>
            <w:vAlign w:val="bottom"/>
            <w:tcBorders>
              <w:bottom w:val="single" w:sz="8" w:color="auto"/>
              <w:right w:val="single" w:sz="8" w:color="auto"/>
            </w:tcBorders>
          </w:tcPr>
          <w:p>
            <w:pPr>
              <w:spacing w:after="0"/>
              <w:rPr>
                <w:sz w:val="19"/>
                <w:szCs w:val="19"/>
                <w:color w:val="auto"/>
              </w:rPr>
            </w:pPr>
          </w:p>
        </w:tc>
        <w:tc>
          <w:tcPr>
            <w:tcW w:w="880" w:type="dxa"/>
            <w:vAlign w:val="bottom"/>
            <w:tcBorders>
              <w:bottom w:val="single" w:sz="8" w:color="auto"/>
              <w:right w:val="single" w:sz="8" w:color="auto"/>
            </w:tcBorders>
          </w:tcPr>
          <w:p>
            <w:pPr>
              <w:spacing w:after="0"/>
              <w:rPr>
                <w:sz w:val="19"/>
                <w:szCs w:val="19"/>
                <w:color w:val="auto"/>
              </w:rPr>
            </w:pPr>
          </w:p>
        </w:tc>
        <w:tc>
          <w:tcPr>
            <w:tcW w:w="840" w:type="dxa"/>
            <w:vAlign w:val="bottom"/>
            <w:tcBorders>
              <w:bottom w:val="single" w:sz="8" w:color="auto"/>
              <w:right w:val="single" w:sz="8" w:color="auto"/>
            </w:tcBorders>
          </w:tcPr>
          <w:p>
            <w:pPr>
              <w:spacing w:after="0"/>
              <w:rPr>
                <w:sz w:val="19"/>
                <w:szCs w:val="19"/>
                <w:color w:val="auto"/>
              </w:rPr>
            </w:pPr>
          </w:p>
        </w:tc>
        <w:tc>
          <w:tcPr>
            <w:tcW w:w="1040" w:type="dxa"/>
            <w:vAlign w:val="bottom"/>
            <w:tcBorders>
              <w:bottom w:val="single" w:sz="8" w:color="auto"/>
              <w:right w:val="single" w:sz="8" w:color="auto"/>
            </w:tcBorders>
          </w:tcPr>
          <w:p>
            <w:pPr>
              <w:spacing w:after="0" w:line="223" w:lineRule="exact"/>
              <w:rPr>
                <w:sz w:val="20"/>
                <w:szCs w:val="20"/>
                <w:color w:val="auto"/>
              </w:rPr>
            </w:pPr>
            <w:r>
              <w:rPr>
                <w:rFonts w:ascii="Arial" w:cs="Arial" w:eastAsia="Arial" w:hAnsi="Arial"/>
                <w:sz w:val="20"/>
                <w:szCs w:val="20"/>
                <w:color w:val="auto"/>
              </w:rPr>
              <w:t>[†]</w:t>
            </w:r>
          </w:p>
        </w:tc>
      </w:tr>
      <w:tr>
        <w:trPr>
          <w:trHeight w:val="223"/>
        </w:trPr>
        <w:tc>
          <w:tcPr>
            <w:tcW w:w="780" w:type="dxa"/>
            <w:vAlign w:val="bottom"/>
            <w:tcBorders>
              <w:left w:val="single" w:sz="8" w:color="auto"/>
              <w:bottom w:val="single" w:sz="8" w:color="auto"/>
              <w:right w:val="single" w:sz="8" w:color="auto"/>
            </w:tcBorders>
          </w:tcPr>
          <w:p>
            <w:pPr>
              <w:spacing w:after="0" w:line="223" w:lineRule="exact"/>
              <w:rPr>
                <w:sz w:val="20"/>
                <w:szCs w:val="20"/>
                <w:color w:val="auto"/>
              </w:rPr>
            </w:pPr>
            <w:r>
              <w:rPr>
                <w:rFonts w:ascii="Arial" w:cs="Arial" w:eastAsia="Arial" w:hAnsi="Arial"/>
                <w:sz w:val="20"/>
                <w:szCs w:val="20"/>
                <w:color w:val="auto"/>
              </w:rPr>
              <w:t>[†]</w:t>
            </w:r>
          </w:p>
        </w:tc>
        <w:tc>
          <w:tcPr>
            <w:tcW w:w="960" w:type="dxa"/>
            <w:vAlign w:val="bottom"/>
            <w:tcBorders>
              <w:bottom w:val="single" w:sz="8" w:color="auto"/>
              <w:right w:val="single" w:sz="8" w:color="auto"/>
            </w:tcBorders>
          </w:tcPr>
          <w:p>
            <w:pPr>
              <w:spacing w:after="0" w:line="223" w:lineRule="exact"/>
              <w:rPr>
                <w:sz w:val="20"/>
                <w:szCs w:val="20"/>
                <w:color w:val="auto"/>
              </w:rPr>
            </w:pPr>
            <w:r>
              <w:rPr>
                <w:rFonts w:ascii="Arial" w:cs="Arial" w:eastAsia="Arial" w:hAnsi="Arial"/>
                <w:sz w:val="20"/>
                <w:szCs w:val="20"/>
                <w:color w:val="auto"/>
              </w:rPr>
              <w:t>[†]</w:t>
            </w:r>
          </w:p>
        </w:tc>
        <w:tc>
          <w:tcPr>
            <w:tcW w:w="920" w:type="dxa"/>
            <w:vAlign w:val="bottom"/>
            <w:tcBorders>
              <w:bottom w:val="single" w:sz="8" w:color="auto"/>
              <w:right w:val="single" w:sz="8" w:color="auto"/>
            </w:tcBorders>
          </w:tcPr>
          <w:p>
            <w:pPr>
              <w:spacing w:after="0" w:line="223" w:lineRule="exact"/>
              <w:rPr>
                <w:sz w:val="20"/>
                <w:szCs w:val="20"/>
                <w:color w:val="auto"/>
              </w:rPr>
            </w:pPr>
            <w:r>
              <w:rPr>
                <w:rFonts w:ascii="Arial" w:cs="Arial" w:eastAsia="Arial" w:hAnsi="Arial"/>
                <w:sz w:val="20"/>
                <w:szCs w:val="20"/>
                <w:color w:val="auto"/>
              </w:rPr>
              <w:t>[†]</w:t>
            </w:r>
          </w:p>
        </w:tc>
        <w:tc>
          <w:tcPr>
            <w:tcW w:w="2560" w:type="dxa"/>
            <w:vAlign w:val="bottom"/>
            <w:tcBorders>
              <w:bottom w:val="single" w:sz="8" w:color="auto"/>
              <w:right w:val="single" w:sz="8" w:color="auto"/>
            </w:tcBorders>
          </w:tcPr>
          <w:p>
            <w:pPr>
              <w:spacing w:after="0" w:line="223" w:lineRule="exact"/>
              <w:rPr>
                <w:sz w:val="20"/>
                <w:szCs w:val="20"/>
                <w:color w:val="auto"/>
              </w:rPr>
            </w:pPr>
            <w:r>
              <w:rPr>
                <w:rFonts w:ascii="Arial" w:cs="Arial" w:eastAsia="Arial" w:hAnsi="Arial"/>
                <w:sz w:val="20"/>
                <w:szCs w:val="20"/>
                <w:color w:val="auto"/>
              </w:rPr>
              <w:t>[†]</w:t>
            </w:r>
          </w:p>
        </w:tc>
        <w:tc>
          <w:tcPr>
            <w:tcW w:w="760" w:type="dxa"/>
            <w:vAlign w:val="bottom"/>
            <w:tcBorders>
              <w:bottom w:val="single" w:sz="8" w:color="auto"/>
              <w:right w:val="single" w:sz="8" w:color="auto"/>
            </w:tcBorders>
          </w:tcPr>
          <w:p>
            <w:pPr>
              <w:spacing w:after="0" w:line="223" w:lineRule="exact"/>
              <w:rPr>
                <w:sz w:val="20"/>
                <w:szCs w:val="20"/>
                <w:color w:val="auto"/>
              </w:rPr>
            </w:pPr>
            <w:r>
              <w:rPr>
                <w:rFonts w:ascii="Arial" w:cs="Arial" w:eastAsia="Arial" w:hAnsi="Arial"/>
                <w:sz w:val="20"/>
                <w:szCs w:val="20"/>
                <w:color w:val="auto"/>
              </w:rPr>
              <w:t>[†]</w:t>
            </w:r>
          </w:p>
        </w:tc>
        <w:tc>
          <w:tcPr>
            <w:tcW w:w="1120" w:type="dxa"/>
            <w:vAlign w:val="bottom"/>
            <w:tcBorders>
              <w:bottom w:val="single" w:sz="8" w:color="auto"/>
              <w:right w:val="single" w:sz="8" w:color="auto"/>
            </w:tcBorders>
          </w:tcPr>
          <w:p>
            <w:pPr>
              <w:spacing w:after="0" w:line="223" w:lineRule="exact"/>
              <w:rPr>
                <w:sz w:val="20"/>
                <w:szCs w:val="20"/>
                <w:color w:val="auto"/>
              </w:rPr>
            </w:pPr>
            <w:r>
              <w:rPr>
                <w:rFonts w:ascii="Arial" w:cs="Arial" w:eastAsia="Arial" w:hAnsi="Arial"/>
                <w:sz w:val="20"/>
                <w:szCs w:val="20"/>
                <w:color w:val="auto"/>
              </w:rPr>
              <w:t>[†]</w:t>
            </w:r>
          </w:p>
        </w:tc>
        <w:tc>
          <w:tcPr>
            <w:tcW w:w="760" w:type="dxa"/>
            <w:vAlign w:val="bottom"/>
            <w:tcBorders>
              <w:bottom w:val="single" w:sz="8" w:color="auto"/>
              <w:right w:val="single" w:sz="8" w:color="auto"/>
            </w:tcBorders>
          </w:tcPr>
          <w:p>
            <w:pPr>
              <w:spacing w:after="0" w:line="223" w:lineRule="exact"/>
              <w:rPr>
                <w:sz w:val="20"/>
                <w:szCs w:val="20"/>
                <w:color w:val="auto"/>
              </w:rPr>
            </w:pPr>
            <w:r>
              <w:rPr>
                <w:rFonts w:ascii="Arial" w:cs="Arial" w:eastAsia="Arial" w:hAnsi="Arial"/>
                <w:sz w:val="20"/>
                <w:szCs w:val="20"/>
                <w:color w:val="auto"/>
              </w:rPr>
              <w:t>[†]</w:t>
            </w:r>
          </w:p>
        </w:tc>
        <w:tc>
          <w:tcPr>
            <w:tcW w:w="760" w:type="dxa"/>
            <w:vAlign w:val="bottom"/>
            <w:tcBorders>
              <w:bottom w:val="single" w:sz="8" w:color="auto"/>
              <w:right w:val="single" w:sz="8" w:color="auto"/>
            </w:tcBorders>
          </w:tcPr>
          <w:p>
            <w:pPr>
              <w:spacing w:after="0" w:line="223" w:lineRule="exact"/>
              <w:rPr>
                <w:sz w:val="20"/>
                <w:szCs w:val="20"/>
                <w:color w:val="auto"/>
              </w:rPr>
            </w:pPr>
            <w:r>
              <w:rPr>
                <w:rFonts w:ascii="Arial" w:cs="Arial" w:eastAsia="Arial" w:hAnsi="Arial"/>
                <w:sz w:val="20"/>
                <w:szCs w:val="20"/>
                <w:color w:val="auto"/>
              </w:rPr>
              <w:t>[†]</w:t>
            </w:r>
          </w:p>
        </w:tc>
        <w:tc>
          <w:tcPr>
            <w:tcW w:w="880" w:type="dxa"/>
            <w:vAlign w:val="bottom"/>
            <w:tcBorders>
              <w:bottom w:val="single" w:sz="8" w:color="auto"/>
              <w:right w:val="single" w:sz="8" w:color="auto"/>
            </w:tcBorders>
          </w:tcPr>
          <w:p>
            <w:pPr>
              <w:spacing w:after="0"/>
              <w:rPr>
                <w:sz w:val="19"/>
                <w:szCs w:val="19"/>
                <w:color w:val="auto"/>
              </w:rPr>
            </w:pPr>
          </w:p>
        </w:tc>
        <w:tc>
          <w:tcPr>
            <w:tcW w:w="840" w:type="dxa"/>
            <w:vAlign w:val="bottom"/>
            <w:tcBorders>
              <w:bottom w:val="single" w:sz="8" w:color="auto"/>
              <w:right w:val="single" w:sz="8" w:color="auto"/>
            </w:tcBorders>
          </w:tcPr>
          <w:p>
            <w:pPr>
              <w:spacing w:after="0"/>
              <w:rPr>
                <w:sz w:val="19"/>
                <w:szCs w:val="19"/>
                <w:color w:val="auto"/>
              </w:rPr>
            </w:pPr>
          </w:p>
        </w:tc>
        <w:tc>
          <w:tcPr>
            <w:tcW w:w="1040" w:type="dxa"/>
            <w:vAlign w:val="bottom"/>
            <w:tcBorders>
              <w:bottom w:val="single" w:sz="8" w:color="auto"/>
              <w:right w:val="single" w:sz="8" w:color="auto"/>
            </w:tcBorders>
          </w:tcPr>
          <w:p>
            <w:pPr>
              <w:spacing w:after="0" w:line="223" w:lineRule="exact"/>
              <w:rPr>
                <w:sz w:val="20"/>
                <w:szCs w:val="20"/>
                <w:color w:val="auto"/>
              </w:rPr>
            </w:pPr>
            <w:r>
              <w:rPr>
                <w:rFonts w:ascii="Arial" w:cs="Arial" w:eastAsia="Arial" w:hAnsi="Arial"/>
                <w:sz w:val="20"/>
                <w:szCs w:val="20"/>
                <w:color w:val="auto"/>
              </w:rPr>
              <w:t>[†]</w:t>
            </w:r>
          </w:p>
        </w:tc>
      </w:tr>
      <w:tr>
        <w:trPr>
          <w:trHeight w:val="223"/>
        </w:trPr>
        <w:tc>
          <w:tcPr>
            <w:tcW w:w="780" w:type="dxa"/>
            <w:vAlign w:val="bottom"/>
            <w:tcBorders>
              <w:left w:val="single" w:sz="8" w:color="auto"/>
              <w:bottom w:val="single" w:sz="8" w:color="auto"/>
              <w:right w:val="single" w:sz="8" w:color="auto"/>
            </w:tcBorders>
          </w:tcPr>
          <w:p>
            <w:pPr>
              <w:spacing w:after="0" w:line="223" w:lineRule="exact"/>
              <w:rPr>
                <w:sz w:val="20"/>
                <w:szCs w:val="20"/>
                <w:color w:val="auto"/>
              </w:rPr>
            </w:pPr>
            <w:r>
              <w:rPr>
                <w:rFonts w:ascii="Arial" w:cs="Arial" w:eastAsia="Arial" w:hAnsi="Arial"/>
                <w:sz w:val="20"/>
                <w:szCs w:val="20"/>
                <w:color w:val="auto"/>
              </w:rPr>
              <w:t>[†]</w:t>
            </w:r>
          </w:p>
        </w:tc>
        <w:tc>
          <w:tcPr>
            <w:tcW w:w="960" w:type="dxa"/>
            <w:vAlign w:val="bottom"/>
            <w:tcBorders>
              <w:bottom w:val="single" w:sz="8" w:color="auto"/>
              <w:right w:val="single" w:sz="8" w:color="auto"/>
            </w:tcBorders>
          </w:tcPr>
          <w:p>
            <w:pPr>
              <w:spacing w:after="0" w:line="223" w:lineRule="exact"/>
              <w:rPr>
                <w:sz w:val="20"/>
                <w:szCs w:val="20"/>
                <w:color w:val="auto"/>
              </w:rPr>
            </w:pPr>
            <w:r>
              <w:rPr>
                <w:rFonts w:ascii="Arial" w:cs="Arial" w:eastAsia="Arial" w:hAnsi="Arial"/>
                <w:sz w:val="20"/>
                <w:szCs w:val="20"/>
                <w:color w:val="auto"/>
              </w:rPr>
              <w:t>[†]</w:t>
            </w:r>
          </w:p>
        </w:tc>
        <w:tc>
          <w:tcPr>
            <w:tcW w:w="920" w:type="dxa"/>
            <w:vAlign w:val="bottom"/>
            <w:tcBorders>
              <w:bottom w:val="single" w:sz="8" w:color="auto"/>
              <w:right w:val="single" w:sz="8" w:color="auto"/>
            </w:tcBorders>
          </w:tcPr>
          <w:p>
            <w:pPr>
              <w:spacing w:after="0" w:line="223" w:lineRule="exact"/>
              <w:rPr>
                <w:sz w:val="20"/>
                <w:szCs w:val="20"/>
                <w:color w:val="auto"/>
              </w:rPr>
            </w:pPr>
            <w:r>
              <w:rPr>
                <w:rFonts w:ascii="Arial" w:cs="Arial" w:eastAsia="Arial" w:hAnsi="Arial"/>
                <w:sz w:val="20"/>
                <w:szCs w:val="20"/>
                <w:color w:val="auto"/>
              </w:rPr>
              <w:t>[†]</w:t>
            </w:r>
          </w:p>
        </w:tc>
        <w:tc>
          <w:tcPr>
            <w:tcW w:w="2560" w:type="dxa"/>
            <w:vAlign w:val="bottom"/>
            <w:tcBorders>
              <w:bottom w:val="single" w:sz="8" w:color="auto"/>
              <w:right w:val="single" w:sz="8" w:color="auto"/>
            </w:tcBorders>
          </w:tcPr>
          <w:p>
            <w:pPr>
              <w:spacing w:after="0" w:line="223" w:lineRule="exact"/>
              <w:rPr>
                <w:sz w:val="20"/>
                <w:szCs w:val="20"/>
                <w:color w:val="auto"/>
              </w:rPr>
            </w:pPr>
            <w:r>
              <w:rPr>
                <w:rFonts w:ascii="Arial" w:cs="Arial" w:eastAsia="Arial" w:hAnsi="Arial"/>
                <w:sz w:val="20"/>
                <w:szCs w:val="20"/>
                <w:color w:val="auto"/>
              </w:rPr>
              <w:t>[†]</w:t>
            </w:r>
          </w:p>
        </w:tc>
        <w:tc>
          <w:tcPr>
            <w:tcW w:w="760" w:type="dxa"/>
            <w:vAlign w:val="bottom"/>
            <w:tcBorders>
              <w:bottom w:val="single" w:sz="8" w:color="auto"/>
              <w:right w:val="single" w:sz="8" w:color="auto"/>
            </w:tcBorders>
          </w:tcPr>
          <w:p>
            <w:pPr>
              <w:spacing w:after="0" w:line="223" w:lineRule="exact"/>
              <w:rPr>
                <w:sz w:val="20"/>
                <w:szCs w:val="20"/>
                <w:color w:val="auto"/>
              </w:rPr>
            </w:pPr>
            <w:r>
              <w:rPr>
                <w:rFonts w:ascii="Arial" w:cs="Arial" w:eastAsia="Arial" w:hAnsi="Arial"/>
                <w:sz w:val="20"/>
                <w:szCs w:val="20"/>
                <w:color w:val="auto"/>
              </w:rPr>
              <w:t>[†]</w:t>
            </w:r>
          </w:p>
        </w:tc>
        <w:tc>
          <w:tcPr>
            <w:tcW w:w="1120" w:type="dxa"/>
            <w:vAlign w:val="bottom"/>
            <w:tcBorders>
              <w:bottom w:val="single" w:sz="8" w:color="auto"/>
              <w:right w:val="single" w:sz="8" w:color="auto"/>
            </w:tcBorders>
          </w:tcPr>
          <w:p>
            <w:pPr>
              <w:spacing w:after="0" w:line="223" w:lineRule="exact"/>
              <w:rPr>
                <w:sz w:val="20"/>
                <w:szCs w:val="20"/>
                <w:color w:val="auto"/>
              </w:rPr>
            </w:pPr>
            <w:r>
              <w:rPr>
                <w:rFonts w:ascii="Arial" w:cs="Arial" w:eastAsia="Arial" w:hAnsi="Arial"/>
                <w:sz w:val="20"/>
                <w:szCs w:val="20"/>
                <w:color w:val="auto"/>
              </w:rPr>
              <w:t>[†]</w:t>
            </w:r>
          </w:p>
        </w:tc>
        <w:tc>
          <w:tcPr>
            <w:tcW w:w="760" w:type="dxa"/>
            <w:vAlign w:val="bottom"/>
            <w:tcBorders>
              <w:bottom w:val="single" w:sz="8" w:color="auto"/>
              <w:right w:val="single" w:sz="8" w:color="auto"/>
            </w:tcBorders>
          </w:tcPr>
          <w:p>
            <w:pPr>
              <w:spacing w:after="0" w:line="223" w:lineRule="exact"/>
              <w:rPr>
                <w:sz w:val="20"/>
                <w:szCs w:val="20"/>
                <w:color w:val="auto"/>
              </w:rPr>
            </w:pPr>
            <w:r>
              <w:rPr>
                <w:rFonts w:ascii="Arial" w:cs="Arial" w:eastAsia="Arial" w:hAnsi="Arial"/>
                <w:sz w:val="20"/>
                <w:szCs w:val="20"/>
                <w:color w:val="auto"/>
              </w:rPr>
              <w:t>[†]</w:t>
            </w:r>
          </w:p>
        </w:tc>
        <w:tc>
          <w:tcPr>
            <w:tcW w:w="760" w:type="dxa"/>
            <w:vAlign w:val="bottom"/>
            <w:tcBorders>
              <w:bottom w:val="single" w:sz="8" w:color="auto"/>
              <w:right w:val="single" w:sz="8" w:color="auto"/>
            </w:tcBorders>
          </w:tcPr>
          <w:p>
            <w:pPr>
              <w:spacing w:after="0" w:line="223" w:lineRule="exact"/>
              <w:rPr>
                <w:sz w:val="20"/>
                <w:szCs w:val="20"/>
                <w:color w:val="auto"/>
              </w:rPr>
            </w:pPr>
            <w:r>
              <w:rPr>
                <w:rFonts w:ascii="Arial" w:cs="Arial" w:eastAsia="Arial" w:hAnsi="Arial"/>
                <w:sz w:val="20"/>
                <w:szCs w:val="20"/>
                <w:color w:val="auto"/>
              </w:rPr>
              <w:t>[†]</w:t>
            </w:r>
          </w:p>
        </w:tc>
        <w:tc>
          <w:tcPr>
            <w:tcW w:w="880" w:type="dxa"/>
            <w:vAlign w:val="bottom"/>
            <w:tcBorders>
              <w:bottom w:val="single" w:sz="8" w:color="auto"/>
              <w:right w:val="single" w:sz="8" w:color="auto"/>
            </w:tcBorders>
          </w:tcPr>
          <w:p>
            <w:pPr>
              <w:spacing w:after="0"/>
              <w:rPr>
                <w:sz w:val="19"/>
                <w:szCs w:val="19"/>
                <w:color w:val="auto"/>
              </w:rPr>
            </w:pPr>
          </w:p>
        </w:tc>
        <w:tc>
          <w:tcPr>
            <w:tcW w:w="840" w:type="dxa"/>
            <w:vAlign w:val="bottom"/>
            <w:tcBorders>
              <w:bottom w:val="single" w:sz="8" w:color="auto"/>
              <w:right w:val="single" w:sz="8" w:color="auto"/>
            </w:tcBorders>
          </w:tcPr>
          <w:p>
            <w:pPr>
              <w:spacing w:after="0"/>
              <w:rPr>
                <w:sz w:val="19"/>
                <w:szCs w:val="19"/>
                <w:color w:val="auto"/>
              </w:rPr>
            </w:pPr>
          </w:p>
        </w:tc>
        <w:tc>
          <w:tcPr>
            <w:tcW w:w="1040" w:type="dxa"/>
            <w:vAlign w:val="bottom"/>
            <w:tcBorders>
              <w:bottom w:val="single" w:sz="8" w:color="auto"/>
              <w:right w:val="single" w:sz="8" w:color="auto"/>
            </w:tcBorders>
          </w:tcPr>
          <w:p>
            <w:pPr>
              <w:spacing w:after="0" w:line="223" w:lineRule="exact"/>
              <w:rPr>
                <w:sz w:val="20"/>
                <w:szCs w:val="20"/>
                <w:color w:val="auto"/>
              </w:rPr>
            </w:pPr>
            <w:r>
              <w:rPr>
                <w:rFonts w:ascii="Arial" w:cs="Arial" w:eastAsia="Arial" w:hAnsi="Arial"/>
                <w:sz w:val="20"/>
                <w:szCs w:val="20"/>
                <w:color w:val="auto"/>
              </w:rPr>
              <w:t>[†]</w:t>
            </w:r>
          </w:p>
        </w:tc>
      </w:tr>
      <w:tr>
        <w:trPr>
          <w:trHeight w:val="223"/>
        </w:trPr>
        <w:tc>
          <w:tcPr>
            <w:tcW w:w="780" w:type="dxa"/>
            <w:vAlign w:val="bottom"/>
            <w:tcBorders>
              <w:left w:val="single" w:sz="8" w:color="auto"/>
              <w:bottom w:val="single" w:sz="8" w:color="auto"/>
              <w:right w:val="single" w:sz="8" w:color="auto"/>
            </w:tcBorders>
          </w:tcPr>
          <w:p>
            <w:pPr>
              <w:spacing w:after="0" w:line="223" w:lineRule="exact"/>
              <w:rPr>
                <w:sz w:val="20"/>
                <w:szCs w:val="20"/>
                <w:color w:val="auto"/>
              </w:rPr>
            </w:pPr>
            <w:r>
              <w:rPr>
                <w:rFonts w:ascii="Arial" w:cs="Arial" w:eastAsia="Arial" w:hAnsi="Arial"/>
                <w:sz w:val="20"/>
                <w:szCs w:val="20"/>
                <w:color w:val="auto"/>
              </w:rPr>
              <w:t>[†]</w:t>
            </w:r>
          </w:p>
        </w:tc>
        <w:tc>
          <w:tcPr>
            <w:tcW w:w="960" w:type="dxa"/>
            <w:vAlign w:val="bottom"/>
            <w:tcBorders>
              <w:bottom w:val="single" w:sz="8" w:color="auto"/>
              <w:right w:val="single" w:sz="8" w:color="auto"/>
            </w:tcBorders>
          </w:tcPr>
          <w:p>
            <w:pPr>
              <w:spacing w:after="0" w:line="223" w:lineRule="exact"/>
              <w:rPr>
                <w:sz w:val="20"/>
                <w:szCs w:val="20"/>
                <w:color w:val="auto"/>
              </w:rPr>
            </w:pPr>
            <w:r>
              <w:rPr>
                <w:rFonts w:ascii="Arial" w:cs="Arial" w:eastAsia="Arial" w:hAnsi="Arial"/>
                <w:sz w:val="20"/>
                <w:szCs w:val="20"/>
                <w:color w:val="auto"/>
              </w:rPr>
              <w:t>[†]</w:t>
            </w:r>
          </w:p>
        </w:tc>
        <w:tc>
          <w:tcPr>
            <w:tcW w:w="920" w:type="dxa"/>
            <w:vAlign w:val="bottom"/>
            <w:tcBorders>
              <w:bottom w:val="single" w:sz="8" w:color="auto"/>
              <w:right w:val="single" w:sz="8" w:color="auto"/>
            </w:tcBorders>
          </w:tcPr>
          <w:p>
            <w:pPr>
              <w:spacing w:after="0" w:line="223" w:lineRule="exact"/>
              <w:rPr>
                <w:sz w:val="20"/>
                <w:szCs w:val="20"/>
                <w:color w:val="auto"/>
              </w:rPr>
            </w:pPr>
            <w:r>
              <w:rPr>
                <w:rFonts w:ascii="Arial" w:cs="Arial" w:eastAsia="Arial" w:hAnsi="Arial"/>
                <w:sz w:val="20"/>
                <w:szCs w:val="20"/>
                <w:color w:val="auto"/>
              </w:rPr>
              <w:t>[†]</w:t>
            </w:r>
          </w:p>
        </w:tc>
        <w:tc>
          <w:tcPr>
            <w:tcW w:w="2560" w:type="dxa"/>
            <w:vAlign w:val="bottom"/>
            <w:tcBorders>
              <w:bottom w:val="single" w:sz="8" w:color="auto"/>
              <w:right w:val="single" w:sz="8" w:color="auto"/>
            </w:tcBorders>
          </w:tcPr>
          <w:p>
            <w:pPr>
              <w:spacing w:after="0" w:line="223" w:lineRule="exact"/>
              <w:rPr>
                <w:sz w:val="20"/>
                <w:szCs w:val="20"/>
                <w:color w:val="auto"/>
              </w:rPr>
            </w:pPr>
            <w:r>
              <w:rPr>
                <w:rFonts w:ascii="Arial" w:cs="Arial" w:eastAsia="Arial" w:hAnsi="Arial"/>
                <w:sz w:val="20"/>
                <w:szCs w:val="20"/>
                <w:color w:val="auto"/>
              </w:rPr>
              <w:t>[†]</w:t>
            </w:r>
          </w:p>
        </w:tc>
        <w:tc>
          <w:tcPr>
            <w:tcW w:w="760" w:type="dxa"/>
            <w:vAlign w:val="bottom"/>
            <w:tcBorders>
              <w:bottom w:val="single" w:sz="8" w:color="auto"/>
              <w:right w:val="single" w:sz="8" w:color="auto"/>
            </w:tcBorders>
          </w:tcPr>
          <w:p>
            <w:pPr>
              <w:spacing w:after="0" w:line="223" w:lineRule="exact"/>
              <w:rPr>
                <w:sz w:val="20"/>
                <w:szCs w:val="20"/>
                <w:color w:val="auto"/>
              </w:rPr>
            </w:pPr>
            <w:r>
              <w:rPr>
                <w:rFonts w:ascii="Arial" w:cs="Arial" w:eastAsia="Arial" w:hAnsi="Arial"/>
                <w:sz w:val="20"/>
                <w:szCs w:val="20"/>
                <w:color w:val="auto"/>
              </w:rPr>
              <w:t>[†]</w:t>
            </w:r>
          </w:p>
        </w:tc>
        <w:tc>
          <w:tcPr>
            <w:tcW w:w="1120" w:type="dxa"/>
            <w:vAlign w:val="bottom"/>
            <w:tcBorders>
              <w:bottom w:val="single" w:sz="8" w:color="auto"/>
              <w:right w:val="single" w:sz="8" w:color="auto"/>
            </w:tcBorders>
          </w:tcPr>
          <w:p>
            <w:pPr>
              <w:spacing w:after="0" w:line="223" w:lineRule="exact"/>
              <w:rPr>
                <w:sz w:val="20"/>
                <w:szCs w:val="20"/>
                <w:color w:val="auto"/>
              </w:rPr>
            </w:pPr>
            <w:r>
              <w:rPr>
                <w:rFonts w:ascii="Arial" w:cs="Arial" w:eastAsia="Arial" w:hAnsi="Arial"/>
                <w:sz w:val="20"/>
                <w:szCs w:val="20"/>
                <w:color w:val="auto"/>
              </w:rPr>
              <w:t>[†]</w:t>
            </w:r>
          </w:p>
        </w:tc>
        <w:tc>
          <w:tcPr>
            <w:tcW w:w="760" w:type="dxa"/>
            <w:vAlign w:val="bottom"/>
            <w:tcBorders>
              <w:bottom w:val="single" w:sz="8" w:color="auto"/>
              <w:right w:val="single" w:sz="8" w:color="auto"/>
            </w:tcBorders>
          </w:tcPr>
          <w:p>
            <w:pPr>
              <w:spacing w:after="0" w:line="223" w:lineRule="exact"/>
              <w:rPr>
                <w:sz w:val="20"/>
                <w:szCs w:val="20"/>
                <w:color w:val="auto"/>
              </w:rPr>
            </w:pPr>
            <w:r>
              <w:rPr>
                <w:rFonts w:ascii="Arial" w:cs="Arial" w:eastAsia="Arial" w:hAnsi="Arial"/>
                <w:sz w:val="20"/>
                <w:szCs w:val="20"/>
                <w:color w:val="auto"/>
              </w:rPr>
              <w:t>[†]</w:t>
            </w:r>
          </w:p>
        </w:tc>
        <w:tc>
          <w:tcPr>
            <w:tcW w:w="760" w:type="dxa"/>
            <w:vAlign w:val="bottom"/>
            <w:tcBorders>
              <w:bottom w:val="single" w:sz="8" w:color="auto"/>
              <w:right w:val="single" w:sz="8" w:color="auto"/>
            </w:tcBorders>
          </w:tcPr>
          <w:p>
            <w:pPr>
              <w:spacing w:after="0" w:line="223" w:lineRule="exact"/>
              <w:rPr>
                <w:sz w:val="20"/>
                <w:szCs w:val="20"/>
                <w:color w:val="auto"/>
              </w:rPr>
            </w:pPr>
            <w:r>
              <w:rPr>
                <w:rFonts w:ascii="Arial" w:cs="Arial" w:eastAsia="Arial" w:hAnsi="Arial"/>
                <w:sz w:val="20"/>
                <w:szCs w:val="20"/>
                <w:color w:val="auto"/>
              </w:rPr>
              <w:t>[†]</w:t>
            </w:r>
          </w:p>
        </w:tc>
        <w:tc>
          <w:tcPr>
            <w:tcW w:w="880" w:type="dxa"/>
            <w:vAlign w:val="bottom"/>
            <w:tcBorders>
              <w:bottom w:val="single" w:sz="8" w:color="auto"/>
              <w:right w:val="single" w:sz="8" w:color="auto"/>
            </w:tcBorders>
          </w:tcPr>
          <w:p>
            <w:pPr>
              <w:spacing w:after="0" w:line="223" w:lineRule="exact"/>
              <w:rPr>
                <w:sz w:val="20"/>
                <w:szCs w:val="20"/>
                <w:color w:val="auto"/>
              </w:rPr>
            </w:pPr>
            <w:r>
              <w:rPr>
                <w:rFonts w:ascii="Arial" w:cs="Arial" w:eastAsia="Arial" w:hAnsi="Arial"/>
                <w:sz w:val="20"/>
                <w:szCs w:val="20"/>
                <w:color w:val="auto"/>
              </w:rPr>
              <w:t>[†]</w:t>
            </w:r>
          </w:p>
        </w:tc>
        <w:tc>
          <w:tcPr>
            <w:tcW w:w="840" w:type="dxa"/>
            <w:vAlign w:val="bottom"/>
            <w:tcBorders>
              <w:bottom w:val="single" w:sz="8" w:color="auto"/>
              <w:right w:val="single" w:sz="8" w:color="auto"/>
            </w:tcBorders>
          </w:tcPr>
          <w:p>
            <w:pPr>
              <w:spacing w:after="0" w:line="223" w:lineRule="exact"/>
              <w:rPr>
                <w:sz w:val="20"/>
                <w:szCs w:val="20"/>
                <w:color w:val="auto"/>
              </w:rPr>
            </w:pPr>
            <w:r>
              <w:rPr>
                <w:rFonts w:ascii="Arial" w:cs="Arial" w:eastAsia="Arial" w:hAnsi="Arial"/>
                <w:sz w:val="20"/>
                <w:szCs w:val="20"/>
                <w:color w:val="auto"/>
              </w:rPr>
              <w:t>[†]</w:t>
            </w:r>
          </w:p>
        </w:tc>
        <w:tc>
          <w:tcPr>
            <w:tcW w:w="1040" w:type="dxa"/>
            <w:vAlign w:val="bottom"/>
            <w:tcBorders>
              <w:bottom w:val="single" w:sz="8" w:color="auto"/>
              <w:right w:val="single" w:sz="8" w:color="auto"/>
            </w:tcBorders>
          </w:tcPr>
          <w:p>
            <w:pPr>
              <w:spacing w:after="0" w:line="223" w:lineRule="exact"/>
              <w:rPr>
                <w:sz w:val="20"/>
                <w:szCs w:val="20"/>
                <w:color w:val="auto"/>
              </w:rPr>
            </w:pPr>
            <w:r>
              <w:rPr>
                <w:rFonts w:ascii="Arial" w:cs="Arial" w:eastAsia="Arial" w:hAnsi="Arial"/>
                <w:sz w:val="20"/>
                <w:szCs w:val="20"/>
                <w:color w:val="auto"/>
              </w:rPr>
              <w:t>[†]</w:t>
            </w:r>
          </w:p>
        </w:tc>
      </w:tr>
    </w:tbl>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4.7(b) - Fees Payable; Abandoned IP</w:t>
      </w:r>
    </w:p>
    <w:p>
      <w:pPr>
        <w:spacing w:after="0" w:line="217" w:lineRule="exact"/>
        <w:rPr>
          <w:sz w:val="20"/>
          <w:szCs w:val="20"/>
          <w:color w:val="auto"/>
        </w:rPr>
      </w:pPr>
    </w:p>
    <w:p>
      <w:pPr>
        <w:ind w:left="860"/>
        <w:spacing w:after="0"/>
        <w:rPr>
          <w:sz w:val="20"/>
          <w:szCs w:val="20"/>
          <w:color w:val="auto"/>
        </w:rPr>
      </w:pPr>
      <w:r>
        <w:rPr>
          <w:rFonts w:ascii="Arial" w:cs="Arial" w:eastAsia="Arial" w:hAnsi="Arial"/>
          <w:sz w:val="19"/>
          <w:szCs w:val="19"/>
          <w:color w:val="auto"/>
        </w:rPr>
        <w:t>As further described below, certain of the following Transferred IPR (i) requires that actions be taken within [†] following the</w:t>
      </w:r>
    </w:p>
    <w:p>
      <w:pPr>
        <w:spacing w:after="0" w:line="27" w:lineRule="exact"/>
        <w:rPr>
          <w:sz w:val="20"/>
          <w:szCs w:val="20"/>
          <w:color w:val="auto"/>
        </w:rPr>
      </w:pPr>
    </w:p>
    <w:p>
      <w:pPr>
        <w:spacing w:after="0"/>
        <w:rPr>
          <w:sz w:val="20"/>
          <w:szCs w:val="20"/>
          <w:color w:val="auto"/>
        </w:rPr>
      </w:pPr>
      <w:r>
        <w:rPr>
          <w:rFonts w:ascii="Arial" w:cs="Arial" w:eastAsia="Arial" w:hAnsi="Arial"/>
          <w:sz w:val="20"/>
          <w:szCs w:val="20"/>
          <w:color w:val="auto"/>
        </w:rPr>
        <w:t>Closing Date, or (ii) was abandoned:</w:t>
      </w:r>
    </w:p>
    <w:p>
      <w:pPr>
        <w:spacing w:after="0" w:line="210" w:lineRule="exact"/>
        <w:rPr>
          <w:sz w:val="20"/>
          <w:szCs w:val="20"/>
          <w:color w:val="auto"/>
        </w:rPr>
      </w:pPr>
    </w:p>
    <w:tbl>
      <w:tblPr>
        <w:tblLayout w:type="fixed"/>
        <w:tblInd w:w="10" w:type="dxa"/>
        <w:tblCellMar>
          <w:top w:w="0" w:type="dxa"/>
          <w:left w:w="0" w:type="dxa"/>
          <w:bottom w:w="0" w:type="dxa"/>
          <w:right w:w="0" w:type="dxa"/>
        </w:tblCellMar>
      </w:tblPr>
      <w:tr>
        <w:trPr>
          <w:trHeight w:val="139"/>
        </w:trPr>
        <w:tc>
          <w:tcPr>
            <w:tcW w:w="980" w:type="dxa"/>
            <w:vAlign w:val="bottom"/>
            <w:tcBorders>
              <w:top w:val="single" w:sz="8" w:color="auto"/>
              <w:left w:val="single" w:sz="8" w:color="auto"/>
              <w:right w:val="single" w:sz="8" w:color="auto"/>
            </w:tcBorders>
          </w:tcPr>
          <w:p>
            <w:pPr>
              <w:ind w:left="20"/>
              <w:spacing w:after="0" w:line="139" w:lineRule="exact"/>
              <w:rPr>
                <w:sz w:val="20"/>
                <w:szCs w:val="20"/>
                <w:color w:val="auto"/>
              </w:rPr>
            </w:pPr>
            <w:r>
              <w:rPr>
                <w:rFonts w:ascii="Arial" w:cs="Arial" w:eastAsia="Arial" w:hAnsi="Arial"/>
                <w:sz w:val="14"/>
                <w:szCs w:val="14"/>
                <w:b w:val="1"/>
                <w:bCs w:val="1"/>
                <w:color w:val="auto"/>
              </w:rPr>
              <w:t>Brinks</w:t>
            </w:r>
          </w:p>
        </w:tc>
        <w:tc>
          <w:tcPr>
            <w:tcW w:w="1620" w:type="dxa"/>
            <w:vAlign w:val="bottom"/>
            <w:tcBorders>
              <w:top w:val="single" w:sz="8" w:color="auto"/>
              <w:right w:val="single" w:sz="8" w:color="auto"/>
            </w:tcBorders>
          </w:tcPr>
          <w:p>
            <w:pPr>
              <w:spacing w:after="0" w:line="139" w:lineRule="exact"/>
              <w:rPr>
                <w:sz w:val="20"/>
                <w:szCs w:val="20"/>
                <w:color w:val="auto"/>
              </w:rPr>
            </w:pPr>
            <w:r>
              <w:rPr>
                <w:rFonts w:ascii="Arial" w:cs="Arial" w:eastAsia="Arial" w:hAnsi="Arial"/>
                <w:sz w:val="14"/>
                <w:szCs w:val="14"/>
                <w:b w:val="1"/>
                <w:bCs w:val="1"/>
                <w:color w:val="auto"/>
              </w:rPr>
              <w:t>Category</w:t>
            </w:r>
          </w:p>
        </w:tc>
        <w:tc>
          <w:tcPr>
            <w:tcW w:w="1160" w:type="dxa"/>
            <w:vAlign w:val="bottom"/>
            <w:tcBorders>
              <w:top w:val="single" w:sz="8" w:color="auto"/>
              <w:right w:val="single" w:sz="8" w:color="auto"/>
            </w:tcBorders>
          </w:tcPr>
          <w:p>
            <w:pPr>
              <w:spacing w:after="0" w:line="139" w:lineRule="exact"/>
              <w:rPr>
                <w:sz w:val="20"/>
                <w:szCs w:val="20"/>
                <w:color w:val="auto"/>
              </w:rPr>
            </w:pPr>
            <w:r>
              <w:rPr>
                <w:rFonts w:ascii="Arial" w:cs="Arial" w:eastAsia="Arial" w:hAnsi="Arial"/>
                <w:sz w:val="14"/>
                <w:szCs w:val="14"/>
                <w:b w:val="1"/>
                <w:bCs w:val="1"/>
                <w:color w:val="auto"/>
              </w:rPr>
              <w:t>Action Date</w:t>
            </w:r>
          </w:p>
        </w:tc>
        <w:tc>
          <w:tcPr>
            <w:tcW w:w="1220" w:type="dxa"/>
            <w:vAlign w:val="bottom"/>
            <w:tcBorders>
              <w:top w:val="single" w:sz="8" w:color="auto"/>
              <w:right w:val="single" w:sz="8" w:color="auto"/>
            </w:tcBorders>
          </w:tcPr>
          <w:p>
            <w:pPr>
              <w:spacing w:after="0" w:line="139" w:lineRule="exact"/>
              <w:rPr>
                <w:sz w:val="20"/>
                <w:szCs w:val="20"/>
                <w:color w:val="auto"/>
              </w:rPr>
            </w:pPr>
            <w:r>
              <w:rPr>
                <w:rFonts w:ascii="Arial" w:cs="Arial" w:eastAsia="Arial" w:hAnsi="Arial"/>
                <w:sz w:val="14"/>
                <w:szCs w:val="14"/>
                <w:b w:val="1"/>
                <w:bCs w:val="1"/>
                <w:color w:val="auto"/>
              </w:rPr>
              <w:t>Country</w:t>
            </w:r>
          </w:p>
        </w:tc>
        <w:tc>
          <w:tcPr>
            <w:tcW w:w="700" w:type="dxa"/>
            <w:vAlign w:val="bottom"/>
            <w:tcBorders>
              <w:top w:val="single" w:sz="8" w:color="auto"/>
              <w:right w:val="single" w:sz="8" w:color="auto"/>
            </w:tcBorders>
          </w:tcPr>
          <w:p>
            <w:pPr>
              <w:spacing w:after="0" w:line="139" w:lineRule="exact"/>
              <w:rPr>
                <w:sz w:val="20"/>
                <w:szCs w:val="20"/>
                <w:color w:val="auto"/>
              </w:rPr>
            </w:pPr>
            <w:r>
              <w:rPr>
                <w:rFonts w:ascii="Arial" w:cs="Arial" w:eastAsia="Arial" w:hAnsi="Arial"/>
                <w:sz w:val="14"/>
                <w:szCs w:val="14"/>
                <w:b w:val="1"/>
                <w:bCs w:val="1"/>
                <w:color w:val="auto"/>
              </w:rPr>
              <w:t>App.</w:t>
            </w:r>
          </w:p>
        </w:tc>
        <w:tc>
          <w:tcPr>
            <w:tcW w:w="1700" w:type="dxa"/>
            <w:vAlign w:val="bottom"/>
            <w:tcBorders>
              <w:top w:val="single" w:sz="8" w:color="auto"/>
              <w:right w:val="single" w:sz="8" w:color="auto"/>
            </w:tcBorders>
          </w:tcPr>
          <w:p>
            <w:pPr>
              <w:spacing w:after="0" w:line="139" w:lineRule="exact"/>
              <w:rPr>
                <w:sz w:val="20"/>
                <w:szCs w:val="20"/>
                <w:color w:val="auto"/>
              </w:rPr>
            </w:pPr>
            <w:r>
              <w:rPr>
                <w:rFonts w:ascii="Arial" w:cs="Arial" w:eastAsia="Arial" w:hAnsi="Arial"/>
                <w:sz w:val="14"/>
                <w:szCs w:val="14"/>
                <w:b w:val="1"/>
                <w:bCs w:val="1"/>
                <w:color w:val="auto"/>
              </w:rPr>
              <w:t>Patent</w:t>
            </w:r>
          </w:p>
        </w:tc>
        <w:tc>
          <w:tcPr>
            <w:tcW w:w="2880" w:type="dxa"/>
            <w:vAlign w:val="bottom"/>
            <w:tcBorders>
              <w:top w:val="single" w:sz="8" w:color="auto"/>
              <w:right w:val="single" w:sz="8" w:color="auto"/>
            </w:tcBorders>
          </w:tcPr>
          <w:p>
            <w:pPr>
              <w:spacing w:after="0" w:line="139" w:lineRule="exact"/>
              <w:rPr>
                <w:sz w:val="20"/>
                <w:szCs w:val="20"/>
                <w:color w:val="auto"/>
              </w:rPr>
            </w:pPr>
            <w:r>
              <w:rPr>
                <w:rFonts w:ascii="Arial" w:cs="Arial" w:eastAsia="Arial" w:hAnsi="Arial"/>
                <w:sz w:val="14"/>
                <w:szCs w:val="14"/>
                <w:b w:val="1"/>
                <w:bCs w:val="1"/>
                <w:color w:val="auto"/>
              </w:rPr>
              <w:t>Comments</w:t>
            </w:r>
          </w:p>
        </w:tc>
      </w:tr>
      <w:tr>
        <w:trPr>
          <w:trHeight w:val="149"/>
        </w:trPr>
        <w:tc>
          <w:tcPr>
            <w:tcW w:w="980" w:type="dxa"/>
            <w:vAlign w:val="bottom"/>
            <w:tcBorders>
              <w:left w:val="single" w:sz="8" w:color="auto"/>
              <w:right w:val="single" w:sz="8" w:color="auto"/>
            </w:tcBorders>
          </w:tcPr>
          <w:p>
            <w:pPr>
              <w:ind w:left="20"/>
              <w:spacing w:after="0" w:line="149" w:lineRule="exact"/>
              <w:rPr>
                <w:sz w:val="20"/>
                <w:szCs w:val="20"/>
                <w:color w:val="auto"/>
              </w:rPr>
            </w:pPr>
            <w:r>
              <w:rPr>
                <w:rFonts w:ascii="Arial" w:cs="Arial" w:eastAsia="Arial" w:hAnsi="Arial"/>
                <w:sz w:val="14"/>
                <w:szCs w:val="14"/>
                <w:b w:val="1"/>
                <w:bCs w:val="1"/>
                <w:color w:val="auto"/>
              </w:rPr>
              <w:t>Gilson</w:t>
            </w:r>
          </w:p>
        </w:tc>
        <w:tc>
          <w:tcPr>
            <w:tcW w:w="1620" w:type="dxa"/>
            <w:vAlign w:val="bottom"/>
            <w:tcBorders>
              <w:right w:val="single" w:sz="8" w:color="auto"/>
            </w:tcBorders>
          </w:tcPr>
          <w:p>
            <w:pPr>
              <w:spacing w:after="0"/>
              <w:rPr>
                <w:sz w:val="12"/>
                <w:szCs w:val="12"/>
                <w:color w:val="auto"/>
              </w:rPr>
            </w:pPr>
          </w:p>
        </w:tc>
        <w:tc>
          <w:tcPr>
            <w:tcW w:w="1160" w:type="dxa"/>
            <w:vAlign w:val="bottom"/>
            <w:tcBorders>
              <w:right w:val="single" w:sz="8" w:color="auto"/>
            </w:tcBorders>
          </w:tcPr>
          <w:p>
            <w:pPr>
              <w:spacing w:after="0"/>
              <w:rPr>
                <w:sz w:val="12"/>
                <w:szCs w:val="12"/>
                <w:color w:val="auto"/>
              </w:rPr>
            </w:pPr>
          </w:p>
        </w:tc>
        <w:tc>
          <w:tcPr>
            <w:tcW w:w="1220" w:type="dxa"/>
            <w:vAlign w:val="bottom"/>
            <w:tcBorders>
              <w:right w:val="single" w:sz="8" w:color="auto"/>
            </w:tcBorders>
          </w:tcPr>
          <w:p>
            <w:pPr>
              <w:spacing w:after="0"/>
              <w:rPr>
                <w:sz w:val="12"/>
                <w:szCs w:val="12"/>
                <w:color w:val="auto"/>
              </w:rPr>
            </w:pPr>
          </w:p>
        </w:tc>
        <w:tc>
          <w:tcPr>
            <w:tcW w:w="700" w:type="dxa"/>
            <w:vAlign w:val="bottom"/>
            <w:tcBorders>
              <w:right w:val="single" w:sz="8" w:color="auto"/>
            </w:tcBorders>
          </w:tcPr>
          <w:p>
            <w:pPr>
              <w:spacing w:after="0" w:line="149" w:lineRule="exact"/>
              <w:rPr>
                <w:sz w:val="20"/>
                <w:szCs w:val="20"/>
                <w:color w:val="auto"/>
              </w:rPr>
            </w:pPr>
            <w:r>
              <w:rPr>
                <w:rFonts w:ascii="Arial" w:cs="Arial" w:eastAsia="Arial" w:hAnsi="Arial"/>
                <w:sz w:val="14"/>
                <w:szCs w:val="14"/>
                <w:b w:val="1"/>
                <w:bCs w:val="1"/>
                <w:color w:val="auto"/>
              </w:rPr>
              <w:t>No.</w:t>
            </w:r>
          </w:p>
        </w:tc>
        <w:tc>
          <w:tcPr>
            <w:tcW w:w="1700" w:type="dxa"/>
            <w:vAlign w:val="bottom"/>
            <w:tcBorders>
              <w:right w:val="single" w:sz="8" w:color="auto"/>
            </w:tcBorders>
          </w:tcPr>
          <w:p>
            <w:pPr>
              <w:spacing w:after="0" w:line="149" w:lineRule="exact"/>
              <w:rPr>
                <w:sz w:val="20"/>
                <w:szCs w:val="20"/>
                <w:color w:val="auto"/>
              </w:rPr>
            </w:pPr>
            <w:r>
              <w:rPr>
                <w:rFonts w:ascii="Arial" w:cs="Arial" w:eastAsia="Arial" w:hAnsi="Arial"/>
                <w:sz w:val="14"/>
                <w:szCs w:val="14"/>
                <w:b w:val="1"/>
                <w:bCs w:val="1"/>
                <w:color w:val="auto"/>
              </w:rPr>
              <w:t>No.</w:t>
            </w:r>
          </w:p>
        </w:tc>
        <w:tc>
          <w:tcPr>
            <w:tcW w:w="2880" w:type="dxa"/>
            <w:vAlign w:val="bottom"/>
            <w:tcBorders>
              <w:right w:val="single" w:sz="8" w:color="auto"/>
            </w:tcBorders>
          </w:tcPr>
          <w:p>
            <w:pPr>
              <w:spacing w:after="0"/>
              <w:rPr>
                <w:sz w:val="12"/>
                <w:szCs w:val="12"/>
                <w:color w:val="auto"/>
              </w:rPr>
            </w:pPr>
          </w:p>
        </w:tc>
      </w:tr>
      <w:tr>
        <w:trPr>
          <w:trHeight w:val="149"/>
        </w:trPr>
        <w:tc>
          <w:tcPr>
            <w:tcW w:w="980" w:type="dxa"/>
            <w:vAlign w:val="bottom"/>
            <w:tcBorders>
              <w:left w:val="single" w:sz="8" w:color="auto"/>
              <w:right w:val="single" w:sz="8" w:color="auto"/>
            </w:tcBorders>
          </w:tcPr>
          <w:p>
            <w:pPr>
              <w:ind w:left="20"/>
              <w:spacing w:after="0" w:line="149" w:lineRule="exact"/>
              <w:rPr>
                <w:sz w:val="20"/>
                <w:szCs w:val="20"/>
                <w:color w:val="auto"/>
              </w:rPr>
            </w:pPr>
            <w:r>
              <w:rPr>
                <w:rFonts w:ascii="Arial" w:cs="Arial" w:eastAsia="Arial" w:hAnsi="Arial"/>
                <w:sz w:val="14"/>
                <w:szCs w:val="14"/>
                <w:b w:val="1"/>
                <w:bCs w:val="1"/>
                <w:color w:val="auto"/>
              </w:rPr>
              <w:t>Leoni</w:t>
            </w:r>
          </w:p>
        </w:tc>
        <w:tc>
          <w:tcPr>
            <w:tcW w:w="1620" w:type="dxa"/>
            <w:vAlign w:val="bottom"/>
            <w:tcBorders>
              <w:right w:val="single" w:sz="8" w:color="auto"/>
            </w:tcBorders>
          </w:tcPr>
          <w:p>
            <w:pPr>
              <w:spacing w:after="0"/>
              <w:rPr>
                <w:sz w:val="12"/>
                <w:szCs w:val="12"/>
                <w:color w:val="auto"/>
              </w:rPr>
            </w:pPr>
          </w:p>
        </w:tc>
        <w:tc>
          <w:tcPr>
            <w:tcW w:w="1160" w:type="dxa"/>
            <w:vAlign w:val="bottom"/>
            <w:tcBorders>
              <w:right w:val="single" w:sz="8" w:color="auto"/>
            </w:tcBorders>
          </w:tcPr>
          <w:p>
            <w:pPr>
              <w:spacing w:after="0"/>
              <w:rPr>
                <w:sz w:val="12"/>
                <w:szCs w:val="12"/>
                <w:color w:val="auto"/>
              </w:rPr>
            </w:pPr>
          </w:p>
        </w:tc>
        <w:tc>
          <w:tcPr>
            <w:tcW w:w="1220" w:type="dxa"/>
            <w:vAlign w:val="bottom"/>
            <w:tcBorders>
              <w:right w:val="single" w:sz="8" w:color="auto"/>
            </w:tcBorders>
          </w:tcPr>
          <w:p>
            <w:pPr>
              <w:spacing w:after="0"/>
              <w:rPr>
                <w:sz w:val="12"/>
                <w:szCs w:val="12"/>
                <w:color w:val="auto"/>
              </w:rPr>
            </w:pPr>
          </w:p>
        </w:tc>
        <w:tc>
          <w:tcPr>
            <w:tcW w:w="700" w:type="dxa"/>
            <w:vAlign w:val="bottom"/>
            <w:tcBorders>
              <w:right w:val="single" w:sz="8" w:color="auto"/>
            </w:tcBorders>
          </w:tcPr>
          <w:p>
            <w:pPr>
              <w:spacing w:after="0"/>
              <w:rPr>
                <w:sz w:val="12"/>
                <w:szCs w:val="12"/>
                <w:color w:val="auto"/>
              </w:rPr>
            </w:pPr>
          </w:p>
        </w:tc>
        <w:tc>
          <w:tcPr>
            <w:tcW w:w="1700" w:type="dxa"/>
            <w:vAlign w:val="bottom"/>
            <w:tcBorders>
              <w:right w:val="single" w:sz="8" w:color="auto"/>
            </w:tcBorders>
          </w:tcPr>
          <w:p>
            <w:pPr>
              <w:spacing w:after="0"/>
              <w:rPr>
                <w:sz w:val="12"/>
                <w:szCs w:val="12"/>
                <w:color w:val="auto"/>
              </w:rPr>
            </w:pPr>
          </w:p>
        </w:tc>
        <w:tc>
          <w:tcPr>
            <w:tcW w:w="2880" w:type="dxa"/>
            <w:vAlign w:val="bottom"/>
            <w:tcBorders>
              <w:right w:val="single" w:sz="8" w:color="auto"/>
            </w:tcBorders>
          </w:tcPr>
          <w:p>
            <w:pPr>
              <w:spacing w:after="0"/>
              <w:rPr>
                <w:sz w:val="12"/>
                <w:szCs w:val="12"/>
                <w:color w:val="auto"/>
              </w:rPr>
            </w:pPr>
          </w:p>
        </w:tc>
      </w:tr>
      <w:tr>
        <w:trPr>
          <w:trHeight w:val="186"/>
        </w:trPr>
        <w:tc>
          <w:tcPr>
            <w:tcW w:w="98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4"/>
                <w:szCs w:val="14"/>
                <w:b w:val="1"/>
                <w:bCs w:val="1"/>
                <w:color w:val="auto"/>
              </w:rPr>
              <w:t>Docket</w:t>
            </w:r>
          </w:p>
        </w:tc>
        <w:tc>
          <w:tcPr>
            <w:tcW w:w="1620" w:type="dxa"/>
            <w:vAlign w:val="bottom"/>
            <w:tcBorders>
              <w:right w:val="single" w:sz="8" w:color="auto"/>
            </w:tcBorders>
          </w:tcPr>
          <w:p>
            <w:pPr>
              <w:spacing w:after="0"/>
              <w:rPr>
                <w:sz w:val="16"/>
                <w:szCs w:val="16"/>
                <w:color w:val="auto"/>
              </w:rPr>
            </w:pPr>
          </w:p>
        </w:tc>
        <w:tc>
          <w:tcPr>
            <w:tcW w:w="1160" w:type="dxa"/>
            <w:vAlign w:val="bottom"/>
            <w:tcBorders>
              <w:right w:val="single" w:sz="8" w:color="auto"/>
            </w:tcBorders>
          </w:tcPr>
          <w:p>
            <w:pPr>
              <w:spacing w:after="0"/>
              <w:rPr>
                <w:sz w:val="16"/>
                <w:szCs w:val="16"/>
                <w:color w:val="auto"/>
              </w:rPr>
            </w:pPr>
          </w:p>
        </w:tc>
        <w:tc>
          <w:tcPr>
            <w:tcW w:w="1220" w:type="dxa"/>
            <w:vAlign w:val="bottom"/>
            <w:tcBorders>
              <w:right w:val="single" w:sz="8" w:color="auto"/>
            </w:tcBorders>
          </w:tcPr>
          <w:p>
            <w:pPr>
              <w:spacing w:after="0"/>
              <w:rPr>
                <w:sz w:val="16"/>
                <w:szCs w:val="16"/>
                <w:color w:val="auto"/>
              </w:rPr>
            </w:pPr>
          </w:p>
        </w:tc>
        <w:tc>
          <w:tcPr>
            <w:tcW w:w="700" w:type="dxa"/>
            <w:vAlign w:val="bottom"/>
            <w:tcBorders>
              <w:right w:val="single" w:sz="8" w:color="auto"/>
            </w:tcBorders>
          </w:tcPr>
          <w:p>
            <w:pPr>
              <w:spacing w:after="0"/>
              <w:rPr>
                <w:sz w:val="16"/>
                <w:szCs w:val="16"/>
                <w:color w:val="auto"/>
              </w:rPr>
            </w:pPr>
          </w:p>
        </w:tc>
        <w:tc>
          <w:tcPr>
            <w:tcW w:w="1700" w:type="dxa"/>
            <w:vAlign w:val="bottom"/>
            <w:tcBorders>
              <w:right w:val="single" w:sz="8" w:color="auto"/>
            </w:tcBorders>
          </w:tcPr>
          <w:p>
            <w:pPr>
              <w:spacing w:after="0"/>
              <w:rPr>
                <w:sz w:val="16"/>
                <w:szCs w:val="16"/>
                <w:color w:val="auto"/>
              </w:rPr>
            </w:pPr>
          </w:p>
        </w:tc>
        <w:tc>
          <w:tcPr>
            <w:tcW w:w="2880" w:type="dxa"/>
            <w:vAlign w:val="bottom"/>
            <w:tcBorders>
              <w:right w:val="single" w:sz="8" w:color="auto"/>
            </w:tcBorders>
          </w:tcPr>
          <w:p>
            <w:pPr>
              <w:spacing w:after="0"/>
              <w:rPr>
                <w:sz w:val="16"/>
                <w:szCs w:val="16"/>
                <w:color w:val="auto"/>
              </w:rPr>
            </w:pPr>
          </w:p>
        </w:tc>
      </w:tr>
      <w:tr>
        <w:trPr>
          <w:trHeight w:val="93"/>
        </w:trPr>
        <w:tc>
          <w:tcPr>
            <w:tcW w:w="980" w:type="dxa"/>
            <w:vAlign w:val="bottom"/>
            <w:tcBorders>
              <w:left w:val="single" w:sz="8" w:color="auto"/>
              <w:bottom w:val="single" w:sz="8" w:color="auto"/>
              <w:right w:val="single" w:sz="8" w:color="auto"/>
            </w:tcBorders>
          </w:tcPr>
          <w:p>
            <w:pPr>
              <w:spacing w:after="0"/>
              <w:rPr>
                <w:sz w:val="8"/>
                <w:szCs w:val="8"/>
                <w:color w:val="auto"/>
              </w:rPr>
            </w:pPr>
          </w:p>
        </w:tc>
        <w:tc>
          <w:tcPr>
            <w:tcW w:w="1620" w:type="dxa"/>
            <w:vAlign w:val="bottom"/>
            <w:tcBorders>
              <w:bottom w:val="single" w:sz="8" w:color="auto"/>
              <w:right w:val="single" w:sz="8" w:color="auto"/>
            </w:tcBorders>
          </w:tcPr>
          <w:p>
            <w:pPr>
              <w:spacing w:after="0"/>
              <w:rPr>
                <w:sz w:val="8"/>
                <w:szCs w:val="8"/>
                <w:color w:val="auto"/>
              </w:rPr>
            </w:pPr>
          </w:p>
        </w:tc>
        <w:tc>
          <w:tcPr>
            <w:tcW w:w="1160" w:type="dxa"/>
            <w:vAlign w:val="bottom"/>
            <w:tcBorders>
              <w:bottom w:val="single" w:sz="8" w:color="auto"/>
              <w:right w:val="single" w:sz="8" w:color="auto"/>
            </w:tcBorders>
          </w:tcPr>
          <w:p>
            <w:pPr>
              <w:spacing w:after="0"/>
              <w:rPr>
                <w:sz w:val="8"/>
                <w:szCs w:val="8"/>
                <w:color w:val="auto"/>
              </w:rPr>
            </w:pPr>
          </w:p>
        </w:tc>
        <w:tc>
          <w:tcPr>
            <w:tcW w:w="1220" w:type="dxa"/>
            <w:vAlign w:val="bottom"/>
            <w:tcBorders>
              <w:bottom w:val="single" w:sz="8" w:color="auto"/>
              <w:right w:val="single" w:sz="8" w:color="auto"/>
            </w:tcBorders>
          </w:tcPr>
          <w:p>
            <w:pPr>
              <w:spacing w:after="0"/>
              <w:rPr>
                <w:sz w:val="8"/>
                <w:szCs w:val="8"/>
                <w:color w:val="auto"/>
              </w:rPr>
            </w:pPr>
          </w:p>
        </w:tc>
        <w:tc>
          <w:tcPr>
            <w:tcW w:w="700" w:type="dxa"/>
            <w:vAlign w:val="bottom"/>
            <w:tcBorders>
              <w:bottom w:val="single" w:sz="8" w:color="auto"/>
              <w:right w:val="single" w:sz="8" w:color="auto"/>
            </w:tcBorders>
          </w:tcPr>
          <w:p>
            <w:pPr>
              <w:spacing w:after="0"/>
              <w:rPr>
                <w:sz w:val="8"/>
                <w:szCs w:val="8"/>
                <w:color w:val="auto"/>
              </w:rPr>
            </w:pPr>
          </w:p>
        </w:tc>
        <w:tc>
          <w:tcPr>
            <w:tcW w:w="1700" w:type="dxa"/>
            <w:vAlign w:val="bottom"/>
            <w:tcBorders>
              <w:bottom w:val="single" w:sz="8" w:color="auto"/>
              <w:right w:val="single" w:sz="8" w:color="auto"/>
            </w:tcBorders>
          </w:tcPr>
          <w:p>
            <w:pPr>
              <w:spacing w:after="0"/>
              <w:rPr>
                <w:sz w:val="8"/>
                <w:szCs w:val="8"/>
                <w:color w:val="auto"/>
              </w:rPr>
            </w:pPr>
          </w:p>
        </w:tc>
        <w:tc>
          <w:tcPr>
            <w:tcW w:w="2880" w:type="dxa"/>
            <w:vAlign w:val="bottom"/>
            <w:tcBorders>
              <w:bottom w:val="single" w:sz="8" w:color="auto"/>
              <w:right w:val="single" w:sz="8" w:color="auto"/>
            </w:tcBorders>
          </w:tcPr>
          <w:p>
            <w:pPr>
              <w:spacing w:after="0"/>
              <w:rPr>
                <w:sz w:val="8"/>
                <w:szCs w:val="8"/>
                <w:color w:val="auto"/>
              </w:rPr>
            </w:pPr>
          </w:p>
        </w:tc>
      </w:tr>
      <w:tr>
        <w:trPr>
          <w:trHeight w:val="244"/>
        </w:trPr>
        <w:tc>
          <w:tcPr>
            <w:tcW w:w="98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w:t>
            </w:r>
          </w:p>
        </w:tc>
        <w:tc>
          <w:tcPr>
            <w:tcW w:w="162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w:t>
            </w:r>
          </w:p>
        </w:tc>
        <w:tc>
          <w:tcPr>
            <w:tcW w:w="116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w:t>
            </w:r>
          </w:p>
        </w:tc>
        <w:tc>
          <w:tcPr>
            <w:tcW w:w="122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w:t>
            </w:r>
          </w:p>
        </w:tc>
        <w:tc>
          <w:tcPr>
            <w:tcW w:w="70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w:t>
            </w:r>
          </w:p>
        </w:tc>
        <w:tc>
          <w:tcPr>
            <w:tcW w:w="1700" w:type="dxa"/>
            <w:vAlign w:val="bottom"/>
            <w:tcBorders>
              <w:right w:val="single" w:sz="8" w:color="auto"/>
            </w:tcBorders>
          </w:tcPr>
          <w:p>
            <w:pPr>
              <w:spacing w:after="0"/>
              <w:rPr>
                <w:sz w:val="21"/>
                <w:szCs w:val="21"/>
                <w:color w:val="auto"/>
              </w:rPr>
            </w:pPr>
          </w:p>
        </w:tc>
        <w:tc>
          <w:tcPr>
            <w:tcW w:w="288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w:t>
            </w:r>
          </w:p>
        </w:tc>
      </w:tr>
      <w:tr>
        <w:trPr>
          <w:trHeight w:val="87"/>
        </w:trPr>
        <w:tc>
          <w:tcPr>
            <w:tcW w:w="980" w:type="dxa"/>
            <w:vAlign w:val="bottom"/>
            <w:tcBorders>
              <w:left w:val="single" w:sz="8" w:color="auto"/>
              <w:bottom w:val="single" w:sz="8" w:color="auto"/>
              <w:right w:val="single" w:sz="8" w:color="auto"/>
            </w:tcBorders>
          </w:tcPr>
          <w:p>
            <w:pPr>
              <w:spacing w:after="0"/>
              <w:rPr>
                <w:sz w:val="7"/>
                <w:szCs w:val="7"/>
                <w:color w:val="auto"/>
              </w:rPr>
            </w:pPr>
          </w:p>
        </w:tc>
        <w:tc>
          <w:tcPr>
            <w:tcW w:w="1620" w:type="dxa"/>
            <w:vAlign w:val="bottom"/>
            <w:tcBorders>
              <w:bottom w:val="single" w:sz="8" w:color="auto"/>
              <w:right w:val="single" w:sz="8" w:color="auto"/>
            </w:tcBorders>
          </w:tcPr>
          <w:p>
            <w:pPr>
              <w:spacing w:after="0"/>
              <w:rPr>
                <w:sz w:val="7"/>
                <w:szCs w:val="7"/>
                <w:color w:val="auto"/>
              </w:rPr>
            </w:pPr>
          </w:p>
        </w:tc>
        <w:tc>
          <w:tcPr>
            <w:tcW w:w="1160" w:type="dxa"/>
            <w:vAlign w:val="bottom"/>
            <w:tcBorders>
              <w:bottom w:val="single" w:sz="8" w:color="auto"/>
              <w:right w:val="single" w:sz="8" w:color="auto"/>
            </w:tcBorders>
          </w:tcPr>
          <w:p>
            <w:pPr>
              <w:spacing w:after="0"/>
              <w:rPr>
                <w:sz w:val="7"/>
                <w:szCs w:val="7"/>
                <w:color w:val="auto"/>
              </w:rPr>
            </w:pPr>
          </w:p>
        </w:tc>
        <w:tc>
          <w:tcPr>
            <w:tcW w:w="1220" w:type="dxa"/>
            <w:vAlign w:val="bottom"/>
            <w:tcBorders>
              <w:bottom w:val="single" w:sz="8" w:color="auto"/>
              <w:right w:val="single" w:sz="8" w:color="auto"/>
            </w:tcBorders>
          </w:tcPr>
          <w:p>
            <w:pPr>
              <w:spacing w:after="0"/>
              <w:rPr>
                <w:sz w:val="7"/>
                <w:szCs w:val="7"/>
                <w:color w:val="auto"/>
              </w:rPr>
            </w:pPr>
          </w:p>
        </w:tc>
        <w:tc>
          <w:tcPr>
            <w:tcW w:w="700" w:type="dxa"/>
            <w:vAlign w:val="bottom"/>
            <w:tcBorders>
              <w:bottom w:val="single" w:sz="8" w:color="auto"/>
              <w:right w:val="single" w:sz="8" w:color="auto"/>
            </w:tcBorders>
          </w:tcPr>
          <w:p>
            <w:pPr>
              <w:spacing w:after="0"/>
              <w:rPr>
                <w:sz w:val="7"/>
                <w:szCs w:val="7"/>
                <w:color w:val="auto"/>
              </w:rPr>
            </w:pPr>
          </w:p>
        </w:tc>
        <w:tc>
          <w:tcPr>
            <w:tcW w:w="1700" w:type="dxa"/>
            <w:vAlign w:val="bottom"/>
            <w:tcBorders>
              <w:bottom w:val="single" w:sz="8" w:color="auto"/>
              <w:right w:val="single" w:sz="8" w:color="auto"/>
            </w:tcBorders>
          </w:tcPr>
          <w:p>
            <w:pPr>
              <w:spacing w:after="0"/>
              <w:rPr>
                <w:sz w:val="7"/>
                <w:szCs w:val="7"/>
                <w:color w:val="auto"/>
              </w:rPr>
            </w:pPr>
          </w:p>
        </w:tc>
        <w:tc>
          <w:tcPr>
            <w:tcW w:w="2880" w:type="dxa"/>
            <w:vAlign w:val="bottom"/>
            <w:tcBorders>
              <w:bottom w:val="single" w:sz="8" w:color="auto"/>
              <w:right w:val="single" w:sz="8" w:color="auto"/>
            </w:tcBorders>
          </w:tcPr>
          <w:p>
            <w:pPr>
              <w:spacing w:after="0"/>
              <w:rPr>
                <w:sz w:val="7"/>
                <w:szCs w:val="7"/>
                <w:color w:val="auto"/>
              </w:rPr>
            </w:pPr>
          </w:p>
        </w:tc>
      </w:tr>
      <w:tr>
        <w:trPr>
          <w:trHeight w:val="244"/>
        </w:trPr>
        <w:tc>
          <w:tcPr>
            <w:tcW w:w="98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w:t>
            </w:r>
          </w:p>
        </w:tc>
        <w:tc>
          <w:tcPr>
            <w:tcW w:w="162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w:t>
            </w:r>
          </w:p>
        </w:tc>
        <w:tc>
          <w:tcPr>
            <w:tcW w:w="116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w:t>
            </w:r>
          </w:p>
        </w:tc>
        <w:tc>
          <w:tcPr>
            <w:tcW w:w="122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w:t>
            </w:r>
          </w:p>
        </w:tc>
        <w:tc>
          <w:tcPr>
            <w:tcW w:w="70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w:t>
            </w:r>
          </w:p>
        </w:tc>
        <w:tc>
          <w:tcPr>
            <w:tcW w:w="1700" w:type="dxa"/>
            <w:vAlign w:val="bottom"/>
            <w:tcBorders>
              <w:right w:val="single" w:sz="8" w:color="auto"/>
            </w:tcBorders>
          </w:tcPr>
          <w:p>
            <w:pPr>
              <w:spacing w:after="0"/>
              <w:rPr>
                <w:sz w:val="21"/>
                <w:szCs w:val="21"/>
                <w:color w:val="auto"/>
              </w:rPr>
            </w:pPr>
          </w:p>
        </w:tc>
        <w:tc>
          <w:tcPr>
            <w:tcW w:w="288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w:t>
            </w:r>
          </w:p>
        </w:tc>
      </w:tr>
      <w:tr>
        <w:trPr>
          <w:trHeight w:val="87"/>
        </w:trPr>
        <w:tc>
          <w:tcPr>
            <w:tcW w:w="980" w:type="dxa"/>
            <w:vAlign w:val="bottom"/>
            <w:tcBorders>
              <w:left w:val="single" w:sz="8" w:color="auto"/>
              <w:bottom w:val="single" w:sz="8" w:color="auto"/>
              <w:right w:val="single" w:sz="8" w:color="auto"/>
            </w:tcBorders>
          </w:tcPr>
          <w:p>
            <w:pPr>
              <w:spacing w:after="0"/>
              <w:rPr>
                <w:sz w:val="7"/>
                <w:szCs w:val="7"/>
                <w:color w:val="auto"/>
              </w:rPr>
            </w:pPr>
          </w:p>
        </w:tc>
        <w:tc>
          <w:tcPr>
            <w:tcW w:w="1620" w:type="dxa"/>
            <w:vAlign w:val="bottom"/>
            <w:tcBorders>
              <w:bottom w:val="single" w:sz="8" w:color="auto"/>
              <w:right w:val="single" w:sz="8" w:color="auto"/>
            </w:tcBorders>
          </w:tcPr>
          <w:p>
            <w:pPr>
              <w:spacing w:after="0"/>
              <w:rPr>
                <w:sz w:val="7"/>
                <w:szCs w:val="7"/>
                <w:color w:val="auto"/>
              </w:rPr>
            </w:pPr>
          </w:p>
        </w:tc>
        <w:tc>
          <w:tcPr>
            <w:tcW w:w="1160" w:type="dxa"/>
            <w:vAlign w:val="bottom"/>
            <w:tcBorders>
              <w:bottom w:val="single" w:sz="8" w:color="auto"/>
              <w:right w:val="single" w:sz="8" w:color="auto"/>
            </w:tcBorders>
          </w:tcPr>
          <w:p>
            <w:pPr>
              <w:spacing w:after="0"/>
              <w:rPr>
                <w:sz w:val="7"/>
                <w:szCs w:val="7"/>
                <w:color w:val="auto"/>
              </w:rPr>
            </w:pPr>
          </w:p>
        </w:tc>
        <w:tc>
          <w:tcPr>
            <w:tcW w:w="1220" w:type="dxa"/>
            <w:vAlign w:val="bottom"/>
            <w:tcBorders>
              <w:bottom w:val="single" w:sz="8" w:color="auto"/>
              <w:right w:val="single" w:sz="8" w:color="auto"/>
            </w:tcBorders>
          </w:tcPr>
          <w:p>
            <w:pPr>
              <w:spacing w:after="0"/>
              <w:rPr>
                <w:sz w:val="7"/>
                <w:szCs w:val="7"/>
                <w:color w:val="auto"/>
              </w:rPr>
            </w:pPr>
          </w:p>
        </w:tc>
        <w:tc>
          <w:tcPr>
            <w:tcW w:w="700" w:type="dxa"/>
            <w:vAlign w:val="bottom"/>
            <w:tcBorders>
              <w:bottom w:val="single" w:sz="8" w:color="auto"/>
              <w:right w:val="single" w:sz="8" w:color="auto"/>
            </w:tcBorders>
          </w:tcPr>
          <w:p>
            <w:pPr>
              <w:spacing w:after="0"/>
              <w:rPr>
                <w:sz w:val="7"/>
                <w:szCs w:val="7"/>
                <w:color w:val="auto"/>
              </w:rPr>
            </w:pPr>
          </w:p>
        </w:tc>
        <w:tc>
          <w:tcPr>
            <w:tcW w:w="1700" w:type="dxa"/>
            <w:vAlign w:val="bottom"/>
            <w:tcBorders>
              <w:bottom w:val="single" w:sz="8" w:color="auto"/>
              <w:right w:val="single" w:sz="8" w:color="auto"/>
            </w:tcBorders>
          </w:tcPr>
          <w:p>
            <w:pPr>
              <w:spacing w:after="0"/>
              <w:rPr>
                <w:sz w:val="7"/>
                <w:szCs w:val="7"/>
                <w:color w:val="auto"/>
              </w:rPr>
            </w:pPr>
          </w:p>
        </w:tc>
        <w:tc>
          <w:tcPr>
            <w:tcW w:w="2880" w:type="dxa"/>
            <w:vAlign w:val="bottom"/>
            <w:tcBorders>
              <w:bottom w:val="single" w:sz="8" w:color="auto"/>
              <w:right w:val="single" w:sz="8" w:color="auto"/>
            </w:tcBorders>
          </w:tcPr>
          <w:p>
            <w:pPr>
              <w:spacing w:after="0"/>
              <w:rPr>
                <w:sz w:val="7"/>
                <w:szCs w:val="7"/>
                <w:color w:val="auto"/>
              </w:rPr>
            </w:pPr>
          </w:p>
        </w:tc>
      </w:tr>
      <w:tr>
        <w:trPr>
          <w:trHeight w:val="244"/>
        </w:trPr>
        <w:tc>
          <w:tcPr>
            <w:tcW w:w="98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w:t>
            </w:r>
          </w:p>
        </w:tc>
        <w:tc>
          <w:tcPr>
            <w:tcW w:w="162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w:t>
            </w:r>
          </w:p>
        </w:tc>
        <w:tc>
          <w:tcPr>
            <w:tcW w:w="116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w:t>
            </w:r>
          </w:p>
        </w:tc>
        <w:tc>
          <w:tcPr>
            <w:tcW w:w="122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w:t>
            </w:r>
          </w:p>
        </w:tc>
        <w:tc>
          <w:tcPr>
            <w:tcW w:w="70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w:t>
            </w:r>
          </w:p>
        </w:tc>
        <w:tc>
          <w:tcPr>
            <w:tcW w:w="170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w:t>
            </w:r>
          </w:p>
        </w:tc>
        <w:tc>
          <w:tcPr>
            <w:tcW w:w="288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w:t>
            </w:r>
          </w:p>
        </w:tc>
      </w:tr>
      <w:tr>
        <w:trPr>
          <w:trHeight w:val="87"/>
        </w:trPr>
        <w:tc>
          <w:tcPr>
            <w:tcW w:w="980" w:type="dxa"/>
            <w:vAlign w:val="bottom"/>
            <w:tcBorders>
              <w:left w:val="single" w:sz="8" w:color="auto"/>
              <w:bottom w:val="single" w:sz="8" w:color="auto"/>
              <w:right w:val="single" w:sz="8" w:color="auto"/>
            </w:tcBorders>
          </w:tcPr>
          <w:p>
            <w:pPr>
              <w:spacing w:after="0"/>
              <w:rPr>
                <w:sz w:val="7"/>
                <w:szCs w:val="7"/>
                <w:color w:val="auto"/>
              </w:rPr>
            </w:pPr>
          </w:p>
        </w:tc>
        <w:tc>
          <w:tcPr>
            <w:tcW w:w="1620" w:type="dxa"/>
            <w:vAlign w:val="bottom"/>
            <w:tcBorders>
              <w:bottom w:val="single" w:sz="8" w:color="auto"/>
              <w:right w:val="single" w:sz="8" w:color="auto"/>
            </w:tcBorders>
          </w:tcPr>
          <w:p>
            <w:pPr>
              <w:spacing w:after="0"/>
              <w:rPr>
                <w:sz w:val="7"/>
                <w:szCs w:val="7"/>
                <w:color w:val="auto"/>
              </w:rPr>
            </w:pPr>
          </w:p>
        </w:tc>
        <w:tc>
          <w:tcPr>
            <w:tcW w:w="1160" w:type="dxa"/>
            <w:vAlign w:val="bottom"/>
            <w:tcBorders>
              <w:bottom w:val="single" w:sz="8" w:color="auto"/>
              <w:right w:val="single" w:sz="8" w:color="auto"/>
            </w:tcBorders>
          </w:tcPr>
          <w:p>
            <w:pPr>
              <w:spacing w:after="0"/>
              <w:rPr>
                <w:sz w:val="7"/>
                <w:szCs w:val="7"/>
                <w:color w:val="auto"/>
              </w:rPr>
            </w:pPr>
          </w:p>
        </w:tc>
        <w:tc>
          <w:tcPr>
            <w:tcW w:w="1220" w:type="dxa"/>
            <w:vAlign w:val="bottom"/>
            <w:tcBorders>
              <w:bottom w:val="single" w:sz="8" w:color="auto"/>
              <w:right w:val="single" w:sz="8" w:color="auto"/>
            </w:tcBorders>
          </w:tcPr>
          <w:p>
            <w:pPr>
              <w:spacing w:after="0"/>
              <w:rPr>
                <w:sz w:val="7"/>
                <w:szCs w:val="7"/>
                <w:color w:val="auto"/>
              </w:rPr>
            </w:pPr>
          </w:p>
        </w:tc>
        <w:tc>
          <w:tcPr>
            <w:tcW w:w="700" w:type="dxa"/>
            <w:vAlign w:val="bottom"/>
            <w:tcBorders>
              <w:bottom w:val="single" w:sz="8" w:color="auto"/>
              <w:right w:val="single" w:sz="8" w:color="auto"/>
            </w:tcBorders>
          </w:tcPr>
          <w:p>
            <w:pPr>
              <w:spacing w:after="0"/>
              <w:rPr>
                <w:sz w:val="7"/>
                <w:szCs w:val="7"/>
                <w:color w:val="auto"/>
              </w:rPr>
            </w:pPr>
          </w:p>
        </w:tc>
        <w:tc>
          <w:tcPr>
            <w:tcW w:w="1700" w:type="dxa"/>
            <w:vAlign w:val="bottom"/>
            <w:tcBorders>
              <w:bottom w:val="single" w:sz="8" w:color="auto"/>
              <w:right w:val="single" w:sz="8" w:color="auto"/>
            </w:tcBorders>
          </w:tcPr>
          <w:p>
            <w:pPr>
              <w:spacing w:after="0"/>
              <w:rPr>
                <w:sz w:val="7"/>
                <w:szCs w:val="7"/>
                <w:color w:val="auto"/>
              </w:rPr>
            </w:pPr>
          </w:p>
        </w:tc>
        <w:tc>
          <w:tcPr>
            <w:tcW w:w="2880" w:type="dxa"/>
            <w:vAlign w:val="bottom"/>
            <w:tcBorders>
              <w:bottom w:val="single" w:sz="8" w:color="auto"/>
              <w:right w:val="single" w:sz="8" w:color="auto"/>
            </w:tcBorders>
          </w:tcPr>
          <w:p>
            <w:pPr>
              <w:spacing w:after="0"/>
              <w:rPr>
                <w:sz w:val="7"/>
                <w:szCs w:val="7"/>
                <w:color w:val="auto"/>
              </w:rPr>
            </w:pPr>
          </w:p>
        </w:tc>
      </w:tr>
      <w:tr>
        <w:trPr>
          <w:trHeight w:val="244"/>
        </w:trPr>
        <w:tc>
          <w:tcPr>
            <w:tcW w:w="98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w:t>
            </w:r>
          </w:p>
        </w:tc>
        <w:tc>
          <w:tcPr>
            <w:tcW w:w="162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w:t>
            </w:r>
          </w:p>
        </w:tc>
        <w:tc>
          <w:tcPr>
            <w:tcW w:w="116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w:t>
            </w:r>
          </w:p>
        </w:tc>
        <w:tc>
          <w:tcPr>
            <w:tcW w:w="122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w:t>
            </w:r>
          </w:p>
        </w:tc>
        <w:tc>
          <w:tcPr>
            <w:tcW w:w="70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w:t>
            </w:r>
          </w:p>
        </w:tc>
        <w:tc>
          <w:tcPr>
            <w:tcW w:w="1700" w:type="dxa"/>
            <w:vAlign w:val="bottom"/>
            <w:tcBorders>
              <w:right w:val="single" w:sz="8" w:color="auto"/>
            </w:tcBorders>
          </w:tcPr>
          <w:p>
            <w:pPr>
              <w:spacing w:after="0"/>
              <w:rPr>
                <w:sz w:val="21"/>
                <w:szCs w:val="21"/>
                <w:color w:val="auto"/>
              </w:rPr>
            </w:pPr>
          </w:p>
        </w:tc>
        <w:tc>
          <w:tcPr>
            <w:tcW w:w="288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w:t>
            </w:r>
          </w:p>
        </w:tc>
      </w:tr>
      <w:tr>
        <w:trPr>
          <w:trHeight w:val="87"/>
        </w:trPr>
        <w:tc>
          <w:tcPr>
            <w:tcW w:w="980" w:type="dxa"/>
            <w:vAlign w:val="bottom"/>
            <w:tcBorders>
              <w:left w:val="single" w:sz="8" w:color="auto"/>
              <w:bottom w:val="single" w:sz="8" w:color="auto"/>
              <w:right w:val="single" w:sz="8" w:color="auto"/>
            </w:tcBorders>
          </w:tcPr>
          <w:p>
            <w:pPr>
              <w:spacing w:after="0"/>
              <w:rPr>
                <w:sz w:val="7"/>
                <w:szCs w:val="7"/>
                <w:color w:val="auto"/>
              </w:rPr>
            </w:pPr>
          </w:p>
        </w:tc>
        <w:tc>
          <w:tcPr>
            <w:tcW w:w="1620" w:type="dxa"/>
            <w:vAlign w:val="bottom"/>
            <w:tcBorders>
              <w:bottom w:val="single" w:sz="8" w:color="auto"/>
              <w:right w:val="single" w:sz="8" w:color="auto"/>
            </w:tcBorders>
          </w:tcPr>
          <w:p>
            <w:pPr>
              <w:spacing w:after="0"/>
              <w:rPr>
                <w:sz w:val="7"/>
                <w:szCs w:val="7"/>
                <w:color w:val="auto"/>
              </w:rPr>
            </w:pPr>
          </w:p>
        </w:tc>
        <w:tc>
          <w:tcPr>
            <w:tcW w:w="1160" w:type="dxa"/>
            <w:vAlign w:val="bottom"/>
            <w:tcBorders>
              <w:bottom w:val="single" w:sz="8" w:color="auto"/>
              <w:right w:val="single" w:sz="8" w:color="auto"/>
            </w:tcBorders>
          </w:tcPr>
          <w:p>
            <w:pPr>
              <w:spacing w:after="0"/>
              <w:rPr>
                <w:sz w:val="7"/>
                <w:szCs w:val="7"/>
                <w:color w:val="auto"/>
              </w:rPr>
            </w:pPr>
          </w:p>
        </w:tc>
        <w:tc>
          <w:tcPr>
            <w:tcW w:w="1220" w:type="dxa"/>
            <w:vAlign w:val="bottom"/>
            <w:tcBorders>
              <w:bottom w:val="single" w:sz="8" w:color="auto"/>
              <w:right w:val="single" w:sz="8" w:color="auto"/>
            </w:tcBorders>
          </w:tcPr>
          <w:p>
            <w:pPr>
              <w:spacing w:after="0"/>
              <w:rPr>
                <w:sz w:val="7"/>
                <w:szCs w:val="7"/>
                <w:color w:val="auto"/>
              </w:rPr>
            </w:pPr>
          </w:p>
        </w:tc>
        <w:tc>
          <w:tcPr>
            <w:tcW w:w="700" w:type="dxa"/>
            <w:vAlign w:val="bottom"/>
            <w:tcBorders>
              <w:bottom w:val="single" w:sz="8" w:color="auto"/>
              <w:right w:val="single" w:sz="8" w:color="auto"/>
            </w:tcBorders>
          </w:tcPr>
          <w:p>
            <w:pPr>
              <w:spacing w:after="0"/>
              <w:rPr>
                <w:sz w:val="7"/>
                <w:szCs w:val="7"/>
                <w:color w:val="auto"/>
              </w:rPr>
            </w:pPr>
          </w:p>
        </w:tc>
        <w:tc>
          <w:tcPr>
            <w:tcW w:w="1700" w:type="dxa"/>
            <w:vAlign w:val="bottom"/>
            <w:tcBorders>
              <w:bottom w:val="single" w:sz="8" w:color="auto"/>
              <w:right w:val="single" w:sz="8" w:color="auto"/>
            </w:tcBorders>
          </w:tcPr>
          <w:p>
            <w:pPr>
              <w:spacing w:after="0"/>
              <w:rPr>
                <w:sz w:val="7"/>
                <w:szCs w:val="7"/>
                <w:color w:val="auto"/>
              </w:rPr>
            </w:pPr>
          </w:p>
        </w:tc>
        <w:tc>
          <w:tcPr>
            <w:tcW w:w="2880" w:type="dxa"/>
            <w:vAlign w:val="bottom"/>
            <w:tcBorders>
              <w:bottom w:val="single" w:sz="8" w:color="auto"/>
              <w:right w:val="single" w:sz="8" w:color="auto"/>
            </w:tcBorders>
          </w:tcPr>
          <w:p>
            <w:pPr>
              <w:spacing w:after="0"/>
              <w:rPr>
                <w:sz w:val="7"/>
                <w:szCs w:val="7"/>
                <w:color w:val="auto"/>
              </w:rPr>
            </w:pPr>
          </w:p>
        </w:tc>
      </w:tr>
      <w:tr>
        <w:trPr>
          <w:trHeight w:val="244"/>
        </w:trPr>
        <w:tc>
          <w:tcPr>
            <w:tcW w:w="98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w:t>
            </w:r>
          </w:p>
        </w:tc>
        <w:tc>
          <w:tcPr>
            <w:tcW w:w="162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w:t>
            </w:r>
          </w:p>
        </w:tc>
        <w:tc>
          <w:tcPr>
            <w:tcW w:w="116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w:t>
            </w:r>
          </w:p>
        </w:tc>
        <w:tc>
          <w:tcPr>
            <w:tcW w:w="122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w:t>
            </w:r>
          </w:p>
        </w:tc>
        <w:tc>
          <w:tcPr>
            <w:tcW w:w="70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w:t>
            </w:r>
          </w:p>
        </w:tc>
        <w:tc>
          <w:tcPr>
            <w:tcW w:w="1700" w:type="dxa"/>
            <w:vAlign w:val="bottom"/>
            <w:tcBorders>
              <w:right w:val="single" w:sz="8" w:color="auto"/>
            </w:tcBorders>
          </w:tcPr>
          <w:p>
            <w:pPr>
              <w:spacing w:after="0"/>
              <w:rPr>
                <w:sz w:val="21"/>
                <w:szCs w:val="21"/>
                <w:color w:val="auto"/>
              </w:rPr>
            </w:pPr>
          </w:p>
        </w:tc>
        <w:tc>
          <w:tcPr>
            <w:tcW w:w="288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w:t>
            </w:r>
          </w:p>
        </w:tc>
      </w:tr>
      <w:tr>
        <w:trPr>
          <w:trHeight w:val="87"/>
        </w:trPr>
        <w:tc>
          <w:tcPr>
            <w:tcW w:w="980" w:type="dxa"/>
            <w:vAlign w:val="bottom"/>
            <w:tcBorders>
              <w:left w:val="single" w:sz="8" w:color="auto"/>
              <w:bottom w:val="single" w:sz="8" w:color="auto"/>
              <w:right w:val="single" w:sz="8" w:color="auto"/>
            </w:tcBorders>
          </w:tcPr>
          <w:p>
            <w:pPr>
              <w:spacing w:after="0"/>
              <w:rPr>
                <w:sz w:val="7"/>
                <w:szCs w:val="7"/>
                <w:color w:val="auto"/>
              </w:rPr>
            </w:pPr>
          </w:p>
        </w:tc>
        <w:tc>
          <w:tcPr>
            <w:tcW w:w="1620" w:type="dxa"/>
            <w:vAlign w:val="bottom"/>
            <w:tcBorders>
              <w:bottom w:val="single" w:sz="8" w:color="auto"/>
              <w:right w:val="single" w:sz="8" w:color="auto"/>
            </w:tcBorders>
          </w:tcPr>
          <w:p>
            <w:pPr>
              <w:spacing w:after="0"/>
              <w:rPr>
                <w:sz w:val="7"/>
                <w:szCs w:val="7"/>
                <w:color w:val="auto"/>
              </w:rPr>
            </w:pPr>
          </w:p>
        </w:tc>
        <w:tc>
          <w:tcPr>
            <w:tcW w:w="1160" w:type="dxa"/>
            <w:vAlign w:val="bottom"/>
            <w:tcBorders>
              <w:bottom w:val="single" w:sz="8" w:color="auto"/>
              <w:right w:val="single" w:sz="8" w:color="auto"/>
            </w:tcBorders>
          </w:tcPr>
          <w:p>
            <w:pPr>
              <w:spacing w:after="0"/>
              <w:rPr>
                <w:sz w:val="7"/>
                <w:szCs w:val="7"/>
                <w:color w:val="auto"/>
              </w:rPr>
            </w:pPr>
          </w:p>
        </w:tc>
        <w:tc>
          <w:tcPr>
            <w:tcW w:w="1220" w:type="dxa"/>
            <w:vAlign w:val="bottom"/>
            <w:tcBorders>
              <w:bottom w:val="single" w:sz="8" w:color="auto"/>
              <w:right w:val="single" w:sz="8" w:color="auto"/>
            </w:tcBorders>
          </w:tcPr>
          <w:p>
            <w:pPr>
              <w:spacing w:after="0"/>
              <w:rPr>
                <w:sz w:val="7"/>
                <w:szCs w:val="7"/>
                <w:color w:val="auto"/>
              </w:rPr>
            </w:pPr>
          </w:p>
        </w:tc>
        <w:tc>
          <w:tcPr>
            <w:tcW w:w="700" w:type="dxa"/>
            <w:vAlign w:val="bottom"/>
            <w:tcBorders>
              <w:bottom w:val="single" w:sz="8" w:color="auto"/>
              <w:right w:val="single" w:sz="8" w:color="auto"/>
            </w:tcBorders>
          </w:tcPr>
          <w:p>
            <w:pPr>
              <w:spacing w:after="0"/>
              <w:rPr>
                <w:sz w:val="7"/>
                <w:szCs w:val="7"/>
                <w:color w:val="auto"/>
              </w:rPr>
            </w:pPr>
          </w:p>
        </w:tc>
        <w:tc>
          <w:tcPr>
            <w:tcW w:w="1700" w:type="dxa"/>
            <w:vAlign w:val="bottom"/>
            <w:tcBorders>
              <w:bottom w:val="single" w:sz="8" w:color="auto"/>
              <w:right w:val="single" w:sz="8" w:color="auto"/>
            </w:tcBorders>
          </w:tcPr>
          <w:p>
            <w:pPr>
              <w:spacing w:after="0"/>
              <w:rPr>
                <w:sz w:val="7"/>
                <w:szCs w:val="7"/>
                <w:color w:val="auto"/>
              </w:rPr>
            </w:pPr>
          </w:p>
        </w:tc>
        <w:tc>
          <w:tcPr>
            <w:tcW w:w="2880" w:type="dxa"/>
            <w:vAlign w:val="bottom"/>
            <w:tcBorders>
              <w:bottom w:val="single" w:sz="8" w:color="auto"/>
              <w:right w:val="single" w:sz="8" w:color="auto"/>
            </w:tcBorders>
          </w:tcPr>
          <w:p>
            <w:pPr>
              <w:spacing w:after="0"/>
              <w:rPr>
                <w:sz w:val="7"/>
                <w:szCs w:val="7"/>
                <w:color w:val="auto"/>
              </w:rPr>
            </w:pPr>
          </w:p>
        </w:tc>
      </w:tr>
      <w:tr>
        <w:trPr>
          <w:trHeight w:val="244"/>
        </w:trPr>
        <w:tc>
          <w:tcPr>
            <w:tcW w:w="98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w:t>
            </w:r>
          </w:p>
        </w:tc>
        <w:tc>
          <w:tcPr>
            <w:tcW w:w="162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w:t>
            </w:r>
          </w:p>
        </w:tc>
        <w:tc>
          <w:tcPr>
            <w:tcW w:w="116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w:t>
            </w:r>
          </w:p>
        </w:tc>
        <w:tc>
          <w:tcPr>
            <w:tcW w:w="122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w:t>
            </w:r>
          </w:p>
        </w:tc>
        <w:tc>
          <w:tcPr>
            <w:tcW w:w="70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w:t>
            </w:r>
          </w:p>
        </w:tc>
        <w:tc>
          <w:tcPr>
            <w:tcW w:w="170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w:t>
            </w:r>
          </w:p>
        </w:tc>
        <w:tc>
          <w:tcPr>
            <w:tcW w:w="288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w:t>
            </w:r>
          </w:p>
        </w:tc>
      </w:tr>
      <w:tr>
        <w:trPr>
          <w:trHeight w:val="87"/>
        </w:trPr>
        <w:tc>
          <w:tcPr>
            <w:tcW w:w="980" w:type="dxa"/>
            <w:vAlign w:val="bottom"/>
            <w:tcBorders>
              <w:left w:val="single" w:sz="8" w:color="auto"/>
              <w:bottom w:val="single" w:sz="8" w:color="auto"/>
              <w:right w:val="single" w:sz="8" w:color="auto"/>
            </w:tcBorders>
          </w:tcPr>
          <w:p>
            <w:pPr>
              <w:spacing w:after="0"/>
              <w:rPr>
                <w:sz w:val="7"/>
                <w:szCs w:val="7"/>
                <w:color w:val="auto"/>
              </w:rPr>
            </w:pPr>
          </w:p>
        </w:tc>
        <w:tc>
          <w:tcPr>
            <w:tcW w:w="1620" w:type="dxa"/>
            <w:vAlign w:val="bottom"/>
            <w:tcBorders>
              <w:bottom w:val="single" w:sz="8" w:color="auto"/>
              <w:right w:val="single" w:sz="8" w:color="auto"/>
            </w:tcBorders>
          </w:tcPr>
          <w:p>
            <w:pPr>
              <w:spacing w:after="0"/>
              <w:rPr>
                <w:sz w:val="7"/>
                <w:szCs w:val="7"/>
                <w:color w:val="auto"/>
              </w:rPr>
            </w:pPr>
          </w:p>
        </w:tc>
        <w:tc>
          <w:tcPr>
            <w:tcW w:w="1160" w:type="dxa"/>
            <w:vAlign w:val="bottom"/>
            <w:tcBorders>
              <w:bottom w:val="single" w:sz="8" w:color="auto"/>
              <w:right w:val="single" w:sz="8" w:color="auto"/>
            </w:tcBorders>
          </w:tcPr>
          <w:p>
            <w:pPr>
              <w:spacing w:after="0"/>
              <w:rPr>
                <w:sz w:val="7"/>
                <w:szCs w:val="7"/>
                <w:color w:val="auto"/>
              </w:rPr>
            </w:pPr>
          </w:p>
        </w:tc>
        <w:tc>
          <w:tcPr>
            <w:tcW w:w="1220" w:type="dxa"/>
            <w:vAlign w:val="bottom"/>
            <w:tcBorders>
              <w:bottom w:val="single" w:sz="8" w:color="auto"/>
              <w:right w:val="single" w:sz="8" w:color="auto"/>
            </w:tcBorders>
          </w:tcPr>
          <w:p>
            <w:pPr>
              <w:spacing w:after="0"/>
              <w:rPr>
                <w:sz w:val="7"/>
                <w:szCs w:val="7"/>
                <w:color w:val="auto"/>
              </w:rPr>
            </w:pPr>
          </w:p>
        </w:tc>
        <w:tc>
          <w:tcPr>
            <w:tcW w:w="700" w:type="dxa"/>
            <w:vAlign w:val="bottom"/>
            <w:tcBorders>
              <w:bottom w:val="single" w:sz="8" w:color="auto"/>
              <w:right w:val="single" w:sz="8" w:color="auto"/>
            </w:tcBorders>
          </w:tcPr>
          <w:p>
            <w:pPr>
              <w:spacing w:after="0"/>
              <w:rPr>
                <w:sz w:val="7"/>
                <w:szCs w:val="7"/>
                <w:color w:val="auto"/>
              </w:rPr>
            </w:pPr>
          </w:p>
        </w:tc>
        <w:tc>
          <w:tcPr>
            <w:tcW w:w="1700" w:type="dxa"/>
            <w:vAlign w:val="bottom"/>
            <w:tcBorders>
              <w:bottom w:val="single" w:sz="8" w:color="auto"/>
              <w:right w:val="single" w:sz="8" w:color="auto"/>
            </w:tcBorders>
          </w:tcPr>
          <w:p>
            <w:pPr>
              <w:spacing w:after="0"/>
              <w:rPr>
                <w:sz w:val="7"/>
                <w:szCs w:val="7"/>
                <w:color w:val="auto"/>
              </w:rPr>
            </w:pPr>
          </w:p>
        </w:tc>
        <w:tc>
          <w:tcPr>
            <w:tcW w:w="2880" w:type="dxa"/>
            <w:vAlign w:val="bottom"/>
            <w:tcBorders>
              <w:bottom w:val="single" w:sz="8" w:color="auto"/>
              <w:right w:val="single" w:sz="8" w:color="auto"/>
            </w:tcBorders>
          </w:tcPr>
          <w:p>
            <w:pPr>
              <w:spacing w:after="0"/>
              <w:rPr>
                <w:sz w:val="7"/>
                <w:szCs w:val="7"/>
                <w:color w:val="auto"/>
              </w:rPr>
            </w:pPr>
          </w:p>
        </w:tc>
      </w:tr>
      <w:tr>
        <w:trPr>
          <w:trHeight w:val="244"/>
        </w:trPr>
        <w:tc>
          <w:tcPr>
            <w:tcW w:w="98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w:t>
            </w:r>
          </w:p>
        </w:tc>
        <w:tc>
          <w:tcPr>
            <w:tcW w:w="162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w:t>
            </w:r>
          </w:p>
        </w:tc>
        <w:tc>
          <w:tcPr>
            <w:tcW w:w="116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w:t>
            </w:r>
          </w:p>
        </w:tc>
        <w:tc>
          <w:tcPr>
            <w:tcW w:w="122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w:t>
            </w:r>
          </w:p>
        </w:tc>
        <w:tc>
          <w:tcPr>
            <w:tcW w:w="70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w:t>
            </w:r>
          </w:p>
        </w:tc>
        <w:tc>
          <w:tcPr>
            <w:tcW w:w="1700" w:type="dxa"/>
            <w:vAlign w:val="bottom"/>
            <w:tcBorders>
              <w:right w:val="single" w:sz="8" w:color="auto"/>
            </w:tcBorders>
          </w:tcPr>
          <w:p>
            <w:pPr>
              <w:spacing w:after="0"/>
              <w:rPr>
                <w:sz w:val="21"/>
                <w:szCs w:val="21"/>
                <w:color w:val="auto"/>
              </w:rPr>
            </w:pPr>
          </w:p>
        </w:tc>
        <w:tc>
          <w:tcPr>
            <w:tcW w:w="288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w:t>
            </w:r>
          </w:p>
        </w:tc>
      </w:tr>
      <w:tr>
        <w:trPr>
          <w:trHeight w:val="87"/>
        </w:trPr>
        <w:tc>
          <w:tcPr>
            <w:tcW w:w="980" w:type="dxa"/>
            <w:vAlign w:val="bottom"/>
            <w:tcBorders>
              <w:left w:val="single" w:sz="8" w:color="auto"/>
              <w:bottom w:val="single" w:sz="8" w:color="auto"/>
              <w:right w:val="single" w:sz="8" w:color="auto"/>
            </w:tcBorders>
          </w:tcPr>
          <w:p>
            <w:pPr>
              <w:spacing w:after="0"/>
              <w:rPr>
                <w:sz w:val="7"/>
                <w:szCs w:val="7"/>
                <w:color w:val="auto"/>
              </w:rPr>
            </w:pPr>
          </w:p>
        </w:tc>
        <w:tc>
          <w:tcPr>
            <w:tcW w:w="1620" w:type="dxa"/>
            <w:vAlign w:val="bottom"/>
            <w:tcBorders>
              <w:bottom w:val="single" w:sz="8" w:color="auto"/>
              <w:right w:val="single" w:sz="8" w:color="auto"/>
            </w:tcBorders>
          </w:tcPr>
          <w:p>
            <w:pPr>
              <w:spacing w:after="0"/>
              <w:rPr>
                <w:sz w:val="7"/>
                <w:szCs w:val="7"/>
                <w:color w:val="auto"/>
              </w:rPr>
            </w:pPr>
          </w:p>
        </w:tc>
        <w:tc>
          <w:tcPr>
            <w:tcW w:w="1160" w:type="dxa"/>
            <w:vAlign w:val="bottom"/>
            <w:tcBorders>
              <w:bottom w:val="single" w:sz="8" w:color="auto"/>
              <w:right w:val="single" w:sz="8" w:color="auto"/>
            </w:tcBorders>
          </w:tcPr>
          <w:p>
            <w:pPr>
              <w:spacing w:after="0"/>
              <w:rPr>
                <w:sz w:val="7"/>
                <w:szCs w:val="7"/>
                <w:color w:val="auto"/>
              </w:rPr>
            </w:pPr>
          </w:p>
        </w:tc>
        <w:tc>
          <w:tcPr>
            <w:tcW w:w="1220" w:type="dxa"/>
            <w:vAlign w:val="bottom"/>
            <w:tcBorders>
              <w:bottom w:val="single" w:sz="8" w:color="auto"/>
              <w:right w:val="single" w:sz="8" w:color="auto"/>
            </w:tcBorders>
          </w:tcPr>
          <w:p>
            <w:pPr>
              <w:spacing w:after="0"/>
              <w:rPr>
                <w:sz w:val="7"/>
                <w:szCs w:val="7"/>
                <w:color w:val="auto"/>
              </w:rPr>
            </w:pPr>
          </w:p>
        </w:tc>
        <w:tc>
          <w:tcPr>
            <w:tcW w:w="700" w:type="dxa"/>
            <w:vAlign w:val="bottom"/>
            <w:tcBorders>
              <w:bottom w:val="single" w:sz="8" w:color="auto"/>
              <w:right w:val="single" w:sz="8" w:color="auto"/>
            </w:tcBorders>
          </w:tcPr>
          <w:p>
            <w:pPr>
              <w:spacing w:after="0"/>
              <w:rPr>
                <w:sz w:val="7"/>
                <w:szCs w:val="7"/>
                <w:color w:val="auto"/>
              </w:rPr>
            </w:pPr>
          </w:p>
        </w:tc>
        <w:tc>
          <w:tcPr>
            <w:tcW w:w="1700" w:type="dxa"/>
            <w:vAlign w:val="bottom"/>
            <w:tcBorders>
              <w:bottom w:val="single" w:sz="8" w:color="auto"/>
              <w:right w:val="single" w:sz="8" w:color="auto"/>
            </w:tcBorders>
          </w:tcPr>
          <w:p>
            <w:pPr>
              <w:spacing w:after="0"/>
              <w:rPr>
                <w:sz w:val="7"/>
                <w:szCs w:val="7"/>
                <w:color w:val="auto"/>
              </w:rPr>
            </w:pPr>
          </w:p>
        </w:tc>
        <w:tc>
          <w:tcPr>
            <w:tcW w:w="2880" w:type="dxa"/>
            <w:vAlign w:val="bottom"/>
            <w:tcBorders>
              <w:bottom w:val="single" w:sz="8" w:color="auto"/>
              <w:right w:val="single" w:sz="8" w:color="auto"/>
            </w:tcBorders>
          </w:tcPr>
          <w:p>
            <w:pPr>
              <w:spacing w:after="0"/>
              <w:rPr>
                <w:sz w:val="7"/>
                <w:szCs w:val="7"/>
                <w:color w:val="auto"/>
              </w:rPr>
            </w:pPr>
          </w:p>
        </w:tc>
      </w:tr>
      <w:tr>
        <w:trPr>
          <w:trHeight w:val="244"/>
        </w:trPr>
        <w:tc>
          <w:tcPr>
            <w:tcW w:w="98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w:t>
            </w:r>
          </w:p>
        </w:tc>
        <w:tc>
          <w:tcPr>
            <w:tcW w:w="162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w:t>
            </w:r>
          </w:p>
        </w:tc>
        <w:tc>
          <w:tcPr>
            <w:tcW w:w="116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w:t>
            </w:r>
          </w:p>
        </w:tc>
        <w:tc>
          <w:tcPr>
            <w:tcW w:w="122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w:t>
            </w:r>
          </w:p>
        </w:tc>
        <w:tc>
          <w:tcPr>
            <w:tcW w:w="70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w:t>
            </w:r>
          </w:p>
        </w:tc>
        <w:tc>
          <w:tcPr>
            <w:tcW w:w="170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w:t>
            </w:r>
          </w:p>
        </w:tc>
        <w:tc>
          <w:tcPr>
            <w:tcW w:w="288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w:t>
            </w:r>
          </w:p>
        </w:tc>
      </w:tr>
      <w:tr>
        <w:trPr>
          <w:trHeight w:val="87"/>
        </w:trPr>
        <w:tc>
          <w:tcPr>
            <w:tcW w:w="980" w:type="dxa"/>
            <w:vAlign w:val="bottom"/>
            <w:tcBorders>
              <w:left w:val="single" w:sz="8" w:color="auto"/>
              <w:bottom w:val="single" w:sz="8" w:color="auto"/>
              <w:right w:val="single" w:sz="8" w:color="auto"/>
            </w:tcBorders>
          </w:tcPr>
          <w:p>
            <w:pPr>
              <w:spacing w:after="0"/>
              <w:rPr>
                <w:sz w:val="7"/>
                <w:szCs w:val="7"/>
                <w:color w:val="auto"/>
              </w:rPr>
            </w:pPr>
          </w:p>
        </w:tc>
        <w:tc>
          <w:tcPr>
            <w:tcW w:w="1620" w:type="dxa"/>
            <w:vAlign w:val="bottom"/>
            <w:tcBorders>
              <w:bottom w:val="single" w:sz="8" w:color="auto"/>
              <w:right w:val="single" w:sz="8" w:color="auto"/>
            </w:tcBorders>
          </w:tcPr>
          <w:p>
            <w:pPr>
              <w:spacing w:after="0"/>
              <w:rPr>
                <w:sz w:val="7"/>
                <w:szCs w:val="7"/>
                <w:color w:val="auto"/>
              </w:rPr>
            </w:pPr>
          </w:p>
        </w:tc>
        <w:tc>
          <w:tcPr>
            <w:tcW w:w="1160" w:type="dxa"/>
            <w:vAlign w:val="bottom"/>
            <w:tcBorders>
              <w:bottom w:val="single" w:sz="8" w:color="auto"/>
              <w:right w:val="single" w:sz="8" w:color="auto"/>
            </w:tcBorders>
          </w:tcPr>
          <w:p>
            <w:pPr>
              <w:spacing w:after="0"/>
              <w:rPr>
                <w:sz w:val="7"/>
                <w:szCs w:val="7"/>
                <w:color w:val="auto"/>
              </w:rPr>
            </w:pPr>
          </w:p>
        </w:tc>
        <w:tc>
          <w:tcPr>
            <w:tcW w:w="1220" w:type="dxa"/>
            <w:vAlign w:val="bottom"/>
            <w:tcBorders>
              <w:bottom w:val="single" w:sz="8" w:color="auto"/>
              <w:right w:val="single" w:sz="8" w:color="auto"/>
            </w:tcBorders>
          </w:tcPr>
          <w:p>
            <w:pPr>
              <w:spacing w:after="0"/>
              <w:rPr>
                <w:sz w:val="7"/>
                <w:szCs w:val="7"/>
                <w:color w:val="auto"/>
              </w:rPr>
            </w:pPr>
          </w:p>
        </w:tc>
        <w:tc>
          <w:tcPr>
            <w:tcW w:w="700" w:type="dxa"/>
            <w:vAlign w:val="bottom"/>
            <w:tcBorders>
              <w:bottom w:val="single" w:sz="8" w:color="auto"/>
              <w:right w:val="single" w:sz="8" w:color="auto"/>
            </w:tcBorders>
          </w:tcPr>
          <w:p>
            <w:pPr>
              <w:spacing w:after="0"/>
              <w:rPr>
                <w:sz w:val="7"/>
                <w:szCs w:val="7"/>
                <w:color w:val="auto"/>
              </w:rPr>
            </w:pPr>
          </w:p>
        </w:tc>
        <w:tc>
          <w:tcPr>
            <w:tcW w:w="1700" w:type="dxa"/>
            <w:vAlign w:val="bottom"/>
            <w:tcBorders>
              <w:bottom w:val="single" w:sz="8" w:color="auto"/>
              <w:right w:val="single" w:sz="8" w:color="auto"/>
            </w:tcBorders>
          </w:tcPr>
          <w:p>
            <w:pPr>
              <w:spacing w:after="0"/>
              <w:rPr>
                <w:sz w:val="7"/>
                <w:szCs w:val="7"/>
                <w:color w:val="auto"/>
              </w:rPr>
            </w:pPr>
          </w:p>
        </w:tc>
        <w:tc>
          <w:tcPr>
            <w:tcW w:w="2880" w:type="dxa"/>
            <w:vAlign w:val="bottom"/>
            <w:tcBorders>
              <w:bottom w:val="single" w:sz="8" w:color="auto"/>
              <w:right w:val="single" w:sz="8" w:color="auto"/>
            </w:tcBorders>
          </w:tcPr>
          <w:p>
            <w:pPr>
              <w:spacing w:after="0"/>
              <w:rPr>
                <w:sz w:val="7"/>
                <w:szCs w:val="7"/>
                <w:color w:val="auto"/>
              </w:rPr>
            </w:pPr>
          </w:p>
        </w:tc>
      </w:tr>
      <w:tr>
        <w:trPr>
          <w:trHeight w:val="244"/>
        </w:trPr>
        <w:tc>
          <w:tcPr>
            <w:tcW w:w="98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w:t>
            </w:r>
          </w:p>
        </w:tc>
        <w:tc>
          <w:tcPr>
            <w:tcW w:w="162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w:t>
            </w:r>
          </w:p>
        </w:tc>
        <w:tc>
          <w:tcPr>
            <w:tcW w:w="116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w:t>
            </w:r>
          </w:p>
        </w:tc>
        <w:tc>
          <w:tcPr>
            <w:tcW w:w="122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w:t>
            </w:r>
          </w:p>
        </w:tc>
        <w:tc>
          <w:tcPr>
            <w:tcW w:w="70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w:t>
            </w:r>
          </w:p>
        </w:tc>
        <w:tc>
          <w:tcPr>
            <w:tcW w:w="170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w:t>
            </w:r>
          </w:p>
        </w:tc>
        <w:tc>
          <w:tcPr>
            <w:tcW w:w="288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w:t>
            </w:r>
          </w:p>
        </w:tc>
      </w:tr>
      <w:tr>
        <w:trPr>
          <w:trHeight w:val="87"/>
        </w:trPr>
        <w:tc>
          <w:tcPr>
            <w:tcW w:w="980" w:type="dxa"/>
            <w:vAlign w:val="bottom"/>
            <w:tcBorders>
              <w:left w:val="single" w:sz="8" w:color="auto"/>
              <w:bottom w:val="single" w:sz="8" w:color="auto"/>
              <w:right w:val="single" w:sz="8" w:color="auto"/>
            </w:tcBorders>
          </w:tcPr>
          <w:p>
            <w:pPr>
              <w:spacing w:after="0"/>
              <w:rPr>
                <w:sz w:val="7"/>
                <w:szCs w:val="7"/>
                <w:color w:val="auto"/>
              </w:rPr>
            </w:pPr>
          </w:p>
        </w:tc>
        <w:tc>
          <w:tcPr>
            <w:tcW w:w="1620" w:type="dxa"/>
            <w:vAlign w:val="bottom"/>
            <w:tcBorders>
              <w:bottom w:val="single" w:sz="8" w:color="auto"/>
              <w:right w:val="single" w:sz="8" w:color="auto"/>
            </w:tcBorders>
          </w:tcPr>
          <w:p>
            <w:pPr>
              <w:spacing w:after="0"/>
              <w:rPr>
                <w:sz w:val="7"/>
                <w:szCs w:val="7"/>
                <w:color w:val="auto"/>
              </w:rPr>
            </w:pPr>
          </w:p>
        </w:tc>
        <w:tc>
          <w:tcPr>
            <w:tcW w:w="1160" w:type="dxa"/>
            <w:vAlign w:val="bottom"/>
            <w:tcBorders>
              <w:bottom w:val="single" w:sz="8" w:color="auto"/>
              <w:right w:val="single" w:sz="8" w:color="auto"/>
            </w:tcBorders>
          </w:tcPr>
          <w:p>
            <w:pPr>
              <w:spacing w:after="0"/>
              <w:rPr>
                <w:sz w:val="7"/>
                <w:szCs w:val="7"/>
                <w:color w:val="auto"/>
              </w:rPr>
            </w:pPr>
          </w:p>
        </w:tc>
        <w:tc>
          <w:tcPr>
            <w:tcW w:w="1220" w:type="dxa"/>
            <w:vAlign w:val="bottom"/>
            <w:tcBorders>
              <w:bottom w:val="single" w:sz="8" w:color="auto"/>
              <w:right w:val="single" w:sz="8" w:color="auto"/>
            </w:tcBorders>
          </w:tcPr>
          <w:p>
            <w:pPr>
              <w:spacing w:after="0"/>
              <w:rPr>
                <w:sz w:val="7"/>
                <w:szCs w:val="7"/>
                <w:color w:val="auto"/>
              </w:rPr>
            </w:pPr>
          </w:p>
        </w:tc>
        <w:tc>
          <w:tcPr>
            <w:tcW w:w="700" w:type="dxa"/>
            <w:vAlign w:val="bottom"/>
            <w:tcBorders>
              <w:bottom w:val="single" w:sz="8" w:color="auto"/>
              <w:right w:val="single" w:sz="8" w:color="auto"/>
            </w:tcBorders>
          </w:tcPr>
          <w:p>
            <w:pPr>
              <w:spacing w:after="0"/>
              <w:rPr>
                <w:sz w:val="7"/>
                <w:szCs w:val="7"/>
                <w:color w:val="auto"/>
              </w:rPr>
            </w:pPr>
          </w:p>
        </w:tc>
        <w:tc>
          <w:tcPr>
            <w:tcW w:w="1700" w:type="dxa"/>
            <w:vAlign w:val="bottom"/>
            <w:tcBorders>
              <w:bottom w:val="single" w:sz="8" w:color="auto"/>
              <w:right w:val="single" w:sz="8" w:color="auto"/>
            </w:tcBorders>
          </w:tcPr>
          <w:p>
            <w:pPr>
              <w:spacing w:after="0"/>
              <w:rPr>
                <w:sz w:val="7"/>
                <w:szCs w:val="7"/>
                <w:color w:val="auto"/>
              </w:rPr>
            </w:pPr>
          </w:p>
        </w:tc>
        <w:tc>
          <w:tcPr>
            <w:tcW w:w="2880" w:type="dxa"/>
            <w:vAlign w:val="bottom"/>
            <w:tcBorders>
              <w:bottom w:val="single" w:sz="8" w:color="auto"/>
              <w:right w:val="single" w:sz="8" w:color="auto"/>
            </w:tcBorders>
          </w:tcPr>
          <w:p>
            <w:pPr>
              <w:spacing w:after="0"/>
              <w:rPr>
                <w:sz w:val="7"/>
                <w:szCs w:val="7"/>
                <w:color w:val="auto"/>
              </w:rPr>
            </w:pPr>
          </w:p>
        </w:tc>
      </w:tr>
      <w:tr>
        <w:trPr>
          <w:trHeight w:val="244"/>
        </w:trPr>
        <w:tc>
          <w:tcPr>
            <w:tcW w:w="98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w:t>
            </w:r>
          </w:p>
        </w:tc>
        <w:tc>
          <w:tcPr>
            <w:tcW w:w="162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w:t>
            </w:r>
          </w:p>
        </w:tc>
        <w:tc>
          <w:tcPr>
            <w:tcW w:w="116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w:t>
            </w:r>
          </w:p>
        </w:tc>
        <w:tc>
          <w:tcPr>
            <w:tcW w:w="122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w:t>
            </w:r>
          </w:p>
        </w:tc>
        <w:tc>
          <w:tcPr>
            <w:tcW w:w="70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w:t>
            </w:r>
          </w:p>
        </w:tc>
        <w:tc>
          <w:tcPr>
            <w:tcW w:w="170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w:t>
            </w:r>
          </w:p>
        </w:tc>
        <w:tc>
          <w:tcPr>
            <w:tcW w:w="288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w:t>
            </w:r>
          </w:p>
        </w:tc>
      </w:tr>
      <w:tr>
        <w:trPr>
          <w:trHeight w:val="87"/>
        </w:trPr>
        <w:tc>
          <w:tcPr>
            <w:tcW w:w="980" w:type="dxa"/>
            <w:vAlign w:val="bottom"/>
            <w:tcBorders>
              <w:left w:val="single" w:sz="8" w:color="auto"/>
              <w:bottom w:val="single" w:sz="8" w:color="auto"/>
              <w:right w:val="single" w:sz="8" w:color="auto"/>
            </w:tcBorders>
          </w:tcPr>
          <w:p>
            <w:pPr>
              <w:spacing w:after="0"/>
              <w:rPr>
                <w:sz w:val="7"/>
                <w:szCs w:val="7"/>
                <w:color w:val="auto"/>
              </w:rPr>
            </w:pPr>
          </w:p>
        </w:tc>
        <w:tc>
          <w:tcPr>
            <w:tcW w:w="1620" w:type="dxa"/>
            <w:vAlign w:val="bottom"/>
            <w:tcBorders>
              <w:bottom w:val="single" w:sz="8" w:color="auto"/>
              <w:right w:val="single" w:sz="8" w:color="auto"/>
            </w:tcBorders>
          </w:tcPr>
          <w:p>
            <w:pPr>
              <w:spacing w:after="0"/>
              <w:rPr>
                <w:sz w:val="7"/>
                <w:szCs w:val="7"/>
                <w:color w:val="auto"/>
              </w:rPr>
            </w:pPr>
          </w:p>
        </w:tc>
        <w:tc>
          <w:tcPr>
            <w:tcW w:w="1160" w:type="dxa"/>
            <w:vAlign w:val="bottom"/>
            <w:tcBorders>
              <w:bottom w:val="single" w:sz="8" w:color="auto"/>
              <w:right w:val="single" w:sz="8" w:color="auto"/>
            </w:tcBorders>
          </w:tcPr>
          <w:p>
            <w:pPr>
              <w:spacing w:after="0"/>
              <w:rPr>
                <w:sz w:val="7"/>
                <w:szCs w:val="7"/>
                <w:color w:val="auto"/>
              </w:rPr>
            </w:pPr>
          </w:p>
        </w:tc>
        <w:tc>
          <w:tcPr>
            <w:tcW w:w="1220" w:type="dxa"/>
            <w:vAlign w:val="bottom"/>
            <w:tcBorders>
              <w:bottom w:val="single" w:sz="8" w:color="auto"/>
              <w:right w:val="single" w:sz="8" w:color="auto"/>
            </w:tcBorders>
          </w:tcPr>
          <w:p>
            <w:pPr>
              <w:spacing w:after="0"/>
              <w:rPr>
                <w:sz w:val="7"/>
                <w:szCs w:val="7"/>
                <w:color w:val="auto"/>
              </w:rPr>
            </w:pPr>
          </w:p>
        </w:tc>
        <w:tc>
          <w:tcPr>
            <w:tcW w:w="700" w:type="dxa"/>
            <w:vAlign w:val="bottom"/>
            <w:tcBorders>
              <w:bottom w:val="single" w:sz="8" w:color="auto"/>
              <w:right w:val="single" w:sz="8" w:color="auto"/>
            </w:tcBorders>
          </w:tcPr>
          <w:p>
            <w:pPr>
              <w:spacing w:after="0"/>
              <w:rPr>
                <w:sz w:val="7"/>
                <w:szCs w:val="7"/>
                <w:color w:val="auto"/>
              </w:rPr>
            </w:pPr>
          </w:p>
        </w:tc>
        <w:tc>
          <w:tcPr>
            <w:tcW w:w="1700" w:type="dxa"/>
            <w:vAlign w:val="bottom"/>
            <w:tcBorders>
              <w:bottom w:val="single" w:sz="8" w:color="auto"/>
              <w:right w:val="single" w:sz="8" w:color="auto"/>
            </w:tcBorders>
          </w:tcPr>
          <w:p>
            <w:pPr>
              <w:spacing w:after="0"/>
              <w:rPr>
                <w:sz w:val="7"/>
                <w:szCs w:val="7"/>
                <w:color w:val="auto"/>
              </w:rPr>
            </w:pPr>
          </w:p>
        </w:tc>
        <w:tc>
          <w:tcPr>
            <w:tcW w:w="2880" w:type="dxa"/>
            <w:vAlign w:val="bottom"/>
            <w:tcBorders>
              <w:bottom w:val="single" w:sz="8" w:color="auto"/>
              <w:right w:val="single" w:sz="8" w:color="auto"/>
            </w:tcBorders>
          </w:tcPr>
          <w:p>
            <w:pPr>
              <w:spacing w:after="0"/>
              <w:rPr>
                <w:sz w:val="7"/>
                <w:szCs w:val="7"/>
                <w:color w:val="auto"/>
              </w:rPr>
            </w:pPr>
          </w:p>
        </w:tc>
      </w:tr>
      <w:tr>
        <w:trPr>
          <w:trHeight w:val="244"/>
        </w:trPr>
        <w:tc>
          <w:tcPr>
            <w:tcW w:w="98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w:t>
            </w:r>
          </w:p>
        </w:tc>
        <w:tc>
          <w:tcPr>
            <w:tcW w:w="162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w:t>
            </w:r>
          </w:p>
        </w:tc>
        <w:tc>
          <w:tcPr>
            <w:tcW w:w="116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w:t>
            </w:r>
          </w:p>
        </w:tc>
        <w:tc>
          <w:tcPr>
            <w:tcW w:w="122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w:t>
            </w:r>
          </w:p>
        </w:tc>
        <w:tc>
          <w:tcPr>
            <w:tcW w:w="70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w:t>
            </w:r>
          </w:p>
        </w:tc>
        <w:tc>
          <w:tcPr>
            <w:tcW w:w="170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w:t>
            </w:r>
          </w:p>
        </w:tc>
        <w:tc>
          <w:tcPr>
            <w:tcW w:w="288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w:t>
            </w:r>
          </w:p>
        </w:tc>
      </w:tr>
      <w:tr>
        <w:trPr>
          <w:trHeight w:val="87"/>
        </w:trPr>
        <w:tc>
          <w:tcPr>
            <w:tcW w:w="980" w:type="dxa"/>
            <w:vAlign w:val="bottom"/>
            <w:tcBorders>
              <w:left w:val="single" w:sz="8" w:color="auto"/>
              <w:bottom w:val="single" w:sz="8" w:color="auto"/>
              <w:right w:val="single" w:sz="8" w:color="auto"/>
            </w:tcBorders>
          </w:tcPr>
          <w:p>
            <w:pPr>
              <w:spacing w:after="0"/>
              <w:rPr>
                <w:sz w:val="7"/>
                <w:szCs w:val="7"/>
                <w:color w:val="auto"/>
              </w:rPr>
            </w:pPr>
          </w:p>
        </w:tc>
        <w:tc>
          <w:tcPr>
            <w:tcW w:w="1620" w:type="dxa"/>
            <w:vAlign w:val="bottom"/>
            <w:tcBorders>
              <w:bottom w:val="single" w:sz="8" w:color="auto"/>
              <w:right w:val="single" w:sz="8" w:color="auto"/>
            </w:tcBorders>
          </w:tcPr>
          <w:p>
            <w:pPr>
              <w:spacing w:after="0"/>
              <w:rPr>
                <w:sz w:val="7"/>
                <w:szCs w:val="7"/>
                <w:color w:val="auto"/>
              </w:rPr>
            </w:pPr>
          </w:p>
        </w:tc>
        <w:tc>
          <w:tcPr>
            <w:tcW w:w="1160" w:type="dxa"/>
            <w:vAlign w:val="bottom"/>
            <w:tcBorders>
              <w:bottom w:val="single" w:sz="8" w:color="auto"/>
              <w:right w:val="single" w:sz="8" w:color="auto"/>
            </w:tcBorders>
          </w:tcPr>
          <w:p>
            <w:pPr>
              <w:spacing w:after="0"/>
              <w:rPr>
                <w:sz w:val="7"/>
                <w:szCs w:val="7"/>
                <w:color w:val="auto"/>
              </w:rPr>
            </w:pPr>
          </w:p>
        </w:tc>
        <w:tc>
          <w:tcPr>
            <w:tcW w:w="1220" w:type="dxa"/>
            <w:vAlign w:val="bottom"/>
            <w:tcBorders>
              <w:bottom w:val="single" w:sz="8" w:color="auto"/>
              <w:right w:val="single" w:sz="8" w:color="auto"/>
            </w:tcBorders>
          </w:tcPr>
          <w:p>
            <w:pPr>
              <w:spacing w:after="0"/>
              <w:rPr>
                <w:sz w:val="7"/>
                <w:szCs w:val="7"/>
                <w:color w:val="auto"/>
              </w:rPr>
            </w:pPr>
          </w:p>
        </w:tc>
        <w:tc>
          <w:tcPr>
            <w:tcW w:w="700" w:type="dxa"/>
            <w:vAlign w:val="bottom"/>
            <w:tcBorders>
              <w:bottom w:val="single" w:sz="8" w:color="auto"/>
              <w:right w:val="single" w:sz="8" w:color="auto"/>
            </w:tcBorders>
          </w:tcPr>
          <w:p>
            <w:pPr>
              <w:spacing w:after="0"/>
              <w:rPr>
                <w:sz w:val="7"/>
                <w:szCs w:val="7"/>
                <w:color w:val="auto"/>
              </w:rPr>
            </w:pPr>
          </w:p>
        </w:tc>
        <w:tc>
          <w:tcPr>
            <w:tcW w:w="1700" w:type="dxa"/>
            <w:vAlign w:val="bottom"/>
            <w:tcBorders>
              <w:bottom w:val="single" w:sz="8" w:color="auto"/>
              <w:right w:val="single" w:sz="8" w:color="auto"/>
            </w:tcBorders>
          </w:tcPr>
          <w:p>
            <w:pPr>
              <w:spacing w:after="0"/>
              <w:rPr>
                <w:sz w:val="7"/>
                <w:szCs w:val="7"/>
                <w:color w:val="auto"/>
              </w:rPr>
            </w:pPr>
          </w:p>
        </w:tc>
        <w:tc>
          <w:tcPr>
            <w:tcW w:w="2880" w:type="dxa"/>
            <w:vAlign w:val="bottom"/>
            <w:tcBorders>
              <w:bottom w:val="single" w:sz="8" w:color="auto"/>
              <w:right w:val="single" w:sz="8" w:color="auto"/>
            </w:tcBorders>
          </w:tcPr>
          <w:p>
            <w:pPr>
              <w:spacing w:after="0"/>
              <w:rPr>
                <w:sz w:val="7"/>
                <w:szCs w:val="7"/>
                <w:color w:val="auto"/>
              </w:rPr>
            </w:pPr>
          </w:p>
        </w:tc>
      </w:tr>
      <w:tr>
        <w:trPr>
          <w:trHeight w:val="244"/>
        </w:trPr>
        <w:tc>
          <w:tcPr>
            <w:tcW w:w="98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w:t>
            </w:r>
          </w:p>
        </w:tc>
        <w:tc>
          <w:tcPr>
            <w:tcW w:w="162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w:t>
            </w:r>
          </w:p>
        </w:tc>
        <w:tc>
          <w:tcPr>
            <w:tcW w:w="116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w:t>
            </w:r>
          </w:p>
        </w:tc>
        <w:tc>
          <w:tcPr>
            <w:tcW w:w="122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w:t>
            </w:r>
          </w:p>
        </w:tc>
        <w:tc>
          <w:tcPr>
            <w:tcW w:w="70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w:t>
            </w:r>
          </w:p>
        </w:tc>
        <w:tc>
          <w:tcPr>
            <w:tcW w:w="170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w:t>
            </w:r>
          </w:p>
        </w:tc>
        <w:tc>
          <w:tcPr>
            <w:tcW w:w="288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w:t>
            </w:r>
          </w:p>
        </w:tc>
      </w:tr>
      <w:tr>
        <w:trPr>
          <w:trHeight w:val="87"/>
        </w:trPr>
        <w:tc>
          <w:tcPr>
            <w:tcW w:w="980" w:type="dxa"/>
            <w:vAlign w:val="bottom"/>
            <w:tcBorders>
              <w:left w:val="single" w:sz="8" w:color="auto"/>
              <w:bottom w:val="single" w:sz="8" w:color="auto"/>
              <w:right w:val="single" w:sz="8" w:color="auto"/>
            </w:tcBorders>
          </w:tcPr>
          <w:p>
            <w:pPr>
              <w:spacing w:after="0"/>
              <w:rPr>
                <w:sz w:val="7"/>
                <w:szCs w:val="7"/>
                <w:color w:val="auto"/>
              </w:rPr>
            </w:pPr>
          </w:p>
        </w:tc>
        <w:tc>
          <w:tcPr>
            <w:tcW w:w="1620" w:type="dxa"/>
            <w:vAlign w:val="bottom"/>
            <w:tcBorders>
              <w:bottom w:val="single" w:sz="8" w:color="auto"/>
              <w:right w:val="single" w:sz="8" w:color="auto"/>
            </w:tcBorders>
          </w:tcPr>
          <w:p>
            <w:pPr>
              <w:spacing w:after="0"/>
              <w:rPr>
                <w:sz w:val="7"/>
                <w:szCs w:val="7"/>
                <w:color w:val="auto"/>
              </w:rPr>
            </w:pPr>
          </w:p>
        </w:tc>
        <w:tc>
          <w:tcPr>
            <w:tcW w:w="1160" w:type="dxa"/>
            <w:vAlign w:val="bottom"/>
            <w:tcBorders>
              <w:bottom w:val="single" w:sz="8" w:color="auto"/>
              <w:right w:val="single" w:sz="8" w:color="auto"/>
            </w:tcBorders>
          </w:tcPr>
          <w:p>
            <w:pPr>
              <w:spacing w:after="0"/>
              <w:rPr>
                <w:sz w:val="7"/>
                <w:szCs w:val="7"/>
                <w:color w:val="auto"/>
              </w:rPr>
            </w:pPr>
          </w:p>
        </w:tc>
        <w:tc>
          <w:tcPr>
            <w:tcW w:w="1220" w:type="dxa"/>
            <w:vAlign w:val="bottom"/>
            <w:tcBorders>
              <w:bottom w:val="single" w:sz="8" w:color="auto"/>
              <w:right w:val="single" w:sz="8" w:color="auto"/>
            </w:tcBorders>
          </w:tcPr>
          <w:p>
            <w:pPr>
              <w:spacing w:after="0"/>
              <w:rPr>
                <w:sz w:val="7"/>
                <w:szCs w:val="7"/>
                <w:color w:val="auto"/>
              </w:rPr>
            </w:pPr>
          </w:p>
        </w:tc>
        <w:tc>
          <w:tcPr>
            <w:tcW w:w="700" w:type="dxa"/>
            <w:vAlign w:val="bottom"/>
            <w:tcBorders>
              <w:bottom w:val="single" w:sz="8" w:color="auto"/>
              <w:right w:val="single" w:sz="8" w:color="auto"/>
            </w:tcBorders>
          </w:tcPr>
          <w:p>
            <w:pPr>
              <w:spacing w:after="0"/>
              <w:rPr>
                <w:sz w:val="7"/>
                <w:szCs w:val="7"/>
                <w:color w:val="auto"/>
              </w:rPr>
            </w:pPr>
          </w:p>
        </w:tc>
        <w:tc>
          <w:tcPr>
            <w:tcW w:w="1700" w:type="dxa"/>
            <w:vAlign w:val="bottom"/>
            <w:tcBorders>
              <w:bottom w:val="single" w:sz="8" w:color="auto"/>
              <w:right w:val="single" w:sz="8" w:color="auto"/>
            </w:tcBorders>
          </w:tcPr>
          <w:p>
            <w:pPr>
              <w:spacing w:after="0"/>
              <w:rPr>
                <w:sz w:val="7"/>
                <w:szCs w:val="7"/>
                <w:color w:val="auto"/>
              </w:rPr>
            </w:pPr>
          </w:p>
        </w:tc>
        <w:tc>
          <w:tcPr>
            <w:tcW w:w="2880" w:type="dxa"/>
            <w:vAlign w:val="bottom"/>
            <w:tcBorders>
              <w:bottom w:val="single" w:sz="8" w:color="auto"/>
              <w:right w:val="single" w:sz="8" w:color="auto"/>
            </w:tcBorders>
          </w:tcPr>
          <w:p>
            <w:pPr>
              <w:spacing w:after="0"/>
              <w:rPr>
                <w:sz w:val="7"/>
                <w:szCs w:val="7"/>
                <w:color w:val="auto"/>
              </w:rPr>
            </w:pPr>
          </w:p>
        </w:tc>
      </w:tr>
      <w:tr>
        <w:trPr>
          <w:trHeight w:val="244"/>
        </w:trPr>
        <w:tc>
          <w:tcPr>
            <w:tcW w:w="98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w:t>
            </w:r>
          </w:p>
        </w:tc>
        <w:tc>
          <w:tcPr>
            <w:tcW w:w="162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w:t>
            </w:r>
          </w:p>
        </w:tc>
        <w:tc>
          <w:tcPr>
            <w:tcW w:w="116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w:t>
            </w:r>
          </w:p>
        </w:tc>
        <w:tc>
          <w:tcPr>
            <w:tcW w:w="122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w:t>
            </w:r>
          </w:p>
        </w:tc>
        <w:tc>
          <w:tcPr>
            <w:tcW w:w="70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w:t>
            </w:r>
          </w:p>
        </w:tc>
        <w:tc>
          <w:tcPr>
            <w:tcW w:w="170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w:t>
            </w:r>
          </w:p>
        </w:tc>
        <w:tc>
          <w:tcPr>
            <w:tcW w:w="288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w:t>
            </w:r>
          </w:p>
        </w:tc>
      </w:tr>
      <w:tr>
        <w:trPr>
          <w:trHeight w:val="87"/>
        </w:trPr>
        <w:tc>
          <w:tcPr>
            <w:tcW w:w="980" w:type="dxa"/>
            <w:vAlign w:val="bottom"/>
            <w:tcBorders>
              <w:left w:val="single" w:sz="8" w:color="auto"/>
              <w:bottom w:val="single" w:sz="8" w:color="auto"/>
              <w:right w:val="single" w:sz="8" w:color="auto"/>
            </w:tcBorders>
          </w:tcPr>
          <w:p>
            <w:pPr>
              <w:spacing w:after="0"/>
              <w:rPr>
                <w:sz w:val="7"/>
                <w:szCs w:val="7"/>
                <w:color w:val="auto"/>
              </w:rPr>
            </w:pPr>
          </w:p>
        </w:tc>
        <w:tc>
          <w:tcPr>
            <w:tcW w:w="1620" w:type="dxa"/>
            <w:vAlign w:val="bottom"/>
            <w:tcBorders>
              <w:bottom w:val="single" w:sz="8" w:color="auto"/>
              <w:right w:val="single" w:sz="8" w:color="auto"/>
            </w:tcBorders>
          </w:tcPr>
          <w:p>
            <w:pPr>
              <w:spacing w:after="0"/>
              <w:rPr>
                <w:sz w:val="7"/>
                <w:szCs w:val="7"/>
                <w:color w:val="auto"/>
              </w:rPr>
            </w:pPr>
          </w:p>
        </w:tc>
        <w:tc>
          <w:tcPr>
            <w:tcW w:w="1160" w:type="dxa"/>
            <w:vAlign w:val="bottom"/>
            <w:tcBorders>
              <w:bottom w:val="single" w:sz="8" w:color="auto"/>
              <w:right w:val="single" w:sz="8" w:color="auto"/>
            </w:tcBorders>
          </w:tcPr>
          <w:p>
            <w:pPr>
              <w:spacing w:after="0"/>
              <w:rPr>
                <w:sz w:val="7"/>
                <w:szCs w:val="7"/>
                <w:color w:val="auto"/>
              </w:rPr>
            </w:pPr>
          </w:p>
        </w:tc>
        <w:tc>
          <w:tcPr>
            <w:tcW w:w="1220" w:type="dxa"/>
            <w:vAlign w:val="bottom"/>
            <w:tcBorders>
              <w:bottom w:val="single" w:sz="8" w:color="auto"/>
              <w:right w:val="single" w:sz="8" w:color="auto"/>
            </w:tcBorders>
          </w:tcPr>
          <w:p>
            <w:pPr>
              <w:spacing w:after="0"/>
              <w:rPr>
                <w:sz w:val="7"/>
                <w:szCs w:val="7"/>
                <w:color w:val="auto"/>
              </w:rPr>
            </w:pPr>
          </w:p>
        </w:tc>
        <w:tc>
          <w:tcPr>
            <w:tcW w:w="700" w:type="dxa"/>
            <w:vAlign w:val="bottom"/>
            <w:tcBorders>
              <w:bottom w:val="single" w:sz="8" w:color="auto"/>
              <w:right w:val="single" w:sz="8" w:color="auto"/>
            </w:tcBorders>
          </w:tcPr>
          <w:p>
            <w:pPr>
              <w:spacing w:after="0"/>
              <w:rPr>
                <w:sz w:val="7"/>
                <w:szCs w:val="7"/>
                <w:color w:val="auto"/>
              </w:rPr>
            </w:pPr>
          </w:p>
        </w:tc>
        <w:tc>
          <w:tcPr>
            <w:tcW w:w="1700" w:type="dxa"/>
            <w:vAlign w:val="bottom"/>
            <w:tcBorders>
              <w:bottom w:val="single" w:sz="8" w:color="auto"/>
              <w:right w:val="single" w:sz="8" w:color="auto"/>
            </w:tcBorders>
          </w:tcPr>
          <w:p>
            <w:pPr>
              <w:spacing w:after="0"/>
              <w:rPr>
                <w:sz w:val="7"/>
                <w:szCs w:val="7"/>
                <w:color w:val="auto"/>
              </w:rPr>
            </w:pPr>
          </w:p>
        </w:tc>
        <w:tc>
          <w:tcPr>
            <w:tcW w:w="2880" w:type="dxa"/>
            <w:vAlign w:val="bottom"/>
            <w:tcBorders>
              <w:bottom w:val="single" w:sz="8" w:color="auto"/>
              <w:right w:val="single" w:sz="8" w:color="auto"/>
            </w:tcBorders>
          </w:tcPr>
          <w:p>
            <w:pPr>
              <w:spacing w:after="0"/>
              <w:rPr>
                <w:sz w:val="7"/>
                <w:szCs w:val="7"/>
                <w:color w:val="auto"/>
              </w:rPr>
            </w:pPr>
          </w:p>
        </w:tc>
      </w:tr>
      <w:tr>
        <w:trPr>
          <w:trHeight w:val="244"/>
        </w:trPr>
        <w:tc>
          <w:tcPr>
            <w:tcW w:w="98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w:t>
            </w:r>
          </w:p>
        </w:tc>
        <w:tc>
          <w:tcPr>
            <w:tcW w:w="162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w:t>
            </w:r>
          </w:p>
        </w:tc>
        <w:tc>
          <w:tcPr>
            <w:tcW w:w="116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w:t>
            </w:r>
          </w:p>
        </w:tc>
        <w:tc>
          <w:tcPr>
            <w:tcW w:w="122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w:t>
            </w:r>
          </w:p>
        </w:tc>
        <w:tc>
          <w:tcPr>
            <w:tcW w:w="70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w:t>
            </w:r>
          </w:p>
        </w:tc>
        <w:tc>
          <w:tcPr>
            <w:tcW w:w="170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w:t>
            </w:r>
          </w:p>
        </w:tc>
        <w:tc>
          <w:tcPr>
            <w:tcW w:w="288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w:t>
            </w:r>
          </w:p>
        </w:tc>
      </w:tr>
      <w:tr>
        <w:trPr>
          <w:trHeight w:val="87"/>
        </w:trPr>
        <w:tc>
          <w:tcPr>
            <w:tcW w:w="980" w:type="dxa"/>
            <w:vAlign w:val="bottom"/>
            <w:tcBorders>
              <w:left w:val="single" w:sz="8" w:color="auto"/>
              <w:bottom w:val="single" w:sz="8" w:color="auto"/>
              <w:right w:val="single" w:sz="8" w:color="auto"/>
            </w:tcBorders>
          </w:tcPr>
          <w:p>
            <w:pPr>
              <w:spacing w:after="0"/>
              <w:rPr>
                <w:sz w:val="7"/>
                <w:szCs w:val="7"/>
                <w:color w:val="auto"/>
              </w:rPr>
            </w:pPr>
          </w:p>
        </w:tc>
        <w:tc>
          <w:tcPr>
            <w:tcW w:w="1620" w:type="dxa"/>
            <w:vAlign w:val="bottom"/>
            <w:tcBorders>
              <w:bottom w:val="single" w:sz="8" w:color="auto"/>
              <w:right w:val="single" w:sz="8" w:color="auto"/>
            </w:tcBorders>
          </w:tcPr>
          <w:p>
            <w:pPr>
              <w:spacing w:after="0"/>
              <w:rPr>
                <w:sz w:val="7"/>
                <w:szCs w:val="7"/>
                <w:color w:val="auto"/>
              </w:rPr>
            </w:pPr>
          </w:p>
        </w:tc>
        <w:tc>
          <w:tcPr>
            <w:tcW w:w="1160" w:type="dxa"/>
            <w:vAlign w:val="bottom"/>
            <w:tcBorders>
              <w:bottom w:val="single" w:sz="8" w:color="auto"/>
              <w:right w:val="single" w:sz="8" w:color="auto"/>
            </w:tcBorders>
          </w:tcPr>
          <w:p>
            <w:pPr>
              <w:spacing w:after="0"/>
              <w:rPr>
                <w:sz w:val="7"/>
                <w:szCs w:val="7"/>
                <w:color w:val="auto"/>
              </w:rPr>
            </w:pPr>
          </w:p>
        </w:tc>
        <w:tc>
          <w:tcPr>
            <w:tcW w:w="1220" w:type="dxa"/>
            <w:vAlign w:val="bottom"/>
            <w:tcBorders>
              <w:bottom w:val="single" w:sz="8" w:color="auto"/>
              <w:right w:val="single" w:sz="8" w:color="auto"/>
            </w:tcBorders>
          </w:tcPr>
          <w:p>
            <w:pPr>
              <w:spacing w:after="0"/>
              <w:rPr>
                <w:sz w:val="7"/>
                <w:szCs w:val="7"/>
                <w:color w:val="auto"/>
              </w:rPr>
            </w:pPr>
          </w:p>
        </w:tc>
        <w:tc>
          <w:tcPr>
            <w:tcW w:w="700" w:type="dxa"/>
            <w:vAlign w:val="bottom"/>
            <w:tcBorders>
              <w:bottom w:val="single" w:sz="8" w:color="auto"/>
              <w:right w:val="single" w:sz="8" w:color="auto"/>
            </w:tcBorders>
          </w:tcPr>
          <w:p>
            <w:pPr>
              <w:spacing w:after="0"/>
              <w:rPr>
                <w:sz w:val="7"/>
                <w:szCs w:val="7"/>
                <w:color w:val="auto"/>
              </w:rPr>
            </w:pPr>
          </w:p>
        </w:tc>
        <w:tc>
          <w:tcPr>
            <w:tcW w:w="1700" w:type="dxa"/>
            <w:vAlign w:val="bottom"/>
            <w:tcBorders>
              <w:bottom w:val="single" w:sz="8" w:color="auto"/>
              <w:right w:val="single" w:sz="8" w:color="auto"/>
            </w:tcBorders>
          </w:tcPr>
          <w:p>
            <w:pPr>
              <w:spacing w:after="0"/>
              <w:rPr>
                <w:sz w:val="7"/>
                <w:szCs w:val="7"/>
                <w:color w:val="auto"/>
              </w:rPr>
            </w:pPr>
          </w:p>
        </w:tc>
        <w:tc>
          <w:tcPr>
            <w:tcW w:w="2880" w:type="dxa"/>
            <w:vAlign w:val="bottom"/>
            <w:tcBorders>
              <w:bottom w:val="single" w:sz="8" w:color="auto"/>
              <w:right w:val="single" w:sz="8" w:color="auto"/>
            </w:tcBorders>
          </w:tcPr>
          <w:p>
            <w:pPr>
              <w:spacing w:after="0"/>
              <w:rPr>
                <w:sz w:val="7"/>
                <w:szCs w:val="7"/>
                <w:color w:val="auto"/>
              </w:rPr>
            </w:pPr>
          </w:p>
        </w:tc>
      </w:tr>
      <w:tr>
        <w:trPr>
          <w:trHeight w:val="244"/>
        </w:trPr>
        <w:tc>
          <w:tcPr>
            <w:tcW w:w="98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w:t>
            </w:r>
          </w:p>
        </w:tc>
        <w:tc>
          <w:tcPr>
            <w:tcW w:w="162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w:t>
            </w:r>
          </w:p>
        </w:tc>
        <w:tc>
          <w:tcPr>
            <w:tcW w:w="116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w:t>
            </w:r>
          </w:p>
        </w:tc>
        <w:tc>
          <w:tcPr>
            <w:tcW w:w="122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w:t>
            </w:r>
          </w:p>
        </w:tc>
        <w:tc>
          <w:tcPr>
            <w:tcW w:w="70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w:t>
            </w:r>
          </w:p>
        </w:tc>
        <w:tc>
          <w:tcPr>
            <w:tcW w:w="170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w:t>
            </w:r>
          </w:p>
        </w:tc>
        <w:tc>
          <w:tcPr>
            <w:tcW w:w="288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w:t>
            </w:r>
          </w:p>
        </w:tc>
      </w:tr>
      <w:tr>
        <w:trPr>
          <w:trHeight w:val="87"/>
        </w:trPr>
        <w:tc>
          <w:tcPr>
            <w:tcW w:w="980" w:type="dxa"/>
            <w:vAlign w:val="bottom"/>
            <w:tcBorders>
              <w:left w:val="single" w:sz="8" w:color="auto"/>
              <w:bottom w:val="single" w:sz="8" w:color="auto"/>
              <w:right w:val="single" w:sz="8" w:color="auto"/>
            </w:tcBorders>
          </w:tcPr>
          <w:p>
            <w:pPr>
              <w:spacing w:after="0"/>
              <w:rPr>
                <w:sz w:val="7"/>
                <w:szCs w:val="7"/>
                <w:color w:val="auto"/>
              </w:rPr>
            </w:pPr>
          </w:p>
        </w:tc>
        <w:tc>
          <w:tcPr>
            <w:tcW w:w="1620" w:type="dxa"/>
            <w:vAlign w:val="bottom"/>
            <w:tcBorders>
              <w:bottom w:val="single" w:sz="8" w:color="auto"/>
              <w:right w:val="single" w:sz="8" w:color="auto"/>
            </w:tcBorders>
          </w:tcPr>
          <w:p>
            <w:pPr>
              <w:spacing w:after="0"/>
              <w:rPr>
                <w:sz w:val="7"/>
                <w:szCs w:val="7"/>
                <w:color w:val="auto"/>
              </w:rPr>
            </w:pPr>
          </w:p>
        </w:tc>
        <w:tc>
          <w:tcPr>
            <w:tcW w:w="1160" w:type="dxa"/>
            <w:vAlign w:val="bottom"/>
            <w:tcBorders>
              <w:bottom w:val="single" w:sz="8" w:color="auto"/>
              <w:right w:val="single" w:sz="8" w:color="auto"/>
            </w:tcBorders>
          </w:tcPr>
          <w:p>
            <w:pPr>
              <w:spacing w:after="0"/>
              <w:rPr>
                <w:sz w:val="7"/>
                <w:szCs w:val="7"/>
                <w:color w:val="auto"/>
              </w:rPr>
            </w:pPr>
          </w:p>
        </w:tc>
        <w:tc>
          <w:tcPr>
            <w:tcW w:w="1220" w:type="dxa"/>
            <w:vAlign w:val="bottom"/>
            <w:tcBorders>
              <w:bottom w:val="single" w:sz="8" w:color="auto"/>
              <w:right w:val="single" w:sz="8" w:color="auto"/>
            </w:tcBorders>
          </w:tcPr>
          <w:p>
            <w:pPr>
              <w:spacing w:after="0"/>
              <w:rPr>
                <w:sz w:val="7"/>
                <w:szCs w:val="7"/>
                <w:color w:val="auto"/>
              </w:rPr>
            </w:pPr>
          </w:p>
        </w:tc>
        <w:tc>
          <w:tcPr>
            <w:tcW w:w="700" w:type="dxa"/>
            <w:vAlign w:val="bottom"/>
            <w:tcBorders>
              <w:bottom w:val="single" w:sz="8" w:color="auto"/>
              <w:right w:val="single" w:sz="8" w:color="auto"/>
            </w:tcBorders>
          </w:tcPr>
          <w:p>
            <w:pPr>
              <w:spacing w:after="0"/>
              <w:rPr>
                <w:sz w:val="7"/>
                <w:szCs w:val="7"/>
                <w:color w:val="auto"/>
              </w:rPr>
            </w:pPr>
          </w:p>
        </w:tc>
        <w:tc>
          <w:tcPr>
            <w:tcW w:w="1700" w:type="dxa"/>
            <w:vAlign w:val="bottom"/>
            <w:tcBorders>
              <w:bottom w:val="single" w:sz="8" w:color="auto"/>
              <w:right w:val="single" w:sz="8" w:color="auto"/>
            </w:tcBorders>
          </w:tcPr>
          <w:p>
            <w:pPr>
              <w:spacing w:after="0"/>
              <w:rPr>
                <w:sz w:val="7"/>
                <w:szCs w:val="7"/>
                <w:color w:val="auto"/>
              </w:rPr>
            </w:pPr>
          </w:p>
        </w:tc>
        <w:tc>
          <w:tcPr>
            <w:tcW w:w="2880" w:type="dxa"/>
            <w:vAlign w:val="bottom"/>
            <w:tcBorders>
              <w:bottom w:val="single" w:sz="8" w:color="auto"/>
              <w:right w:val="single" w:sz="8" w:color="auto"/>
            </w:tcBorders>
          </w:tcPr>
          <w:p>
            <w:pPr>
              <w:spacing w:after="0"/>
              <w:rPr>
                <w:sz w:val="7"/>
                <w:szCs w:val="7"/>
                <w:color w:val="auto"/>
              </w:rPr>
            </w:pPr>
          </w:p>
        </w:tc>
      </w:tr>
      <w:tr>
        <w:trPr>
          <w:trHeight w:val="244"/>
        </w:trPr>
        <w:tc>
          <w:tcPr>
            <w:tcW w:w="98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w:t>
            </w:r>
          </w:p>
        </w:tc>
        <w:tc>
          <w:tcPr>
            <w:tcW w:w="162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w:t>
            </w:r>
          </w:p>
        </w:tc>
        <w:tc>
          <w:tcPr>
            <w:tcW w:w="116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w:t>
            </w:r>
          </w:p>
        </w:tc>
        <w:tc>
          <w:tcPr>
            <w:tcW w:w="122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w:t>
            </w:r>
          </w:p>
        </w:tc>
        <w:tc>
          <w:tcPr>
            <w:tcW w:w="70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w:t>
            </w:r>
          </w:p>
        </w:tc>
        <w:tc>
          <w:tcPr>
            <w:tcW w:w="170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w:t>
            </w:r>
          </w:p>
        </w:tc>
        <w:tc>
          <w:tcPr>
            <w:tcW w:w="288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w:t>
            </w:r>
          </w:p>
        </w:tc>
      </w:tr>
      <w:tr>
        <w:trPr>
          <w:trHeight w:val="87"/>
        </w:trPr>
        <w:tc>
          <w:tcPr>
            <w:tcW w:w="980" w:type="dxa"/>
            <w:vAlign w:val="bottom"/>
            <w:tcBorders>
              <w:left w:val="single" w:sz="8" w:color="auto"/>
              <w:bottom w:val="single" w:sz="8" w:color="auto"/>
              <w:right w:val="single" w:sz="8" w:color="auto"/>
            </w:tcBorders>
          </w:tcPr>
          <w:p>
            <w:pPr>
              <w:spacing w:after="0"/>
              <w:rPr>
                <w:sz w:val="7"/>
                <w:szCs w:val="7"/>
                <w:color w:val="auto"/>
              </w:rPr>
            </w:pPr>
          </w:p>
        </w:tc>
        <w:tc>
          <w:tcPr>
            <w:tcW w:w="1620" w:type="dxa"/>
            <w:vAlign w:val="bottom"/>
            <w:tcBorders>
              <w:bottom w:val="single" w:sz="8" w:color="auto"/>
              <w:right w:val="single" w:sz="8" w:color="auto"/>
            </w:tcBorders>
          </w:tcPr>
          <w:p>
            <w:pPr>
              <w:spacing w:after="0"/>
              <w:rPr>
                <w:sz w:val="7"/>
                <w:szCs w:val="7"/>
                <w:color w:val="auto"/>
              </w:rPr>
            </w:pPr>
          </w:p>
        </w:tc>
        <w:tc>
          <w:tcPr>
            <w:tcW w:w="1160" w:type="dxa"/>
            <w:vAlign w:val="bottom"/>
            <w:tcBorders>
              <w:bottom w:val="single" w:sz="8" w:color="auto"/>
              <w:right w:val="single" w:sz="8" w:color="auto"/>
            </w:tcBorders>
          </w:tcPr>
          <w:p>
            <w:pPr>
              <w:spacing w:after="0"/>
              <w:rPr>
                <w:sz w:val="7"/>
                <w:szCs w:val="7"/>
                <w:color w:val="auto"/>
              </w:rPr>
            </w:pPr>
          </w:p>
        </w:tc>
        <w:tc>
          <w:tcPr>
            <w:tcW w:w="1220" w:type="dxa"/>
            <w:vAlign w:val="bottom"/>
            <w:tcBorders>
              <w:bottom w:val="single" w:sz="8" w:color="auto"/>
              <w:right w:val="single" w:sz="8" w:color="auto"/>
            </w:tcBorders>
          </w:tcPr>
          <w:p>
            <w:pPr>
              <w:spacing w:after="0"/>
              <w:rPr>
                <w:sz w:val="7"/>
                <w:szCs w:val="7"/>
                <w:color w:val="auto"/>
              </w:rPr>
            </w:pPr>
          </w:p>
        </w:tc>
        <w:tc>
          <w:tcPr>
            <w:tcW w:w="700" w:type="dxa"/>
            <w:vAlign w:val="bottom"/>
            <w:tcBorders>
              <w:bottom w:val="single" w:sz="8" w:color="auto"/>
              <w:right w:val="single" w:sz="8" w:color="auto"/>
            </w:tcBorders>
          </w:tcPr>
          <w:p>
            <w:pPr>
              <w:spacing w:after="0"/>
              <w:rPr>
                <w:sz w:val="7"/>
                <w:szCs w:val="7"/>
                <w:color w:val="auto"/>
              </w:rPr>
            </w:pPr>
          </w:p>
        </w:tc>
        <w:tc>
          <w:tcPr>
            <w:tcW w:w="1700" w:type="dxa"/>
            <w:vAlign w:val="bottom"/>
            <w:tcBorders>
              <w:bottom w:val="single" w:sz="8" w:color="auto"/>
              <w:right w:val="single" w:sz="8" w:color="auto"/>
            </w:tcBorders>
          </w:tcPr>
          <w:p>
            <w:pPr>
              <w:spacing w:after="0"/>
              <w:rPr>
                <w:sz w:val="7"/>
                <w:szCs w:val="7"/>
                <w:color w:val="auto"/>
              </w:rPr>
            </w:pPr>
          </w:p>
        </w:tc>
        <w:tc>
          <w:tcPr>
            <w:tcW w:w="2880" w:type="dxa"/>
            <w:vAlign w:val="bottom"/>
            <w:tcBorders>
              <w:bottom w:val="single" w:sz="8" w:color="auto"/>
              <w:right w:val="single" w:sz="8" w:color="auto"/>
            </w:tcBorders>
          </w:tcPr>
          <w:p>
            <w:pPr>
              <w:spacing w:after="0"/>
              <w:rPr>
                <w:sz w:val="7"/>
                <w:szCs w:val="7"/>
                <w:color w:val="auto"/>
              </w:rPr>
            </w:pPr>
          </w:p>
        </w:tc>
      </w:tr>
      <w:tr>
        <w:trPr>
          <w:trHeight w:val="244"/>
        </w:trPr>
        <w:tc>
          <w:tcPr>
            <w:tcW w:w="98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w:t>
            </w:r>
          </w:p>
        </w:tc>
        <w:tc>
          <w:tcPr>
            <w:tcW w:w="162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w:t>
            </w:r>
          </w:p>
        </w:tc>
        <w:tc>
          <w:tcPr>
            <w:tcW w:w="116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w:t>
            </w:r>
          </w:p>
        </w:tc>
        <w:tc>
          <w:tcPr>
            <w:tcW w:w="122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w:t>
            </w:r>
          </w:p>
        </w:tc>
        <w:tc>
          <w:tcPr>
            <w:tcW w:w="70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w:t>
            </w:r>
          </w:p>
        </w:tc>
        <w:tc>
          <w:tcPr>
            <w:tcW w:w="170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w:t>
            </w:r>
          </w:p>
        </w:tc>
        <w:tc>
          <w:tcPr>
            <w:tcW w:w="288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w:t>
            </w:r>
          </w:p>
        </w:tc>
      </w:tr>
      <w:tr>
        <w:trPr>
          <w:trHeight w:val="87"/>
        </w:trPr>
        <w:tc>
          <w:tcPr>
            <w:tcW w:w="980" w:type="dxa"/>
            <w:vAlign w:val="bottom"/>
            <w:tcBorders>
              <w:left w:val="single" w:sz="8" w:color="auto"/>
              <w:bottom w:val="single" w:sz="8" w:color="auto"/>
              <w:right w:val="single" w:sz="8" w:color="auto"/>
            </w:tcBorders>
          </w:tcPr>
          <w:p>
            <w:pPr>
              <w:spacing w:after="0"/>
              <w:rPr>
                <w:sz w:val="7"/>
                <w:szCs w:val="7"/>
                <w:color w:val="auto"/>
              </w:rPr>
            </w:pPr>
          </w:p>
        </w:tc>
        <w:tc>
          <w:tcPr>
            <w:tcW w:w="1620" w:type="dxa"/>
            <w:vAlign w:val="bottom"/>
            <w:tcBorders>
              <w:bottom w:val="single" w:sz="8" w:color="auto"/>
              <w:right w:val="single" w:sz="8" w:color="auto"/>
            </w:tcBorders>
          </w:tcPr>
          <w:p>
            <w:pPr>
              <w:spacing w:after="0"/>
              <w:rPr>
                <w:sz w:val="7"/>
                <w:szCs w:val="7"/>
                <w:color w:val="auto"/>
              </w:rPr>
            </w:pPr>
          </w:p>
        </w:tc>
        <w:tc>
          <w:tcPr>
            <w:tcW w:w="1160" w:type="dxa"/>
            <w:vAlign w:val="bottom"/>
            <w:tcBorders>
              <w:bottom w:val="single" w:sz="8" w:color="auto"/>
              <w:right w:val="single" w:sz="8" w:color="auto"/>
            </w:tcBorders>
          </w:tcPr>
          <w:p>
            <w:pPr>
              <w:spacing w:after="0"/>
              <w:rPr>
                <w:sz w:val="7"/>
                <w:szCs w:val="7"/>
                <w:color w:val="auto"/>
              </w:rPr>
            </w:pPr>
          </w:p>
        </w:tc>
        <w:tc>
          <w:tcPr>
            <w:tcW w:w="1220" w:type="dxa"/>
            <w:vAlign w:val="bottom"/>
            <w:tcBorders>
              <w:bottom w:val="single" w:sz="8" w:color="auto"/>
              <w:right w:val="single" w:sz="8" w:color="auto"/>
            </w:tcBorders>
          </w:tcPr>
          <w:p>
            <w:pPr>
              <w:spacing w:after="0"/>
              <w:rPr>
                <w:sz w:val="7"/>
                <w:szCs w:val="7"/>
                <w:color w:val="auto"/>
              </w:rPr>
            </w:pPr>
          </w:p>
        </w:tc>
        <w:tc>
          <w:tcPr>
            <w:tcW w:w="700" w:type="dxa"/>
            <w:vAlign w:val="bottom"/>
            <w:tcBorders>
              <w:bottom w:val="single" w:sz="8" w:color="auto"/>
              <w:right w:val="single" w:sz="8" w:color="auto"/>
            </w:tcBorders>
          </w:tcPr>
          <w:p>
            <w:pPr>
              <w:spacing w:after="0"/>
              <w:rPr>
                <w:sz w:val="7"/>
                <w:szCs w:val="7"/>
                <w:color w:val="auto"/>
              </w:rPr>
            </w:pPr>
          </w:p>
        </w:tc>
        <w:tc>
          <w:tcPr>
            <w:tcW w:w="1700" w:type="dxa"/>
            <w:vAlign w:val="bottom"/>
            <w:tcBorders>
              <w:bottom w:val="single" w:sz="8" w:color="auto"/>
              <w:right w:val="single" w:sz="8" w:color="auto"/>
            </w:tcBorders>
          </w:tcPr>
          <w:p>
            <w:pPr>
              <w:spacing w:after="0"/>
              <w:rPr>
                <w:sz w:val="7"/>
                <w:szCs w:val="7"/>
                <w:color w:val="auto"/>
              </w:rPr>
            </w:pPr>
          </w:p>
        </w:tc>
        <w:tc>
          <w:tcPr>
            <w:tcW w:w="2880" w:type="dxa"/>
            <w:vAlign w:val="bottom"/>
            <w:tcBorders>
              <w:bottom w:val="single" w:sz="8" w:color="auto"/>
              <w:right w:val="single" w:sz="8" w:color="auto"/>
            </w:tcBorders>
          </w:tcPr>
          <w:p>
            <w:pPr>
              <w:spacing w:after="0"/>
              <w:rPr>
                <w:sz w:val="7"/>
                <w:szCs w:val="7"/>
                <w:color w:val="auto"/>
              </w:rPr>
            </w:pPr>
          </w:p>
        </w:tc>
      </w:tr>
      <w:tr>
        <w:trPr>
          <w:trHeight w:val="244"/>
        </w:trPr>
        <w:tc>
          <w:tcPr>
            <w:tcW w:w="98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w:t>
            </w:r>
          </w:p>
        </w:tc>
        <w:tc>
          <w:tcPr>
            <w:tcW w:w="162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w:t>
            </w:r>
          </w:p>
        </w:tc>
        <w:tc>
          <w:tcPr>
            <w:tcW w:w="116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w:t>
            </w:r>
          </w:p>
        </w:tc>
        <w:tc>
          <w:tcPr>
            <w:tcW w:w="122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w:t>
            </w:r>
          </w:p>
        </w:tc>
        <w:tc>
          <w:tcPr>
            <w:tcW w:w="70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w:t>
            </w:r>
          </w:p>
        </w:tc>
        <w:tc>
          <w:tcPr>
            <w:tcW w:w="170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w:t>
            </w:r>
          </w:p>
        </w:tc>
        <w:tc>
          <w:tcPr>
            <w:tcW w:w="288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w:t>
            </w:r>
          </w:p>
        </w:tc>
      </w:tr>
      <w:tr>
        <w:trPr>
          <w:trHeight w:val="87"/>
        </w:trPr>
        <w:tc>
          <w:tcPr>
            <w:tcW w:w="980" w:type="dxa"/>
            <w:vAlign w:val="bottom"/>
            <w:tcBorders>
              <w:left w:val="single" w:sz="8" w:color="auto"/>
              <w:bottom w:val="single" w:sz="8" w:color="auto"/>
              <w:right w:val="single" w:sz="8" w:color="auto"/>
            </w:tcBorders>
          </w:tcPr>
          <w:p>
            <w:pPr>
              <w:spacing w:after="0"/>
              <w:rPr>
                <w:sz w:val="7"/>
                <w:szCs w:val="7"/>
                <w:color w:val="auto"/>
              </w:rPr>
            </w:pPr>
          </w:p>
        </w:tc>
        <w:tc>
          <w:tcPr>
            <w:tcW w:w="1620" w:type="dxa"/>
            <w:vAlign w:val="bottom"/>
            <w:tcBorders>
              <w:bottom w:val="single" w:sz="8" w:color="auto"/>
              <w:right w:val="single" w:sz="8" w:color="auto"/>
            </w:tcBorders>
          </w:tcPr>
          <w:p>
            <w:pPr>
              <w:spacing w:after="0"/>
              <w:rPr>
                <w:sz w:val="7"/>
                <w:szCs w:val="7"/>
                <w:color w:val="auto"/>
              </w:rPr>
            </w:pPr>
          </w:p>
        </w:tc>
        <w:tc>
          <w:tcPr>
            <w:tcW w:w="1160" w:type="dxa"/>
            <w:vAlign w:val="bottom"/>
            <w:tcBorders>
              <w:bottom w:val="single" w:sz="8" w:color="auto"/>
              <w:right w:val="single" w:sz="8" w:color="auto"/>
            </w:tcBorders>
          </w:tcPr>
          <w:p>
            <w:pPr>
              <w:spacing w:after="0"/>
              <w:rPr>
                <w:sz w:val="7"/>
                <w:szCs w:val="7"/>
                <w:color w:val="auto"/>
              </w:rPr>
            </w:pPr>
          </w:p>
        </w:tc>
        <w:tc>
          <w:tcPr>
            <w:tcW w:w="1220" w:type="dxa"/>
            <w:vAlign w:val="bottom"/>
            <w:tcBorders>
              <w:bottom w:val="single" w:sz="8" w:color="auto"/>
              <w:right w:val="single" w:sz="8" w:color="auto"/>
            </w:tcBorders>
          </w:tcPr>
          <w:p>
            <w:pPr>
              <w:spacing w:after="0"/>
              <w:rPr>
                <w:sz w:val="7"/>
                <w:szCs w:val="7"/>
                <w:color w:val="auto"/>
              </w:rPr>
            </w:pPr>
          </w:p>
        </w:tc>
        <w:tc>
          <w:tcPr>
            <w:tcW w:w="700" w:type="dxa"/>
            <w:vAlign w:val="bottom"/>
            <w:tcBorders>
              <w:bottom w:val="single" w:sz="8" w:color="auto"/>
              <w:right w:val="single" w:sz="8" w:color="auto"/>
            </w:tcBorders>
          </w:tcPr>
          <w:p>
            <w:pPr>
              <w:spacing w:after="0"/>
              <w:rPr>
                <w:sz w:val="7"/>
                <w:szCs w:val="7"/>
                <w:color w:val="auto"/>
              </w:rPr>
            </w:pPr>
          </w:p>
        </w:tc>
        <w:tc>
          <w:tcPr>
            <w:tcW w:w="1700" w:type="dxa"/>
            <w:vAlign w:val="bottom"/>
            <w:tcBorders>
              <w:bottom w:val="single" w:sz="8" w:color="auto"/>
              <w:right w:val="single" w:sz="8" w:color="auto"/>
            </w:tcBorders>
          </w:tcPr>
          <w:p>
            <w:pPr>
              <w:spacing w:after="0"/>
              <w:rPr>
                <w:sz w:val="7"/>
                <w:szCs w:val="7"/>
                <w:color w:val="auto"/>
              </w:rPr>
            </w:pPr>
          </w:p>
        </w:tc>
        <w:tc>
          <w:tcPr>
            <w:tcW w:w="2880" w:type="dxa"/>
            <w:vAlign w:val="bottom"/>
            <w:tcBorders>
              <w:bottom w:val="single" w:sz="8" w:color="auto"/>
              <w:right w:val="single" w:sz="8" w:color="auto"/>
            </w:tcBorders>
          </w:tcPr>
          <w:p>
            <w:pPr>
              <w:spacing w:after="0"/>
              <w:rPr>
                <w:sz w:val="7"/>
                <w:szCs w:val="7"/>
                <w:color w:val="auto"/>
              </w:rPr>
            </w:pPr>
          </w:p>
        </w:tc>
      </w:tr>
      <w:tr>
        <w:trPr>
          <w:trHeight w:val="244"/>
        </w:trPr>
        <w:tc>
          <w:tcPr>
            <w:tcW w:w="98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w:t>
            </w:r>
          </w:p>
        </w:tc>
        <w:tc>
          <w:tcPr>
            <w:tcW w:w="162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w:t>
            </w:r>
          </w:p>
        </w:tc>
        <w:tc>
          <w:tcPr>
            <w:tcW w:w="116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w:t>
            </w:r>
          </w:p>
        </w:tc>
        <w:tc>
          <w:tcPr>
            <w:tcW w:w="122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w:t>
            </w:r>
          </w:p>
        </w:tc>
        <w:tc>
          <w:tcPr>
            <w:tcW w:w="70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w:t>
            </w:r>
          </w:p>
        </w:tc>
        <w:tc>
          <w:tcPr>
            <w:tcW w:w="170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w:t>
            </w:r>
          </w:p>
        </w:tc>
        <w:tc>
          <w:tcPr>
            <w:tcW w:w="288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w:t>
            </w:r>
          </w:p>
        </w:tc>
      </w:tr>
      <w:tr>
        <w:trPr>
          <w:trHeight w:val="87"/>
        </w:trPr>
        <w:tc>
          <w:tcPr>
            <w:tcW w:w="980" w:type="dxa"/>
            <w:vAlign w:val="bottom"/>
            <w:tcBorders>
              <w:left w:val="single" w:sz="8" w:color="auto"/>
              <w:bottom w:val="single" w:sz="8" w:color="auto"/>
              <w:right w:val="single" w:sz="8" w:color="auto"/>
            </w:tcBorders>
          </w:tcPr>
          <w:p>
            <w:pPr>
              <w:spacing w:after="0"/>
              <w:rPr>
                <w:sz w:val="7"/>
                <w:szCs w:val="7"/>
                <w:color w:val="auto"/>
              </w:rPr>
            </w:pPr>
          </w:p>
        </w:tc>
        <w:tc>
          <w:tcPr>
            <w:tcW w:w="1620" w:type="dxa"/>
            <w:vAlign w:val="bottom"/>
            <w:tcBorders>
              <w:bottom w:val="single" w:sz="8" w:color="auto"/>
              <w:right w:val="single" w:sz="8" w:color="auto"/>
            </w:tcBorders>
          </w:tcPr>
          <w:p>
            <w:pPr>
              <w:spacing w:after="0"/>
              <w:rPr>
                <w:sz w:val="7"/>
                <w:szCs w:val="7"/>
                <w:color w:val="auto"/>
              </w:rPr>
            </w:pPr>
          </w:p>
        </w:tc>
        <w:tc>
          <w:tcPr>
            <w:tcW w:w="1160" w:type="dxa"/>
            <w:vAlign w:val="bottom"/>
            <w:tcBorders>
              <w:bottom w:val="single" w:sz="8" w:color="auto"/>
              <w:right w:val="single" w:sz="8" w:color="auto"/>
            </w:tcBorders>
          </w:tcPr>
          <w:p>
            <w:pPr>
              <w:spacing w:after="0"/>
              <w:rPr>
                <w:sz w:val="7"/>
                <w:szCs w:val="7"/>
                <w:color w:val="auto"/>
              </w:rPr>
            </w:pPr>
          </w:p>
        </w:tc>
        <w:tc>
          <w:tcPr>
            <w:tcW w:w="1220" w:type="dxa"/>
            <w:vAlign w:val="bottom"/>
            <w:tcBorders>
              <w:bottom w:val="single" w:sz="8" w:color="auto"/>
              <w:right w:val="single" w:sz="8" w:color="auto"/>
            </w:tcBorders>
          </w:tcPr>
          <w:p>
            <w:pPr>
              <w:spacing w:after="0"/>
              <w:rPr>
                <w:sz w:val="7"/>
                <w:szCs w:val="7"/>
                <w:color w:val="auto"/>
              </w:rPr>
            </w:pPr>
          </w:p>
        </w:tc>
        <w:tc>
          <w:tcPr>
            <w:tcW w:w="700" w:type="dxa"/>
            <w:vAlign w:val="bottom"/>
            <w:tcBorders>
              <w:bottom w:val="single" w:sz="8" w:color="auto"/>
              <w:right w:val="single" w:sz="8" w:color="auto"/>
            </w:tcBorders>
          </w:tcPr>
          <w:p>
            <w:pPr>
              <w:spacing w:after="0"/>
              <w:rPr>
                <w:sz w:val="7"/>
                <w:szCs w:val="7"/>
                <w:color w:val="auto"/>
              </w:rPr>
            </w:pPr>
          </w:p>
        </w:tc>
        <w:tc>
          <w:tcPr>
            <w:tcW w:w="1700" w:type="dxa"/>
            <w:vAlign w:val="bottom"/>
            <w:tcBorders>
              <w:bottom w:val="single" w:sz="8" w:color="auto"/>
              <w:right w:val="single" w:sz="8" w:color="auto"/>
            </w:tcBorders>
          </w:tcPr>
          <w:p>
            <w:pPr>
              <w:spacing w:after="0"/>
              <w:rPr>
                <w:sz w:val="7"/>
                <w:szCs w:val="7"/>
                <w:color w:val="auto"/>
              </w:rPr>
            </w:pPr>
          </w:p>
        </w:tc>
        <w:tc>
          <w:tcPr>
            <w:tcW w:w="2880" w:type="dxa"/>
            <w:vAlign w:val="bottom"/>
            <w:tcBorders>
              <w:bottom w:val="single" w:sz="8" w:color="auto"/>
              <w:right w:val="single" w:sz="8" w:color="auto"/>
            </w:tcBorders>
          </w:tcPr>
          <w:p>
            <w:pPr>
              <w:spacing w:after="0"/>
              <w:rPr>
                <w:sz w:val="7"/>
                <w:szCs w:val="7"/>
                <w:color w:val="auto"/>
              </w:rPr>
            </w:pPr>
          </w:p>
        </w:tc>
      </w:tr>
    </w:tbl>
    <w:p>
      <w:pPr>
        <w:spacing w:after="0" w:line="197" w:lineRule="exact"/>
        <w:rPr>
          <w:sz w:val="20"/>
          <w:szCs w:val="20"/>
          <w:color w:val="auto"/>
        </w:rPr>
      </w:pPr>
    </w:p>
    <w:p>
      <w:pPr>
        <w:ind w:right="40" w:firstLine="8"/>
        <w:spacing w:after="0" w:line="253" w:lineRule="auto"/>
        <w:tabs>
          <w:tab w:leader="none" w:pos="204" w:val="left"/>
        </w:tabs>
        <w:numPr>
          <w:ilvl w:val="0"/>
          <w:numId w:val="192"/>
        </w:numPr>
        <w:rPr>
          <w:rFonts w:ascii="Arial" w:cs="Arial" w:eastAsia="Arial" w:hAnsi="Arial"/>
          <w:sz w:val="14"/>
          <w:szCs w:val="14"/>
          <w:color w:val="auto"/>
        </w:rPr>
      </w:pPr>
      <w:r>
        <w:rPr>
          <w:rFonts w:ascii="Arial" w:cs="Arial" w:eastAsia="Arial" w:hAnsi="Arial"/>
          <w:sz w:val="14"/>
          <w:szCs w:val="14"/>
          <w:color w:val="auto"/>
        </w:rPr>
        <w:t>DESIGNATES PORTIONS OF THIS DOCUMENT THAT HAVE BEEN OMITTED PURSUANT TO A REQUEST FOR CONFIDENTIAL TREATMENT FILED SEPARATELY WITH THE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40640</wp:posOffset>
            </wp:positionV>
            <wp:extent cx="7289165" cy="425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9" w:right="239" w:bottom="1440" w:gutter="0" w:footer="0" w:header="0"/>
        </w:sectPr>
      </w:pPr>
    </w:p>
    <w:bookmarkStart w:id="141" w:name="page142"/>
    <w:bookmarkEnd w:id="141"/>
    <w:tbl>
      <w:tblPr>
        <w:tblLayout w:type="fixed"/>
        <w:tblInd w:w="10" w:type="dxa"/>
        <w:tblCellMar>
          <w:top w:w="0" w:type="dxa"/>
          <w:left w:w="0" w:type="dxa"/>
          <w:bottom w:w="0" w:type="dxa"/>
          <w:right w:w="0" w:type="dxa"/>
        </w:tblCellMar>
      </w:tblPr>
      <w:tr>
        <w:trPr>
          <w:trHeight w:val="139"/>
        </w:trPr>
        <w:tc>
          <w:tcPr>
            <w:tcW w:w="960" w:type="dxa"/>
            <w:vAlign w:val="bottom"/>
            <w:tcBorders>
              <w:top w:val="single" w:sz="8" w:color="auto"/>
              <w:left w:val="single" w:sz="8" w:color="auto"/>
              <w:right w:val="single" w:sz="8" w:color="auto"/>
            </w:tcBorders>
          </w:tcPr>
          <w:p>
            <w:pPr>
              <w:ind w:left="20"/>
              <w:spacing w:after="0" w:line="139" w:lineRule="exact"/>
              <w:rPr>
                <w:sz w:val="20"/>
                <w:szCs w:val="20"/>
                <w:color w:val="auto"/>
              </w:rPr>
            </w:pPr>
            <w:r>
              <w:rPr>
                <w:rFonts w:ascii="Arial" w:cs="Arial" w:eastAsia="Arial" w:hAnsi="Arial"/>
                <w:sz w:val="14"/>
                <w:szCs w:val="14"/>
                <w:b w:val="1"/>
                <w:bCs w:val="1"/>
                <w:color w:val="auto"/>
              </w:rPr>
              <w:t>Brinks</w:t>
            </w:r>
          </w:p>
        </w:tc>
        <w:tc>
          <w:tcPr>
            <w:tcW w:w="1640" w:type="dxa"/>
            <w:vAlign w:val="bottom"/>
            <w:tcBorders>
              <w:top w:val="single" w:sz="8" w:color="auto"/>
              <w:right w:val="single" w:sz="8" w:color="auto"/>
            </w:tcBorders>
          </w:tcPr>
          <w:p>
            <w:pPr>
              <w:spacing w:after="0" w:line="139" w:lineRule="exact"/>
              <w:rPr>
                <w:sz w:val="20"/>
                <w:szCs w:val="20"/>
                <w:color w:val="auto"/>
              </w:rPr>
            </w:pPr>
            <w:r>
              <w:rPr>
                <w:rFonts w:ascii="Arial" w:cs="Arial" w:eastAsia="Arial" w:hAnsi="Arial"/>
                <w:sz w:val="14"/>
                <w:szCs w:val="14"/>
                <w:b w:val="1"/>
                <w:bCs w:val="1"/>
                <w:color w:val="auto"/>
              </w:rPr>
              <w:t>Category</w:t>
            </w:r>
          </w:p>
        </w:tc>
        <w:tc>
          <w:tcPr>
            <w:tcW w:w="1160" w:type="dxa"/>
            <w:vAlign w:val="bottom"/>
            <w:tcBorders>
              <w:top w:val="single" w:sz="8" w:color="auto"/>
              <w:right w:val="single" w:sz="8" w:color="auto"/>
            </w:tcBorders>
          </w:tcPr>
          <w:p>
            <w:pPr>
              <w:spacing w:after="0" w:line="139" w:lineRule="exact"/>
              <w:rPr>
                <w:sz w:val="20"/>
                <w:szCs w:val="20"/>
                <w:color w:val="auto"/>
              </w:rPr>
            </w:pPr>
            <w:r>
              <w:rPr>
                <w:rFonts w:ascii="Arial" w:cs="Arial" w:eastAsia="Arial" w:hAnsi="Arial"/>
                <w:sz w:val="14"/>
                <w:szCs w:val="14"/>
                <w:b w:val="1"/>
                <w:bCs w:val="1"/>
                <w:color w:val="auto"/>
              </w:rPr>
              <w:t>Action Date</w:t>
            </w:r>
          </w:p>
        </w:tc>
        <w:tc>
          <w:tcPr>
            <w:tcW w:w="1220" w:type="dxa"/>
            <w:vAlign w:val="bottom"/>
            <w:tcBorders>
              <w:top w:val="single" w:sz="8" w:color="auto"/>
              <w:right w:val="single" w:sz="8" w:color="auto"/>
            </w:tcBorders>
          </w:tcPr>
          <w:p>
            <w:pPr>
              <w:spacing w:after="0" w:line="139" w:lineRule="exact"/>
              <w:rPr>
                <w:sz w:val="20"/>
                <w:szCs w:val="20"/>
                <w:color w:val="auto"/>
              </w:rPr>
            </w:pPr>
            <w:r>
              <w:rPr>
                <w:rFonts w:ascii="Arial" w:cs="Arial" w:eastAsia="Arial" w:hAnsi="Arial"/>
                <w:sz w:val="14"/>
                <w:szCs w:val="14"/>
                <w:b w:val="1"/>
                <w:bCs w:val="1"/>
                <w:color w:val="auto"/>
              </w:rPr>
              <w:t>Country</w:t>
            </w:r>
          </w:p>
        </w:tc>
        <w:tc>
          <w:tcPr>
            <w:tcW w:w="700" w:type="dxa"/>
            <w:vAlign w:val="bottom"/>
            <w:tcBorders>
              <w:top w:val="single" w:sz="8" w:color="auto"/>
              <w:right w:val="single" w:sz="8" w:color="auto"/>
            </w:tcBorders>
          </w:tcPr>
          <w:p>
            <w:pPr>
              <w:spacing w:after="0" w:line="139" w:lineRule="exact"/>
              <w:rPr>
                <w:sz w:val="20"/>
                <w:szCs w:val="20"/>
                <w:color w:val="auto"/>
              </w:rPr>
            </w:pPr>
            <w:r>
              <w:rPr>
                <w:rFonts w:ascii="Arial" w:cs="Arial" w:eastAsia="Arial" w:hAnsi="Arial"/>
                <w:sz w:val="14"/>
                <w:szCs w:val="14"/>
                <w:b w:val="1"/>
                <w:bCs w:val="1"/>
                <w:color w:val="auto"/>
              </w:rPr>
              <w:t>App.</w:t>
            </w:r>
          </w:p>
        </w:tc>
        <w:tc>
          <w:tcPr>
            <w:tcW w:w="1660" w:type="dxa"/>
            <w:vAlign w:val="bottom"/>
            <w:tcBorders>
              <w:top w:val="single" w:sz="8" w:color="auto"/>
            </w:tcBorders>
          </w:tcPr>
          <w:p>
            <w:pPr>
              <w:spacing w:after="0" w:line="139" w:lineRule="exact"/>
              <w:rPr>
                <w:sz w:val="20"/>
                <w:szCs w:val="20"/>
                <w:color w:val="auto"/>
              </w:rPr>
            </w:pPr>
            <w:r>
              <w:rPr>
                <w:rFonts w:ascii="Arial" w:cs="Arial" w:eastAsia="Arial" w:hAnsi="Arial"/>
                <w:sz w:val="14"/>
                <w:szCs w:val="14"/>
                <w:b w:val="1"/>
                <w:bCs w:val="1"/>
                <w:color w:val="auto"/>
              </w:rPr>
              <w:t>Patent</w:t>
            </w:r>
          </w:p>
        </w:tc>
        <w:tc>
          <w:tcPr>
            <w:tcW w:w="1460" w:type="dxa"/>
            <w:vAlign w:val="bottom"/>
            <w:tcBorders>
              <w:top w:val="single" w:sz="8" w:color="auto"/>
              <w:right w:val="single" w:sz="8" w:color="auto"/>
            </w:tcBorders>
          </w:tcPr>
          <w:p>
            <w:pPr>
              <w:spacing w:after="0"/>
              <w:rPr>
                <w:sz w:val="12"/>
                <w:szCs w:val="12"/>
                <w:color w:val="auto"/>
              </w:rPr>
            </w:pPr>
          </w:p>
        </w:tc>
        <w:tc>
          <w:tcPr>
            <w:tcW w:w="1460" w:type="dxa"/>
            <w:vAlign w:val="bottom"/>
            <w:tcBorders>
              <w:top w:val="single" w:sz="8" w:color="auto"/>
              <w:right w:val="single" w:sz="8" w:color="auto"/>
            </w:tcBorders>
          </w:tcPr>
          <w:p>
            <w:pPr>
              <w:spacing w:after="0" w:line="139" w:lineRule="exact"/>
              <w:rPr>
                <w:sz w:val="20"/>
                <w:szCs w:val="20"/>
                <w:color w:val="auto"/>
              </w:rPr>
            </w:pPr>
            <w:r>
              <w:rPr>
                <w:rFonts w:ascii="Arial" w:cs="Arial" w:eastAsia="Arial" w:hAnsi="Arial"/>
                <w:sz w:val="14"/>
                <w:szCs w:val="14"/>
                <w:b w:val="1"/>
                <w:bCs w:val="1"/>
                <w:color w:val="auto"/>
              </w:rPr>
              <w:t>Comments</w:t>
            </w:r>
          </w:p>
        </w:tc>
      </w:tr>
      <w:tr>
        <w:trPr>
          <w:trHeight w:val="149"/>
        </w:trPr>
        <w:tc>
          <w:tcPr>
            <w:tcW w:w="960" w:type="dxa"/>
            <w:vAlign w:val="bottom"/>
            <w:tcBorders>
              <w:left w:val="single" w:sz="8" w:color="auto"/>
              <w:right w:val="single" w:sz="8" w:color="auto"/>
            </w:tcBorders>
          </w:tcPr>
          <w:p>
            <w:pPr>
              <w:ind w:left="20"/>
              <w:spacing w:after="0" w:line="149" w:lineRule="exact"/>
              <w:rPr>
                <w:sz w:val="20"/>
                <w:szCs w:val="20"/>
                <w:color w:val="auto"/>
              </w:rPr>
            </w:pPr>
            <w:r>
              <w:rPr>
                <w:rFonts w:ascii="Arial" w:cs="Arial" w:eastAsia="Arial" w:hAnsi="Arial"/>
                <w:sz w:val="14"/>
                <w:szCs w:val="14"/>
                <w:b w:val="1"/>
                <w:bCs w:val="1"/>
                <w:color w:val="auto"/>
              </w:rPr>
              <w:t>Gilson</w:t>
            </w:r>
          </w:p>
        </w:tc>
        <w:tc>
          <w:tcPr>
            <w:tcW w:w="1640" w:type="dxa"/>
            <w:vAlign w:val="bottom"/>
            <w:tcBorders>
              <w:right w:val="single" w:sz="8" w:color="auto"/>
            </w:tcBorders>
          </w:tcPr>
          <w:p>
            <w:pPr>
              <w:spacing w:after="0"/>
              <w:rPr>
                <w:sz w:val="12"/>
                <w:szCs w:val="12"/>
                <w:color w:val="auto"/>
              </w:rPr>
            </w:pPr>
          </w:p>
        </w:tc>
        <w:tc>
          <w:tcPr>
            <w:tcW w:w="1160" w:type="dxa"/>
            <w:vAlign w:val="bottom"/>
            <w:tcBorders>
              <w:right w:val="single" w:sz="8" w:color="auto"/>
            </w:tcBorders>
          </w:tcPr>
          <w:p>
            <w:pPr>
              <w:spacing w:after="0"/>
              <w:rPr>
                <w:sz w:val="12"/>
                <w:szCs w:val="12"/>
                <w:color w:val="auto"/>
              </w:rPr>
            </w:pPr>
          </w:p>
        </w:tc>
        <w:tc>
          <w:tcPr>
            <w:tcW w:w="1220" w:type="dxa"/>
            <w:vAlign w:val="bottom"/>
            <w:tcBorders>
              <w:right w:val="single" w:sz="8" w:color="auto"/>
            </w:tcBorders>
          </w:tcPr>
          <w:p>
            <w:pPr>
              <w:spacing w:after="0"/>
              <w:rPr>
                <w:sz w:val="12"/>
                <w:szCs w:val="12"/>
                <w:color w:val="auto"/>
              </w:rPr>
            </w:pPr>
          </w:p>
        </w:tc>
        <w:tc>
          <w:tcPr>
            <w:tcW w:w="700" w:type="dxa"/>
            <w:vAlign w:val="bottom"/>
            <w:tcBorders>
              <w:right w:val="single" w:sz="8" w:color="auto"/>
            </w:tcBorders>
          </w:tcPr>
          <w:p>
            <w:pPr>
              <w:spacing w:after="0" w:line="149" w:lineRule="exact"/>
              <w:rPr>
                <w:sz w:val="20"/>
                <w:szCs w:val="20"/>
                <w:color w:val="auto"/>
              </w:rPr>
            </w:pPr>
            <w:r>
              <w:rPr>
                <w:rFonts w:ascii="Arial" w:cs="Arial" w:eastAsia="Arial" w:hAnsi="Arial"/>
                <w:sz w:val="14"/>
                <w:szCs w:val="14"/>
                <w:b w:val="1"/>
                <w:bCs w:val="1"/>
                <w:color w:val="auto"/>
              </w:rPr>
              <w:t>No.</w:t>
            </w:r>
          </w:p>
        </w:tc>
        <w:tc>
          <w:tcPr>
            <w:tcW w:w="1660" w:type="dxa"/>
            <w:vAlign w:val="bottom"/>
          </w:tcPr>
          <w:p>
            <w:pPr>
              <w:spacing w:after="0" w:line="149" w:lineRule="exact"/>
              <w:rPr>
                <w:sz w:val="20"/>
                <w:szCs w:val="20"/>
                <w:color w:val="auto"/>
              </w:rPr>
            </w:pPr>
            <w:r>
              <w:rPr>
                <w:rFonts w:ascii="Arial" w:cs="Arial" w:eastAsia="Arial" w:hAnsi="Arial"/>
                <w:sz w:val="14"/>
                <w:szCs w:val="14"/>
                <w:b w:val="1"/>
                <w:bCs w:val="1"/>
                <w:color w:val="auto"/>
              </w:rPr>
              <w:t>No.</w:t>
            </w:r>
          </w:p>
        </w:tc>
        <w:tc>
          <w:tcPr>
            <w:tcW w:w="1460" w:type="dxa"/>
            <w:vAlign w:val="bottom"/>
            <w:tcBorders>
              <w:right w:val="single" w:sz="8" w:color="auto"/>
            </w:tcBorders>
          </w:tcPr>
          <w:p>
            <w:pPr>
              <w:spacing w:after="0"/>
              <w:rPr>
                <w:sz w:val="12"/>
                <w:szCs w:val="12"/>
                <w:color w:val="auto"/>
              </w:rPr>
            </w:pPr>
          </w:p>
        </w:tc>
        <w:tc>
          <w:tcPr>
            <w:tcW w:w="1460" w:type="dxa"/>
            <w:vAlign w:val="bottom"/>
            <w:tcBorders>
              <w:right w:val="single" w:sz="8" w:color="auto"/>
            </w:tcBorders>
          </w:tcPr>
          <w:p>
            <w:pPr>
              <w:spacing w:after="0"/>
              <w:rPr>
                <w:sz w:val="12"/>
                <w:szCs w:val="12"/>
                <w:color w:val="auto"/>
              </w:rPr>
            </w:pPr>
          </w:p>
        </w:tc>
      </w:tr>
      <w:tr>
        <w:trPr>
          <w:trHeight w:val="149"/>
        </w:trPr>
        <w:tc>
          <w:tcPr>
            <w:tcW w:w="960" w:type="dxa"/>
            <w:vAlign w:val="bottom"/>
            <w:tcBorders>
              <w:left w:val="single" w:sz="8" w:color="auto"/>
              <w:right w:val="single" w:sz="8" w:color="auto"/>
            </w:tcBorders>
          </w:tcPr>
          <w:p>
            <w:pPr>
              <w:ind w:left="20"/>
              <w:spacing w:after="0" w:line="149" w:lineRule="exact"/>
              <w:rPr>
                <w:sz w:val="20"/>
                <w:szCs w:val="20"/>
                <w:color w:val="auto"/>
              </w:rPr>
            </w:pPr>
            <w:r>
              <w:rPr>
                <w:rFonts w:ascii="Arial" w:cs="Arial" w:eastAsia="Arial" w:hAnsi="Arial"/>
                <w:sz w:val="14"/>
                <w:szCs w:val="14"/>
                <w:b w:val="1"/>
                <w:bCs w:val="1"/>
                <w:color w:val="auto"/>
              </w:rPr>
              <w:t>Leoni</w:t>
            </w:r>
          </w:p>
        </w:tc>
        <w:tc>
          <w:tcPr>
            <w:tcW w:w="1640" w:type="dxa"/>
            <w:vAlign w:val="bottom"/>
            <w:tcBorders>
              <w:right w:val="single" w:sz="8" w:color="auto"/>
            </w:tcBorders>
          </w:tcPr>
          <w:p>
            <w:pPr>
              <w:spacing w:after="0"/>
              <w:rPr>
                <w:sz w:val="12"/>
                <w:szCs w:val="12"/>
                <w:color w:val="auto"/>
              </w:rPr>
            </w:pPr>
          </w:p>
        </w:tc>
        <w:tc>
          <w:tcPr>
            <w:tcW w:w="1160" w:type="dxa"/>
            <w:vAlign w:val="bottom"/>
            <w:tcBorders>
              <w:right w:val="single" w:sz="8" w:color="auto"/>
            </w:tcBorders>
          </w:tcPr>
          <w:p>
            <w:pPr>
              <w:spacing w:after="0"/>
              <w:rPr>
                <w:sz w:val="12"/>
                <w:szCs w:val="12"/>
                <w:color w:val="auto"/>
              </w:rPr>
            </w:pPr>
          </w:p>
        </w:tc>
        <w:tc>
          <w:tcPr>
            <w:tcW w:w="1220" w:type="dxa"/>
            <w:vAlign w:val="bottom"/>
            <w:tcBorders>
              <w:right w:val="single" w:sz="8" w:color="auto"/>
            </w:tcBorders>
          </w:tcPr>
          <w:p>
            <w:pPr>
              <w:spacing w:after="0"/>
              <w:rPr>
                <w:sz w:val="12"/>
                <w:szCs w:val="12"/>
                <w:color w:val="auto"/>
              </w:rPr>
            </w:pPr>
          </w:p>
        </w:tc>
        <w:tc>
          <w:tcPr>
            <w:tcW w:w="700" w:type="dxa"/>
            <w:vAlign w:val="bottom"/>
            <w:tcBorders>
              <w:right w:val="single" w:sz="8" w:color="auto"/>
            </w:tcBorders>
          </w:tcPr>
          <w:p>
            <w:pPr>
              <w:spacing w:after="0"/>
              <w:rPr>
                <w:sz w:val="12"/>
                <w:szCs w:val="12"/>
                <w:color w:val="auto"/>
              </w:rPr>
            </w:pPr>
          </w:p>
        </w:tc>
        <w:tc>
          <w:tcPr>
            <w:tcW w:w="1660" w:type="dxa"/>
            <w:vAlign w:val="bottom"/>
          </w:tcPr>
          <w:p>
            <w:pPr>
              <w:spacing w:after="0"/>
              <w:rPr>
                <w:sz w:val="12"/>
                <w:szCs w:val="12"/>
                <w:color w:val="auto"/>
              </w:rPr>
            </w:pPr>
          </w:p>
        </w:tc>
        <w:tc>
          <w:tcPr>
            <w:tcW w:w="1460" w:type="dxa"/>
            <w:vAlign w:val="bottom"/>
            <w:tcBorders>
              <w:right w:val="single" w:sz="8" w:color="auto"/>
            </w:tcBorders>
          </w:tcPr>
          <w:p>
            <w:pPr>
              <w:spacing w:after="0"/>
              <w:rPr>
                <w:sz w:val="12"/>
                <w:szCs w:val="12"/>
                <w:color w:val="auto"/>
              </w:rPr>
            </w:pPr>
          </w:p>
        </w:tc>
        <w:tc>
          <w:tcPr>
            <w:tcW w:w="1460" w:type="dxa"/>
            <w:vAlign w:val="bottom"/>
            <w:tcBorders>
              <w:right w:val="single" w:sz="8" w:color="auto"/>
            </w:tcBorders>
          </w:tcPr>
          <w:p>
            <w:pPr>
              <w:spacing w:after="0"/>
              <w:rPr>
                <w:sz w:val="12"/>
                <w:szCs w:val="12"/>
                <w:color w:val="auto"/>
              </w:rPr>
            </w:pPr>
          </w:p>
        </w:tc>
      </w:tr>
      <w:tr>
        <w:trPr>
          <w:trHeight w:val="186"/>
        </w:trPr>
        <w:tc>
          <w:tcPr>
            <w:tcW w:w="9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4"/>
                <w:szCs w:val="14"/>
                <w:b w:val="1"/>
                <w:bCs w:val="1"/>
                <w:color w:val="auto"/>
              </w:rPr>
              <w:t>Docket</w:t>
            </w:r>
          </w:p>
        </w:tc>
        <w:tc>
          <w:tcPr>
            <w:tcW w:w="1640" w:type="dxa"/>
            <w:vAlign w:val="bottom"/>
            <w:tcBorders>
              <w:right w:val="single" w:sz="8" w:color="auto"/>
            </w:tcBorders>
          </w:tcPr>
          <w:p>
            <w:pPr>
              <w:spacing w:after="0"/>
              <w:rPr>
                <w:sz w:val="16"/>
                <w:szCs w:val="16"/>
                <w:color w:val="auto"/>
              </w:rPr>
            </w:pPr>
          </w:p>
        </w:tc>
        <w:tc>
          <w:tcPr>
            <w:tcW w:w="1160" w:type="dxa"/>
            <w:vAlign w:val="bottom"/>
            <w:tcBorders>
              <w:right w:val="single" w:sz="8" w:color="auto"/>
            </w:tcBorders>
          </w:tcPr>
          <w:p>
            <w:pPr>
              <w:spacing w:after="0"/>
              <w:rPr>
                <w:sz w:val="16"/>
                <w:szCs w:val="16"/>
                <w:color w:val="auto"/>
              </w:rPr>
            </w:pPr>
          </w:p>
        </w:tc>
        <w:tc>
          <w:tcPr>
            <w:tcW w:w="1220" w:type="dxa"/>
            <w:vAlign w:val="bottom"/>
            <w:tcBorders>
              <w:right w:val="single" w:sz="8" w:color="auto"/>
            </w:tcBorders>
          </w:tcPr>
          <w:p>
            <w:pPr>
              <w:spacing w:after="0"/>
              <w:rPr>
                <w:sz w:val="16"/>
                <w:szCs w:val="16"/>
                <w:color w:val="auto"/>
              </w:rPr>
            </w:pPr>
          </w:p>
        </w:tc>
        <w:tc>
          <w:tcPr>
            <w:tcW w:w="700" w:type="dxa"/>
            <w:vAlign w:val="bottom"/>
            <w:tcBorders>
              <w:right w:val="single" w:sz="8" w:color="auto"/>
            </w:tcBorders>
          </w:tcPr>
          <w:p>
            <w:pPr>
              <w:spacing w:after="0"/>
              <w:rPr>
                <w:sz w:val="16"/>
                <w:szCs w:val="16"/>
                <w:color w:val="auto"/>
              </w:rPr>
            </w:pPr>
          </w:p>
        </w:tc>
        <w:tc>
          <w:tcPr>
            <w:tcW w:w="1660" w:type="dxa"/>
            <w:vAlign w:val="bottom"/>
          </w:tcPr>
          <w:p>
            <w:pPr>
              <w:spacing w:after="0"/>
              <w:rPr>
                <w:sz w:val="16"/>
                <w:szCs w:val="16"/>
                <w:color w:val="auto"/>
              </w:rPr>
            </w:pPr>
          </w:p>
        </w:tc>
        <w:tc>
          <w:tcPr>
            <w:tcW w:w="1460" w:type="dxa"/>
            <w:vAlign w:val="bottom"/>
            <w:tcBorders>
              <w:right w:val="single" w:sz="8" w:color="auto"/>
            </w:tcBorders>
          </w:tcPr>
          <w:p>
            <w:pPr>
              <w:spacing w:after="0"/>
              <w:rPr>
                <w:sz w:val="16"/>
                <w:szCs w:val="16"/>
                <w:color w:val="auto"/>
              </w:rPr>
            </w:pPr>
          </w:p>
        </w:tc>
        <w:tc>
          <w:tcPr>
            <w:tcW w:w="1460" w:type="dxa"/>
            <w:vAlign w:val="bottom"/>
            <w:tcBorders>
              <w:right w:val="single" w:sz="8" w:color="auto"/>
            </w:tcBorders>
          </w:tcPr>
          <w:p>
            <w:pPr>
              <w:spacing w:after="0"/>
              <w:rPr>
                <w:sz w:val="16"/>
                <w:szCs w:val="16"/>
                <w:color w:val="auto"/>
              </w:rPr>
            </w:pPr>
          </w:p>
        </w:tc>
      </w:tr>
      <w:tr>
        <w:trPr>
          <w:trHeight w:val="93"/>
        </w:trPr>
        <w:tc>
          <w:tcPr>
            <w:tcW w:w="960" w:type="dxa"/>
            <w:vAlign w:val="bottom"/>
            <w:tcBorders>
              <w:left w:val="single" w:sz="8" w:color="auto"/>
              <w:bottom w:val="single" w:sz="8" w:color="auto"/>
              <w:right w:val="single" w:sz="8" w:color="auto"/>
            </w:tcBorders>
          </w:tcPr>
          <w:p>
            <w:pPr>
              <w:spacing w:after="0"/>
              <w:rPr>
                <w:sz w:val="8"/>
                <w:szCs w:val="8"/>
                <w:color w:val="auto"/>
              </w:rPr>
            </w:pPr>
          </w:p>
        </w:tc>
        <w:tc>
          <w:tcPr>
            <w:tcW w:w="1640" w:type="dxa"/>
            <w:vAlign w:val="bottom"/>
            <w:tcBorders>
              <w:bottom w:val="single" w:sz="8" w:color="auto"/>
              <w:right w:val="single" w:sz="8" w:color="auto"/>
            </w:tcBorders>
          </w:tcPr>
          <w:p>
            <w:pPr>
              <w:spacing w:after="0"/>
              <w:rPr>
                <w:sz w:val="8"/>
                <w:szCs w:val="8"/>
                <w:color w:val="auto"/>
              </w:rPr>
            </w:pPr>
          </w:p>
        </w:tc>
        <w:tc>
          <w:tcPr>
            <w:tcW w:w="1160" w:type="dxa"/>
            <w:vAlign w:val="bottom"/>
            <w:tcBorders>
              <w:bottom w:val="single" w:sz="8" w:color="auto"/>
              <w:right w:val="single" w:sz="8" w:color="auto"/>
            </w:tcBorders>
          </w:tcPr>
          <w:p>
            <w:pPr>
              <w:spacing w:after="0"/>
              <w:rPr>
                <w:sz w:val="8"/>
                <w:szCs w:val="8"/>
                <w:color w:val="auto"/>
              </w:rPr>
            </w:pPr>
          </w:p>
        </w:tc>
        <w:tc>
          <w:tcPr>
            <w:tcW w:w="1220" w:type="dxa"/>
            <w:vAlign w:val="bottom"/>
            <w:tcBorders>
              <w:bottom w:val="single" w:sz="8" w:color="auto"/>
              <w:right w:val="single" w:sz="8" w:color="auto"/>
            </w:tcBorders>
          </w:tcPr>
          <w:p>
            <w:pPr>
              <w:spacing w:after="0"/>
              <w:rPr>
                <w:sz w:val="8"/>
                <w:szCs w:val="8"/>
                <w:color w:val="auto"/>
              </w:rPr>
            </w:pPr>
          </w:p>
        </w:tc>
        <w:tc>
          <w:tcPr>
            <w:tcW w:w="700" w:type="dxa"/>
            <w:vAlign w:val="bottom"/>
            <w:tcBorders>
              <w:bottom w:val="single" w:sz="8" w:color="auto"/>
              <w:right w:val="single" w:sz="8" w:color="auto"/>
            </w:tcBorders>
          </w:tcPr>
          <w:p>
            <w:pPr>
              <w:spacing w:after="0"/>
              <w:rPr>
                <w:sz w:val="8"/>
                <w:szCs w:val="8"/>
                <w:color w:val="auto"/>
              </w:rPr>
            </w:pPr>
          </w:p>
        </w:tc>
        <w:tc>
          <w:tcPr>
            <w:tcW w:w="1660" w:type="dxa"/>
            <w:vAlign w:val="bottom"/>
            <w:tcBorders>
              <w:bottom w:val="single" w:sz="8" w:color="auto"/>
            </w:tcBorders>
          </w:tcPr>
          <w:p>
            <w:pPr>
              <w:spacing w:after="0"/>
              <w:rPr>
                <w:sz w:val="8"/>
                <w:szCs w:val="8"/>
                <w:color w:val="auto"/>
              </w:rPr>
            </w:pPr>
          </w:p>
        </w:tc>
        <w:tc>
          <w:tcPr>
            <w:tcW w:w="1460" w:type="dxa"/>
            <w:vAlign w:val="bottom"/>
            <w:tcBorders>
              <w:bottom w:val="single" w:sz="8" w:color="auto"/>
              <w:right w:val="single" w:sz="8" w:color="auto"/>
            </w:tcBorders>
          </w:tcPr>
          <w:p>
            <w:pPr>
              <w:spacing w:after="0"/>
              <w:rPr>
                <w:sz w:val="8"/>
                <w:szCs w:val="8"/>
                <w:color w:val="auto"/>
              </w:rPr>
            </w:pPr>
          </w:p>
        </w:tc>
        <w:tc>
          <w:tcPr>
            <w:tcW w:w="1460" w:type="dxa"/>
            <w:vAlign w:val="bottom"/>
            <w:tcBorders>
              <w:bottom w:val="single" w:sz="8" w:color="auto"/>
              <w:right w:val="single" w:sz="8" w:color="auto"/>
            </w:tcBorders>
          </w:tcPr>
          <w:p>
            <w:pPr>
              <w:spacing w:after="0"/>
              <w:rPr>
                <w:sz w:val="8"/>
                <w:szCs w:val="8"/>
                <w:color w:val="auto"/>
              </w:rPr>
            </w:pPr>
          </w:p>
        </w:tc>
      </w:tr>
      <w:tr>
        <w:trPr>
          <w:trHeight w:val="244"/>
        </w:trPr>
        <w:tc>
          <w:tcPr>
            <w:tcW w:w="9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w:t>
            </w:r>
          </w:p>
        </w:tc>
        <w:tc>
          <w:tcPr>
            <w:tcW w:w="164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w:t>
            </w:r>
          </w:p>
        </w:tc>
        <w:tc>
          <w:tcPr>
            <w:tcW w:w="116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w:t>
            </w:r>
          </w:p>
        </w:tc>
        <w:tc>
          <w:tcPr>
            <w:tcW w:w="122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w:t>
            </w:r>
          </w:p>
        </w:tc>
        <w:tc>
          <w:tcPr>
            <w:tcW w:w="70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w:t>
            </w:r>
          </w:p>
        </w:tc>
        <w:tc>
          <w:tcPr>
            <w:tcW w:w="1660" w:type="dxa"/>
            <w:vAlign w:val="bottom"/>
          </w:tcPr>
          <w:p>
            <w:pPr>
              <w:spacing w:after="0"/>
              <w:rPr>
                <w:sz w:val="20"/>
                <w:szCs w:val="20"/>
                <w:color w:val="auto"/>
              </w:rPr>
            </w:pPr>
            <w:r>
              <w:rPr>
                <w:rFonts w:ascii="Arial" w:cs="Arial" w:eastAsia="Arial" w:hAnsi="Arial"/>
                <w:sz w:val="20"/>
                <w:szCs w:val="20"/>
                <w:color w:val="auto"/>
              </w:rPr>
              <w:t>[†]</w:t>
            </w:r>
          </w:p>
        </w:tc>
        <w:tc>
          <w:tcPr>
            <w:tcW w:w="1460" w:type="dxa"/>
            <w:vAlign w:val="bottom"/>
            <w:tcBorders>
              <w:right w:val="single" w:sz="8" w:color="auto"/>
            </w:tcBorders>
          </w:tcPr>
          <w:p>
            <w:pPr>
              <w:spacing w:after="0"/>
              <w:rPr>
                <w:sz w:val="21"/>
                <w:szCs w:val="21"/>
                <w:color w:val="auto"/>
              </w:rPr>
            </w:pPr>
          </w:p>
        </w:tc>
        <w:tc>
          <w:tcPr>
            <w:tcW w:w="146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w:t>
            </w:r>
          </w:p>
        </w:tc>
      </w:tr>
      <w:tr>
        <w:trPr>
          <w:trHeight w:val="87"/>
        </w:trPr>
        <w:tc>
          <w:tcPr>
            <w:tcW w:w="960" w:type="dxa"/>
            <w:vAlign w:val="bottom"/>
            <w:tcBorders>
              <w:left w:val="single" w:sz="8" w:color="auto"/>
              <w:bottom w:val="single" w:sz="8" w:color="auto"/>
              <w:right w:val="single" w:sz="8" w:color="auto"/>
            </w:tcBorders>
          </w:tcPr>
          <w:p>
            <w:pPr>
              <w:spacing w:after="0"/>
              <w:rPr>
                <w:sz w:val="7"/>
                <w:szCs w:val="7"/>
                <w:color w:val="auto"/>
              </w:rPr>
            </w:pPr>
          </w:p>
        </w:tc>
        <w:tc>
          <w:tcPr>
            <w:tcW w:w="1640" w:type="dxa"/>
            <w:vAlign w:val="bottom"/>
            <w:tcBorders>
              <w:bottom w:val="single" w:sz="8" w:color="auto"/>
              <w:right w:val="single" w:sz="8" w:color="auto"/>
            </w:tcBorders>
          </w:tcPr>
          <w:p>
            <w:pPr>
              <w:spacing w:after="0"/>
              <w:rPr>
                <w:sz w:val="7"/>
                <w:szCs w:val="7"/>
                <w:color w:val="auto"/>
              </w:rPr>
            </w:pPr>
          </w:p>
        </w:tc>
        <w:tc>
          <w:tcPr>
            <w:tcW w:w="1160" w:type="dxa"/>
            <w:vAlign w:val="bottom"/>
            <w:tcBorders>
              <w:bottom w:val="single" w:sz="8" w:color="auto"/>
              <w:right w:val="single" w:sz="8" w:color="auto"/>
            </w:tcBorders>
          </w:tcPr>
          <w:p>
            <w:pPr>
              <w:spacing w:after="0"/>
              <w:rPr>
                <w:sz w:val="7"/>
                <w:szCs w:val="7"/>
                <w:color w:val="auto"/>
              </w:rPr>
            </w:pPr>
          </w:p>
        </w:tc>
        <w:tc>
          <w:tcPr>
            <w:tcW w:w="1220" w:type="dxa"/>
            <w:vAlign w:val="bottom"/>
            <w:tcBorders>
              <w:bottom w:val="single" w:sz="8" w:color="auto"/>
              <w:right w:val="single" w:sz="8" w:color="auto"/>
            </w:tcBorders>
          </w:tcPr>
          <w:p>
            <w:pPr>
              <w:spacing w:after="0"/>
              <w:rPr>
                <w:sz w:val="7"/>
                <w:szCs w:val="7"/>
                <w:color w:val="auto"/>
              </w:rPr>
            </w:pPr>
          </w:p>
        </w:tc>
        <w:tc>
          <w:tcPr>
            <w:tcW w:w="700" w:type="dxa"/>
            <w:vAlign w:val="bottom"/>
            <w:tcBorders>
              <w:bottom w:val="single" w:sz="8" w:color="auto"/>
              <w:right w:val="single" w:sz="8" w:color="auto"/>
            </w:tcBorders>
          </w:tcPr>
          <w:p>
            <w:pPr>
              <w:spacing w:after="0"/>
              <w:rPr>
                <w:sz w:val="7"/>
                <w:szCs w:val="7"/>
                <w:color w:val="auto"/>
              </w:rPr>
            </w:pPr>
          </w:p>
        </w:tc>
        <w:tc>
          <w:tcPr>
            <w:tcW w:w="1660" w:type="dxa"/>
            <w:vAlign w:val="bottom"/>
            <w:tcBorders>
              <w:bottom w:val="single" w:sz="8" w:color="auto"/>
            </w:tcBorders>
          </w:tcPr>
          <w:p>
            <w:pPr>
              <w:spacing w:after="0"/>
              <w:rPr>
                <w:sz w:val="7"/>
                <w:szCs w:val="7"/>
                <w:color w:val="auto"/>
              </w:rPr>
            </w:pPr>
          </w:p>
        </w:tc>
        <w:tc>
          <w:tcPr>
            <w:tcW w:w="1460" w:type="dxa"/>
            <w:vAlign w:val="bottom"/>
            <w:tcBorders>
              <w:bottom w:val="single" w:sz="8" w:color="auto"/>
              <w:right w:val="single" w:sz="8" w:color="auto"/>
            </w:tcBorders>
          </w:tcPr>
          <w:p>
            <w:pPr>
              <w:spacing w:after="0"/>
              <w:rPr>
                <w:sz w:val="7"/>
                <w:szCs w:val="7"/>
                <w:color w:val="auto"/>
              </w:rPr>
            </w:pPr>
          </w:p>
        </w:tc>
        <w:tc>
          <w:tcPr>
            <w:tcW w:w="1460" w:type="dxa"/>
            <w:vAlign w:val="bottom"/>
            <w:tcBorders>
              <w:bottom w:val="single" w:sz="8" w:color="auto"/>
              <w:right w:val="single" w:sz="8" w:color="auto"/>
            </w:tcBorders>
          </w:tcPr>
          <w:p>
            <w:pPr>
              <w:spacing w:after="0"/>
              <w:rPr>
                <w:sz w:val="7"/>
                <w:szCs w:val="7"/>
                <w:color w:val="auto"/>
              </w:rPr>
            </w:pPr>
          </w:p>
        </w:tc>
      </w:tr>
      <w:tr>
        <w:trPr>
          <w:trHeight w:val="244"/>
        </w:trPr>
        <w:tc>
          <w:tcPr>
            <w:tcW w:w="9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w:t>
            </w:r>
          </w:p>
        </w:tc>
        <w:tc>
          <w:tcPr>
            <w:tcW w:w="164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w:t>
            </w:r>
          </w:p>
        </w:tc>
        <w:tc>
          <w:tcPr>
            <w:tcW w:w="116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w:t>
            </w:r>
          </w:p>
        </w:tc>
        <w:tc>
          <w:tcPr>
            <w:tcW w:w="122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w:t>
            </w:r>
          </w:p>
        </w:tc>
        <w:tc>
          <w:tcPr>
            <w:tcW w:w="70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w:t>
            </w:r>
          </w:p>
        </w:tc>
        <w:tc>
          <w:tcPr>
            <w:tcW w:w="1660" w:type="dxa"/>
            <w:vAlign w:val="bottom"/>
          </w:tcPr>
          <w:p>
            <w:pPr>
              <w:spacing w:after="0"/>
              <w:rPr>
                <w:sz w:val="20"/>
                <w:szCs w:val="20"/>
                <w:color w:val="auto"/>
              </w:rPr>
            </w:pPr>
            <w:r>
              <w:rPr>
                <w:rFonts w:ascii="Arial" w:cs="Arial" w:eastAsia="Arial" w:hAnsi="Arial"/>
                <w:sz w:val="20"/>
                <w:szCs w:val="20"/>
                <w:color w:val="auto"/>
              </w:rPr>
              <w:t>[†]</w:t>
            </w:r>
          </w:p>
        </w:tc>
        <w:tc>
          <w:tcPr>
            <w:tcW w:w="1460" w:type="dxa"/>
            <w:vAlign w:val="bottom"/>
            <w:tcBorders>
              <w:right w:val="single" w:sz="8" w:color="auto"/>
            </w:tcBorders>
          </w:tcPr>
          <w:p>
            <w:pPr>
              <w:spacing w:after="0"/>
              <w:rPr>
                <w:sz w:val="21"/>
                <w:szCs w:val="21"/>
                <w:color w:val="auto"/>
              </w:rPr>
            </w:pPr>
          </w:p>
        </w:tc>
        <w:tc>
          <w:tcPr>
            <w:tcW w:w="146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w:t>
            </w:r>
          </w:p>
        </w:tc>
      </w:tr>
      <w:tr>
        <w:trPr>
          <w:trHeight w:val="87"/>
        </w:trPr>
        <w:tc>
          <w:tcPr>
            <w:tcW w:w="960" w:type="dxa"/>
            <w:vAlign w:val="bottom"/>
            <w:tcBorders>
              <w:left w:val="single" w:sz="8" w:color="auto"/>
              <w:bottom w:val="single" w:sz="8" w:color="auto"/>
              <w:right w:val="single" w:sz="8" w:color="auto"/>
            </w:tcBorders>
          </w:tcPr>
          <w:p>
            <w:pPr>
              <w:spacing w:after="0"/>
              <w:rPr>
                <w:sz w:val="7"/>
                <w:szCs w:val="7"/>
                <w:color w:val="auto"/>
              </w:rPr>
            </w:pPr>
          </w:p>
        </w:tc>
        <w:tc>
          <w:tcPr>
            <w:tcW w:w="1640" w:type="dxa"/>
            <w:vAlign w:val="bottom"/>
            <w:tcBorders>
              <w:bottom w:val="single" w:sz="8" w:color="auto"/>
              <w:right w:val="single" w:sz="8" w:color="auto"/>
            </w:tcBorders>
          </w:tcPr>
          <w:p>
            <w:pPr>
              <w:spacing w:after="0"/>
              <w:rPr>
                <w:sz w:val="7"/>
                <w:szCs w:val="7"/>
                <w:color w:val="auto"/>
              </w:rPr>
            </w:pPr>
          </w:p>
        </w:tc>
        <w:tc>
          <w:tcPr>
            <w:tcW w:w="1160" w:type="dxa"/>
            <w:vAlign w:val="bottom"/>
            <w:tcBorders>
              <w:bottom w:val="single" w:sz="8" w:color="auto"/>
              <w:right w:val="single" w:sz="8" w:color="auto"/>
            </w:tcBorders>
          </w:tcPr>
          <w:p>
            <w:pPr>
              <w:spacing w:after="0"/>
              <w:rPr>
                <w:sz w:val="7"/>
                <w:szCs w:val="7"/>
                <w:color w:val="auto"/>
              </w:rPr>
            </w:pPr>
          </w:p>
        </w:tc>
        <w:tc>
          <w:tcPr>
            <w:tcW w:w="1220" w:type="dxa"/>
            <w:vAlign w:val="bottom"/>
            <w:tcBorders>
              <w:bottom w:val="single" w:sz="8" w:color="auto"/>
              <w:right w:val="single" w:sz="8" w:color="auto"/>
            </w:tcBorders>
          </w:tcPr>
          <w:p>
            <w:pPr>
              <w:spacing w:after="0"/>
              <w:rPr>
                <w:sz w:val="7"/>
                <w:szCs w:val="7"/>
                <w:color w:val="auto"/>
              </w:rPr>
            </w:pPr>
          </w:p>
        </w:tc>
        <w:tc>
          <w:tcPr>
            <w:tcW w:w="700" w:type="dxa"/>
            <w:vAlign w:val="bottom"/>
            <w:tcBorders>
              <w:bottom w:val="single" w:sz="8" w:color="auto"/>
              <w:right w:val="single" w:sz="8" w:color="auto"/>
            </w:tcBorders>
          </w:tcPr>
          <w:p>
            <w:pPr>
              <w:spacing w:after="0"/>
              <w:rPr>
                <w:sz w:val="7"/>
                <w:szCs w:val="7"/>
                <w:color w:val="auto"/>
              </w:rPr>
            </w:pPr>
          </w:p>
        </w:tc>
        <w:tc>
          <w:tcPr>
            <w:tcW w:w="1660" w:type="dxa"/>
            <w:vAlign w:val="bottom"/>
            <w:tcBorders>
              <w:bottom w:val="single" w:sz="8" w:color="auto"/>
            </w:tcBorders>
          </w:tcPr>
          <w:p>
            <w:pPr>
              <w:spacing w:after="0"/>
              <w:rPr>
                <w:sz w:val="7"/>
                <w:szCs w:val="7"/>
                <w:color w:val="auto"/>
              </w:rPr>
            </w:pPr>
          </w:p>
        </w:tc>
        <w:tc>
          <w:tcPr>
            <w:tcW w:w="1460" w:type="dxa"/>
            <w:vAlign w:val="bottom"/>
            <w:tcBorders>
              <w:bottom w:val="single" w:sz="8" w:color="auto"/>
              <w:right w:val="single" w:sz="8" w:color="auto"/>
            </w:tcBorders>
          </w:tcPr>
          <w:p>
            <w:pPr>
              <w:spacing w:after="0"/>
              <w:rPr>
                <w:sz w:val="7"/>
                <w:szCs w:val="7"/>
                <w:color w:val="auto"/>
              </w:rPr>
            </w:pPr>
          </w:p>
        </w:tc>
        <w:tc>
          <w:tcPr>
            <w:tcW w:w="1460" w:type="dxa"/>
            <w:vAlign w:val="bottom"/>
            <w:tcBorders>
              <w:bottom w:val="single" w:sz="8" w:color="auto"/>
              <w:right w:val="single" w:sz="8" w:color="auto"/>
            </w:tcBorders>
          </w:tcPr>
          <w:p>
            <w:pPr>
              <w:spacing w:after="0"/>
              <w:rPr>
                <w:sz w:val="7"/>
                <w:szCs w:val="7"/>
                <w:color w:val="auto"/>
              </w:rPr>
            </w:pPr>
          </w:p>
        </w:tc>
      </w:tr>
      <w:tr>
        <w:trPr>
          <w:trHeight w:val="244"/>
        </w:trPr>
        <w:tc>
          <w:tcPr>
            <w:tcW w:w="9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w:t>
            </w:r>
          </w:p>
        </w:tc>
        <w:tc>
          <w:tcPr>
            <w:tcW w:w="164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w:t>
            </w:r>
          </w:p>
        </w:tc>
        <w:tc>
          <w:tcPr>
            <w:tcW w:w="116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w:t>
            </w:r>
          </w:p>
        </w:tc>
        <w:tc>
          <w:tcPr>
            <w:tcW w:w="122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w:t>
            </w:r>
          </w:p>
        </w:tc>
        <w:tc>
          <w:tcPr>
            <w:tcW w:w="70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w:t>
            </w:r>
          </w:p>
        </w:tc>
        <w:tc>
          <w:tcPr>
            <w:tcW w:w="1660" w:type="dxa"/>
            <w:vAlign w:val="bottom"/>
          </w:tcPr>
          <w:p>
            <w:pPr>
              <w:spacing w:after="0"/>
              <w:rPr>
                <w:sz w:val="20"/>
                <w:szCs w:val="20"/>
                <w:color w:val="auto"/>
              </w:rPr>
            </w:pPr>
            <w:r>
              <w:rPr>
                <w:rFonts w:ascii="Arial" w:cs="Arial" w:eastAsia="Arial" w:hAnsi="Arial"/>
                <w:sz w:val="20"/>
                <w:szCs w:val="20"/>
                <w:color w:val="auto"/>
              </w:rPr>
              <w:t>[†]</w:t>
            </w:r>
          </w:p>
        </w:tc>
        <w:tc>
          <w:tcPr>
            <w:tcW w:w="1460" w:type="dxa"/>
            <w:vAlign w:val="bottom"/>
            <w:tcBorders>
              <w:right w:val="single" w:sz="8" w:color="auto"/>
            </w:tcBorders>
          </w:tcPr>
          <w:p>
            <w:pPr>
              <w:spacing w:after="0"/>
              <w:rPr>
                <w:sz w:val="21"/>
                <w:szCs w:val="21"/>
                <w:color w:val="auto"/>
              </w:rPr>
            </w:pPr>
          </w:p>
        </w:tc>
        <w:tc>
          <w:tcPr>
            <w:tcW w:w="146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w:t>
            </w:r>
          </w:p>
        </w:tc>
      </w:tr>
      <w:tr>
        <w:trPr>
          <w:trHeight w:val="87"/>
        </w:trPr>
        <w:tc>
          <w:tcPr>
            <w:tcW w:w="960" w:type="dxa"/>
            <w:vAlign w:val="bottom"/>
            <w:tcBorders>
              <w:left w:val="single" w:sz="8" w:color="auto"/>
              <w:bottom w:val="single" w:sz="8" w:color="auto"/>
              <w:right w:val="single" w:sz="8" w:color="auto"/>
            </w:tcBorders>
          </w:tcPr>
          <w:p>
            <w:pPr>
              <w:spacing w:after="0"/>
              <w:rPr>
                <w:sz w:val="7"/>
                <w:szCs w:val="7"/>
                <w:color w:val="auto"/>
              </w:rPr>
            </w:pPr>
          </w:p>
        </w:tc>
        <w:tc>
          <w:tcPr>
            <w:tcW w:w="1640" w:type="dxa"/>
            <w:vAlign w:val="bottom"/>
            <w:tcBorders>
              <w:bottom w:val="single" w:sz="8" w:color="auto"/>
              <w:right w:val="single" w:sz="8" w:color="auto"/>
            </w:tcBorders>
          </w:tcPr>
          <w:p>
            <w:pPr>
              <w:spacing w:after="0"/>
              <w:rPr>
                <w:sz w:val="7"/>
                <w:szCs w:val="7"/>
                <w:color w:val="auto"/>
              </w:rPr>
            </w:pPr>
          </w:p>
        </w:tc>
        <w:tc>
          <w:tcPr>
            <w:tcW w:w="1160" w:type="dxa"/>
            <w:vAlign w:val="bottom"/>
            <w:tcBorders>
              <w:bottom w:val="single" w:sz="8" w:color="auto"/>
              <w:right w:val="single" w:sz="8" w:color="auto"/>
            </w:tcBorders>
          </w:tcPr>
          <w:p>
            <w:pPr>
              <w:spacing w:after="0"/>
              <w:rPr>
                <w:sz w:val="7"/>
                <w:szCs w:val="7"/>
                <w:color w:val="auto"/>
              </w:rPr>
            </w:pPr>
          </w:p>
        </w:tc>
        <w:tc>
          <w:tcPr>
            <w:tcW w:w="1220" w:type="dxa"/>
            <w:vAlign w:val="bottom"/>
            <w:tcBorders>
              <w:bottom w:val="single" w:sz="8" w:color="auto"/>
              <w:right w:val="single" w:sz="8" w:color="auto"/>
            </w:tcBorders>
          </w:tcPr>
          <w:p>
            <w:pPr>
              <w:spacing w:after="0"/>
              <w:rPr>
                <w:sz w:val="7"/>
                <w:szCs w:val="7"/>
                <w:color w:val="auto"/>
              </w:rPr>
            </w:pPr>
          </w:p>
        </w:tc>
        <w:tc>
          <w:tcPr>
            <w:tcW w:w="700" w:type="dxa"/>
            <w:vAlign w:val="bottom"/>
            <w:tcBorders>
              <w:bottom w:val="single" w:sz="8" w:color="auto"/>
              <w:right w:val="single" w:sz="8" w:color="auto"/>
            </w:tcBorders>
          </w:tcPr>
          <w:p>
            <w:pPr>
              <w:spacing w:after="0"/>
              <w:rPr>
                <w:sz w:val="7"/>
                <w:szCs w:val="7"/>
                <w:color w:val="auto"/>
              </w:rPr>
            </w:pPr>
          </w:p>
        </w:tc>
        <w:tc>
          <w:tcPr>
            <w:tcW w:w="1660" w:type="dxa"/>
            <w:vAlign w:val="bottom"/>
            <w:tcBorders>
              <w:bottom w:val="single" w:sz="8" w:color="auto"/>
            </w:tcBorders>
          </w:tcPr>
          <w:p>
            <w:pPr>
              <w:spacing w:after="0"/>
              <w:rPr>
                <w:sz w:val="7"/>
                <w:szCs w:val="7"/>
                <w:color w:val="auto"/>
              </w:rPr>
            </w:pPr>
          </w:p>
        </w:tc>
        <w:tc>
          <w:tcPr>
            <w:tcW w:w="1460" w:type="dxa"/>
            <w:vAlign w:val="bottom"/>
            <w:tcBorders>
              <w:bottom w:val="single" w:sz="8" w:color="auto"/>
              <w:right w:val="single" w:sz="8" w:color="auto"/>
            </w:tcBorders>
          </w:tcPr>
          <w:p>
            <w:pPr>
              <w:spacing w:after="0"/>
              <w:rPr>
                <w:sz w:val="7"/>
                <w:szCs w:val="7"/>
                <w:color w:val="auto"/>
              </w:rPr>
            </w:pPr>
          </w:p>
        </w:tc>
        <w:tc>
          <w:tcPr>
            <w:tcW w:w="1460" w:type="dxa"/>
            <w:vAlign w:val="bottom"/>
            <w:tcBorders>
              <w:bottom w:val="single" w:sz="8" w:color="auto"/>
              <w:right w:val="single" w:sz="8" w:color="auto"/>
            </w:tcBorders>
          </w:tcPr>
          <w:p>
            <w:pPr>
              <w:spacing w:after="0"/>
              <w:rPr>
                <w:sz w:val="7"/>
                <w:szCs w:val="7"/>
                <w:color w:val="auto"/>
              </w:rPr>
            </w:pPr>
          </w:p>
        </w:tc>
      </w:tr>
      <w:tr>
        <w:trPr>
          <w:trHeight w:val="244"/>
        </w:trPr>
        <w:tc>
          <w:tcPr>
            <w:tcW w:w="9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w:t>
            </w:r>
          </w:p>
        </w:tc>
        <w:tc>
          <w:tcPr>
            <w:tcW w:w="164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w:t>
            </w:r>
          </w:p>
        </w:tc>
        <w:tc>
          <w:tcPr>
            <w:tcW w:w="116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w:t>
            </w:r>
          </w:p>
        </w:tc>
        <w:tc>
          <w:tcPr>
            <w:tcW w:w="122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w:t>
            </w:r>
          </w:p>
        </w:tc>
        <w:tc>
          <w:tcPr>
            <w:tcW w:w="70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w:t>
            </w:r>
          </w:p>
        </w:tc>
        <w:tc>
          <w:tcPr>
            <w:tcW w:w="1660" w:type="dxa"/>
            <w:vAlign w:val="bottom"/>
          </w:tcPr>
          <w:p>
            <w:pPr>
              <w:spacing w:after="0"/>
              <w:rPr>
                <w:sz w:val="20"/>
                <w:szCs w:val="20"/>
                <w:color w:val="auto"/>
              </w:rPr>
            </w:pPr>
            <w:r>
              <w:rPr>
                <w:rFonts w:ascii="Arial" w:cs="Arial" w:eastAsia="Arial" w:hAnsi="Arial"/>
                <w:sz w:val="20"/>
                <w:szCs w:val="20"/>
                <w:color w:val="auto"/>
              </w:rPr>
              <w:t>[†]</w:t>
            </w:r>
          </w:p>
        </w:tc>
        <w:tc>
          <w:tcPr>
            <w:tcW w:w="1460" w:type="dxa"/>
            <w:vAlign w:val="bottom"/>
            <w:tcBorders>
              <w:right w:val="single" w:sz="8" w:color="auto"/>
            </w:tcBorders>
          </w:tcPr>
          <w:p>
            <w:pPr>
              <w:spacing w:after="0"/>
              <w:rPr>
                <w:sz w:val="21"/>
                <w:szCs w:val="21"/>
                <w:color w:val="auto"/>
              </w:rPr>
            </w:pPr>
          </w:p>
        </w:tc>
        <w:tc>
          <w:tcPr>
            <w:tcW w:w="146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w:t>
            </w:r>
          </w:p>
        </w:tc>
      </w:tr>
      <w:tr>
        <w:trPr>
          <w:trHeight w:val="87"/>
        </w:trPr>
        <w:tc>
          <w:tcPr>
            <w:tcW w:w="960" w:type="dxa"/>
            <w:vAlign w:val="bottom"/>
            <w:tcBorders>
              <w:left w:val="single" w:sz="8" w:color="auto"/>
              <w:bottom w:val="single" w:sz="8" w:color="auto"/>
              <w:right w:val="single" w:sz="8" w:color="auto"/>
            </w:tcBorders>
          </w:tcPr>
          <w:p>
            <w:pPr>
              <w:spacing w:after="0"/>
              <w:rPr>
                <w:sz w:val="7"/>
                <w:szCs w:val="7"/>
                <w:color w:val="auto"/>
              </w:rPr>
            </w:pPr>
          </w:p>
        </w:tc>
        <w:tc>
          <w:tcPr>
            <w:tcW w:w="1640" w:type="dxa"/>
            <w:vAlign w:val="bottom"/>
            <w:tcBorders>
              <w:bottom w:val="single" w:sz="8" w:color="auto"/>
              <w:right w:val="single" w:sz="8" w:color="auto"/>
            </w:tcBorders>
          </w:tcPr>
          <w:p>
            <w:pPr>
              <w:spacing w:after="0"/>
              <w:rPr>
                <w:sz w:val="7"/>
                <w:szCs w:val="7"/>
                <w:color w:val="auto"/>
              </w:rPr>
            </w:pPr>
          </w:p>
        </w:tc>
        <w:tc>
          <w:tcPr>
            <w:tcW w:w="1160" w:type="dxa"/>
            <w:vAlign w:val="bottom"/>
            <w:tcBorders>
              <w:bottom w:val="single" w:sz="8" w:color="auto"/>
              <w:right w:val="single" w:sz="8" w:color="auto"/>
            </w:tcBorders>
          </w:tcPr>
          <w:p>
            <w:pPr>
              <w:spacing w:after="0"/>
              <w:rPr>
                <w:sz w:val="7"/>
                <w:szCs w:val="7"/>
                <w:color w:val="auto"/>
              </w:rPr>
            </w:pPr>
          </w:p>
        </w:tc>
        <w:tc>
          <w:tcPr>
            <w:tcW w:w="1220" w:type="dxa"/>
            <w:vAlign w:val="bottom"/>
            <w:tcBorders>
              <w:bottom w:val="single" w:sz="8" w:color="auto"/>
              <w:right w:val="single" w:sz="8" w:color="auto"/>
            </w:tcBorders>
          </w:tcPr>
          <w:p>
            <w:pPr>
              <w:spacing w:after="0"/>
              <w:rPr>
                <w:sz w:val="7"/>
                <w:szCs w:val="7"/>
                <w:color w:val="auto"/>
              </w:rPr>
            </w:pPr>
          </w:p>
        </w:tc>
        <w:tc>
          <w:tcPr>
            <w:tcW w:w="700" w:type="dxa"/>
            <w:vAlign w:val="bottom"/>
            <w:tcBorders>
              <w:bottom w:val="single" w:sz="8" w:color="auto"/>
              <w:right w:val="single" w:sz="8" w:color="auto"/>
            </w:tcBorders>
          </w:tcPr>
          <w:p>
            <w:pPr>
              <w:spacing w:after="0"/>
              <w:rPr>
                <w:sz w:val="7"/>
                <w:szCs w:val="7"/>
                <w:color w:val="auto"/>
              </w:rPr>
            </w:pPr>
          </w:p>
        </w:tc>
        <w:tc>
          <w:tcPr>
            <w:tcW w:w="1660" w:type="dxa"/>
            <w:vAlign w:val="bottom"/>
            <w:tcBorders>
              <w:bottom w:val="single" w:sz="8" w:color="auto"/>
            </w:tcBorders>
          </w:tcPr>
          <w:p>
            <w:pPr>
              <w:spacing w:after="0"/>
              <w:rPr>
                <w:sz w:val="7"/>
                <w:szCs w:val="7"/>
                <w:color w:val="auto"/>
              </w:rPr>
            </w:pPr>
          </w:p>
        </w:tc>
        <w:tc>
          <w:tcPr>
            <w:tcW w:w="1460" w:type="dxa"/>
            <w:vAlign w:val="bottom"/>
            <w:tcBorders>
              <w:bottom w:val="single" w:sz="8" w:color="auto"/>
              <w:right w:val="single" w:sz="8" w:color="auto"/>
            </w:tcBorders>
          </w:tcPr>
          <w:p>
            <w:pPr>
              <w:spacing w:after="0"/>
              <w:rPr>
                <w:sz w:val="7"/>
                <w:szCs w:val="7"/>
                <w:color w:val="auto"/>
              </w:rPr>
            </w:pPr>
          </w:p>
        </w:tc>
        <w:tc>
          <w:tcPr>
            <w:tcW w:w="1460" w:type="dxa"/>
            <w:vAlign w:val="bottom"/>
            <w:tcBorders>
              <w:bottom w:val="single" w:sz="8" w:color="auto"/>
              <w:right w:val="single" w:sz="8" w:color="auto"/>
            </w:tcBorders>
          </w:tcPr>
          <w:p>
            <w:pPr>
              <w:spacing w:after="0"/>
              <w:rPr>
                <w:sz w:val="7"/>
                <w:szCs w:val="7"/>
                <w:color w:val="auto"/>
              </w:rPr>
            </w:pPr>
          </w:p>
        </w:tc>
      </w:tr>
      <w:tr>
        <w:trPr>
          <w:trHeight w:val="244"/>
        </w:trPr>
        <w:tc>
          <w:tcPr>
            <w:tcW w:w="9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w:t>
            </w:r>
          </w:p>
        </w:tc>
        <w:tc>
          <w:tcPr>
            <w:tcW w:w="164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w:t>
            </w:r>
          </w:p>
        </w:tc>
        <w:tc>
          <w:tcPr>
            <w:tcW w:w="116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w:t>
            </w:r>
          </w:p>
        </w:tc>
        <w:tc>
          <w:tcPr>
            <w:tcW w:w="122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w:t>
            </w:r>
          </w:p>
        </w:tc>
        <w:tc>
          <w:tcPr>
            <w:tcW w:w="70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w:t>
            </w:r>
          </w:p>
        </w:tc>
        <w:tc>
          <w:tcPr>
            <w:tcW w:w="1660" w:type="dxa"/>
            <w:vAlign w:val="bottom"/>
          </w:tcPr>
          <w:p>
            <w:pPr>
              <w:spacing w:after="0"/>
              <w:rPr>
                <w:sz w:val="20"/>
                <w:szCs w:val="20"/>
                <w:color w:val="auto"/>
              </w:rPr>
            </w:pPr>
            <w:r>
              <w:rPr>
                <w:rFonts w:ascii="Arial" w:cs="Arial" w:eastAsia="Arial" w:hAnsi="Arial"/>
                <w:sz w:val="20"/>
                <w:szCs w:val="20"/>
                <w:color w:val="auto"/>
              </w:rPr>
              <w:t>[†]</w:t>
            </w:r>
          </w:p>
        </w:tc>
        <w:tc>
          <w:tcPr>
            <w:tcW w:w="1460" w:type="dxa"/>
            <w:vAlign w:val="bottom"/>
            <w:tcBorders>
              <w:right w:val="single" w:sz="8" w:color="auto"/>
            </w:tcBorders>
          </w:tcPr>
          <w:p>
            <w:pPr>
              <w:spacing w:after="0"/>
              <w:rPr>
                <w:sz w:val="21"/>
                <w:szCs w:val="21"/>
                <w:color w:val="auto"/>
              </w:rPr>
            </w:pPr>
          </w:p>
        </w:tc>
        <w:tc>
          <w:tcPr>
            <w:tcW w:w="146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w:t>
            </w:r>
          </w:p>
        </w:tc>
      </w:tr>
      <w:tr>
        <w:trPr>
          <w:trHeight w:val="87"/>
        </w:trPr>
        <w:tc>
          <w:tcPr>
            <w:tcW w:w="960" w:type="dxa"/>
            <w:vAlign w:val="bottom"/>
            <w:tcBorders>
              <w:left w:val="single" w:sz="8" w:color="auto"/>
              <w:bottom w:val="single" w:sz="8" w:color="auto"/>
              <w:right w:val="single" w:sz="8" w:color="auto"/>
            </w:tcBorders>
          </w:tcPr>
          <w:p>
            <w:pPr>
              <w:spacing w:after="0"/>
              <w:rPr>
                <w:sz w:val="7"/>
                <w:szCs w:val="7"/>
                <w:color w:val="auto"/>
              </w:rPr>
            </w:pPr>
          </w:p>
        </w:tc>
        <w:tc>
          <w:tcPr>
            <w:tcW w:w="1640" w:type="dxa"/>
            <w:vAlign w:val="bottom"/>
            <w:tcBorders>
              <w:bottom w:val="single" w:sz="8" w:color="auto"/>
              <w:right w:val="single" w:sz="8" w:color="auto"/>
            </w:tcBorders>
          </w:tcPr>
          <w:p>
            <w:pPr>
              <w:spacing w:after="0"/>
              <w:rPr>
                <w:sz w:val="7"/>
                <w:szCs w:val="7"/>
                <w:color w:val="auto"/>
              </w:rPr>
            </w:pPr>
          </w:p>
        </w:tc>
        <w:tc>
          <w:tcPr>
            <w:tcW w:w="1160" w:type="dxa"/>
            <w:vAlign w:val="bottom"/>
            <w:tcBorders>
              <w:bottom w:val="single" w:sz="8" w:color="auto"/>
              <w:right w:val="single" w:sz="8" w:color="auto"/>
            </w:tcBorders>
          </w:tcPr>
          <w:p>
            <w:pPr>
              <w:spacing w:after="0"/>
              <w:rPr>
                <w:sz w:val="7"/>
                <w:szCs w:val="7"/>
                <w:color w:val="auto"/>
              </w:rPr>
            </w:pPr>
          </w:p>
        </w:tc>
        <w:tc>
          <w:tcPr>
            <w:tcW w:w="1220" w:type="dxa"/>
            <w:vAlign w:val="bottom"/>
            <w:tcBorders>
              <w:bottom w:val="single" w:sz="8" w:color="auto"/>
              <w:right w:val="single" w:sz="8" w:color="auto"/>
            </w:tcBorders>
          </w:tcPr>
          <w:p>
            <w:pPr>
              <w:spacing w:after="0"/>
              <w:rPr>
                <w:sz w:val="7"/>
                <w:szCs w:val="7"/>
                <w:color w:val="auto"/>
              </w:rPr>
            </w:pPr>
          </w:p>
        </w:tc>
        <w:tc>
          <w:tcPr>
            <w:tcW w:w="700" w:type="dxa"/>
            <w:vAlign w:val="bottom"/>
            <w:tcBorders>
              <w:bottom w:val="single" w:sz="8" w:color="auto"/>
              <w:right w:val="single" w:sz="8" w:color="auto"/>
            </w:tcBorders>
          </w:tcPr>
          <w:p>
            <w:pPr>
              <w:spacing w:after="0"/>
              <w:rPr>
                <w:sz w:val="7"/>
                <w:szCs w:val="7"/>
                <w:color w:val="auto"/>
              </w:rPr>
            </w:pPr>
          </w:p>
        </w:tc>
        <w:tc>
          <w:tcPr>
            <w:tcW w:w="1660" w:type="dxa"/>
            <w:vAlign w:val="bottom"/>
            <w:tcBorders>
              <w:bottom w:val="single" w:sz="8" w:color="auto"/>
            </w:tcBorders>
          </w:tcPr>
          <w:p>
            <w:pPr>
              <w:spacing w:after="0"/>
              <w:rPr>
                <w:sz w:val="7"/>
                <w:szCs w:val="7"/>
                <w:color w:val="auto"/>
              </w:rPr>
            </w:pPr>
          </w:p>
        </w:tc>
        <w:tc>
          <w:tcPr>
            <w:tcW w:w="1460" w:type="dxa"/>
            <w:vAlign w:val="bottom"/>
            <w:tcBorders>
              <w:bottom w:val="single" w:sz="8" w:color="auto"/>
              <w:right w:val="single" w:sz="8" w:color="auto"/>
            </w:tcBorders>
          </w:tcPr>
          <w:p>
            <w:pPr>
              <w:spacing w:after="0"/>
              <w:rPr>
                <w:sz w:val="7"/>
                <w:szCs w:val="7"/>
                <w:color w:val="auto"/>
              </w:rPr>
            </w:pPr>
          </w:p>
        </w:tc>
        <w:tc>
          <w:tcPr>
            <w:tcW w:w="1460" w:type="dxa"/>
            <w:vAlign w:val="bottom"/>
            <w:tcBorders>
              <w:bottom w:val="single" w:sz="8" w:color="auto"/>
              <w:right w:val="single" w:sz="8" w:color="auto"/>
            </w:tcBorders>
          </w:tcPr>
          <w:p>
            <w:pPr>
              <w:spacing w:after="0"/>
              <w:rPr>
                <w:sz w:val="7"/>
                <w:szCs w:val="7"/>
                <w:color w:val="auto"/>
              </w:rPr>
            </w:pPr>
          </w:p>
        </w:tc>
      </w:tr>
      <w:tr>
        <w:trPr>
          <w:trHeight w:val="244"/>
        </w:trPr>
        <w:tc>
          <w:tcPr>
            <w:tcW w:w="9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w:t>
            </w:r>
          </w:p>
        </w:tc>
        <w:tc>
          <w:tcPr>
            <w:tcW w:w="164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w:t>
            </w:r>
          </w:p>
        </w:tc>
        <w:tc>
          <w:tcPr>
            <w:tcW w:w="116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w:t>
            </w:r>
          </w:p>
        </w:tc>
        <w:tc>
          <w:tcPr>
            <w:tcW w:w="122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w:t>
            </w:r>
          </w:p>
        </w:tc>
        <w:tc>
          <w:tcPr>
            <w:tcW w:w="70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w:t>
            </w:r>
          </w:p>
        </w:tc>
        <w:tc>
          <w:tcPr>
            <w:tcW w:w="1660" w:type="dxa"/>
            <w:vAlign w:val="bottom"/>
          </w:tcPr>
          <w:p>
            <w:pPr>
              <w:spacing w:after="0"/>
              <w:rPr>
                <w:sz w:val="20"/>
                <w:szCs w:val="20"/>
                <w:color w:val="auto"/>
              </w:rPr>
            </w:pPr>
            <w:r>
              <w:rPr>
                <w:rFonts w:ascii="Arial" w:cs="Arial" w:eastAsia="Arial" w:hAnsi="Arial"/>
                <w:sz w:val="20"/>
                <w:szCs w:val="20"/>
                <w:color w:val="auto"/>
              </w:rPr>
              <w:t>[†]</w:t>
            </w:r>
          </w:p>
        </w:tc>
        <w:tc>
          <w:tcPr>
            <w:tcW w:w="1460" w:type="dxa"/>
            <w:vAlign w:val="bottom"/>
            <w:tcBorders>
              <w:right w:val="single" w:sz="8" w:color="auto"/>
            </w:tcBorders>
          </w:tcPr>
          <w:p>
            <w:pPr>
              <w:spacing w:after="0"/>
              <w:rPr>
                <w:sz w:val="21"/>
                <w:szCs w:val="21"/>
                <w:color w:val="auto"/>
              </w:rPr>
            </w:pPr>
          </w:p>
        </w:tc>
        <w:tc>
          <w:tcPr>
            <w:tcW w:w="146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w:t>
            </w:r>
          </w:p>
        </w:tc>
      </w:tr>
      <w:tr>
        <w:trPr>
          <w:trHeight w:val="87"/>
        </w:trPr>
        <w:tc>
          <w:tcPr>
            <w:tcW w:w="960" w:type="dxa"/>
            <w:vAlign w:val="bottom"/>
            <w:tcBorders>
              <w:left w:val="single" w:sz="8" w:color="auto"/>
              <w:bottom w:val="single" w:sz="8" w:color="auto"/>
              <w:right w:val="single" w:sz="8" w:color="auto"/>
            </w:tcBorders>
          </w:tcPr>
          <w:p>
            <w:pPr>
              <w:spacing w:after="0"/>
              <w:rPr>
                <w:sz w:val="7"/>
                <w:szCs w:val="7"/>
                <w:color w:val="auto"/>
              </w:rPr>
            </w:pPr>
          </w:p>
        </w:tc>
        <w:tc>
          <w:tcPr>
            <w:tcW w:w="1640" w:type="dxa"/>
            <w:vAlign w:val="bottom"/>
            <w:tcBorders>
              <w:bottom w:val="single" w:sz="8" w:color="auto"/>
              <w:right w:val="single" w:sz="8" w:color="auto"/>
            </w:tcBorders>
          </w:tcPr>
          <w:p>
            <w:pPr>
              <w:spacing w:after="0"/>
              <w:rPr>
                <w:sz w:val="7"/>
                <w:szCs w:val="7"/>
                <w:color w:val="auto"/>
              </w:rPr>
            </w:pPr>
          </w:p>
        </w:tc>
        <w:tc>
          <w:tcPr>
            <w:tcW w:w="1160" w:type="dxa"/>
            <w:vAlign w:val="bottom"/>
            <w:tcBorders>
              <w:bottom w:val="single" w:sz="8" w:color="auto"/>
              <w:right w:val="single" w:sz="8" w:color="auto"/>
            </w:tcBorders>
          </w:tcPr>
          <w:p>
            <w:pPr>
              <w:spacing w:after="0"/>
              <w:rPr>
                <w:sz w:val="7"/>
                <w:szCs w:val="7"/>
                <w:color w:val="auto"/>
              </w:rPr>
            </w:pPr>
          </w:p>
        </w:tc>
        <w:tc>
          <w:tcPr>
            <w:tcW w:w="1220" w:type="dxa"/>
            <w:vAlign w:val="bottom"/>
            <w:tcBorders>
              <w:bottom w:val="single" w:sz="8" w:color="auto"/>
              <w:right w:val="single" w:sz="8" w:color="auto"/>
            </w:tcBorders>
          </w:tcPr>
          <w:p>
            <w:pPr>
              <w:spacing w:after="0"/>
              <w:rPr>
                <w:sz w:val="7"/>
                <w:szCs w:val="7"/>
                <w:color w:val="auto"/>
              </w:rPr>
            </w:pPr>
          </w:p>
        </w:tc>
        <w:tc>
          <w:tcPr>
            <w:tcW w:w="700" w:type="dxa"/>
            <w:vAlign w:val="bottom"/>
            <w:tcBorders>
              <w:bottom w:val="single" w:sz="8" w:color="auto"/>
              <w:right w:val="single" w:sz="8" w:color="auto"/>
            </w:tcBorders>
          </w:tcPr>
          <w:p>
            <w:pPr>
              <w:spacing w:after="0"/>
              <w:rPr>
                <w:sz w:val="7"/>
                <w:szCs w:val="7"/>
                <w:color w:val="auto"/>
              </w:rPr>
            </w:pPr>
          </w:p>
        </w:tc>
        <w:tc>
          <w:tcPr>
            <w:tcW w:w="1660" w:type="dxa"/>
            <w:vAlign w:val="bottom"/>
            <w:tcBorders>
              <w:bottom w:val="single" w:sz="8" w:color="auto"/>
            </w:tcBorders>
          </w:tcPr>
          <w:p>
            <w:pPr>
              <w:spacing w:after="0"/>
              <w:rPr>
                <w:sz w:val="7"/>
                <w:szCs w:val="7"/>
                <w:color w:val="auto"/>
              </w:rPr>
            </w:pPr>
          </w:p>
        </w:tc>
        <w:tc>
          <w:tcPr>
            <w:tcW w:w="1460" w:type="dxa"/>
            <w:vAlign w:val="bottom"/>
            <w:tcBorders>
              <w:bottom w:val="single" w:sz="8" w:color="auto"/>
              <w:right w:val="single" w:sz="8" w:color="auto"/>
            </w:tcBorders>
          </w:tcPr>
          <w:p>
            <w:pPr>
              <w:spacing w:after="0"/>
              <w:rPr>
                <w:sz w:val="7"/>
                <w:szCs w:val="7"/>
                <w:color w:val="auto"/>
              </w:rPr>
            </w:pPr>
          </w:p>
        </w:tc>
        <w:tc>
          <w:tcPr>
            <w:tcW w:w="1460" w:type="dxa"/>
            <w:vAlign w:val="bottom"/>
            <w:tcBorders>
              <w:bottom w:val="single" w:sz="8" w:color="auto"/>
              <w:right w:val="single" w:sz="8" w:color="auto"/>
            </w:tcBorders>
          </w:tcPr>
          <w:p>
            <w:pPr>
              <w:spacing w:after="0"/>
              <w:rPr>
                <w:sz w:val="7"/>
                <w:szCs w:val="7"/>
                <w:color w:val="auto"/>
              </w:rPr>
            </w:pPr>
          </w:p>
        </w:tc>
      </w:tr>
      <w:tr>
        <w:trPr>
          <w:trHeight w:val="244"/>
        </w:trPr>
        <w:tc>
          <w:tcPr>
            <w:tcW w:w="9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w:t>
            </w:r>
          </w:p>
        </w:tc>
        <w:tc>
          <w:tcPr>
            <w:tcW w:w="164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w:t>
            </w:r>
          </w:p>
        </w:tc>
        <w:tc>
          <w:tcPr>
            <w:tcW w:w="116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w:t>
            </w:r>
          </w:p>
        </w:tc>
        <w:tc>
          <w:tcPr>
            <w:tcW w:w="122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w:t>
            </w:r>
          </w:p>
        </w:tc>
        <w:tc>
          <w:tcPr>
            <w:tcW w:w="70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w:t>
            </w:r>
          </w:p>
        </w:tc>
        <w:tc>
          <w:tcPr>
            <w:tcW w:w="1660" w:type="dxa"/>
            <w:vAlign w:val="bottom"/>
          </w:tcPr>
          <w:p>
            <w:pPr>
              <w:spacing w:after="0"/>
              <w:rPr>
                <w:sz w:val="21"/>
                <w:szCs w:val="21"/>
                <w:color w:val="auto"/>
              </w:rPr>
            </w:pPr>
          </w:p>
        </w:tc>
        <w:tc>
          <w:tcPr>
            <w:tcW w:w="1460" w:type="dxa"/>
            <w:vAlign w:val="bottom"/>
            <w:tcBorders>
              <w:right w:val="single" w:sz="8" w:color="auto"/>
            </w:tcBorders>
          </w:tcPr>
          <w:p>
            <w:pPr>
              <w:spacing w:after="0"/>
              <w:rPr>
                <w:sz w:val="21"/>
                <w:szCs w:val="21"/>
                <w:color w:val="auto"/>
              </w:rPr>
            </w:pPr>
          </w:p>
        </w:tc>
        <w:tc>
          <w:tcPr>
            <w:tcW w:w="146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w:t>
            </w:r>
          </w:p>
        </w:tc>
      </w:tr>
      <w:tr>
        <w:trPr>
          <w:trHeight w:val="87"/>
        </w:trPr>
        <w:tc>
          <w:tcPr>
            <w:tcW w:w="960" w:type="dxa"/>
            <w:vAlign w:val="bottom"/>
            <w:tcBorders>
              <w:left w:val="single" w:sz="8" w:color="auto"/>
              <w:bottom w:val="single" w:sz="8" w:color="auto"/>
              <w:right w:val="single" w:sz="8" w:color="auto"/>
            </w:tcBorders>
          </w:tcPr>
          <w:p>
            <w:pPr>
              <w:spacing w:after="0"/>
              <w:rPr>
                <w:sz w:val="7"/>
                <w:szCs w:val="7"/>
                <w:color w:val="auto"/>
              </w:rPr>
            </w:pPr>
          </w:p>
        </w:tc>
        <w:tc>
          <w:tcPr>
            <w:tcW w:w="1640" w:type="dxa"/>
            <w:vAlign w:val="bottom"/>
            <w:tcBorders>
              <w:bottom w:val="single" w:sz="8" w:color="auto"/>
              <w:right w:val="single" w:sz="8" w:color="auto"/>
            </w:tcBorders>
          </w:tcPr>
          <w:p>
            <w:pPr>
              <w:spacing w:after="0"/>
              <w:rPr>
                <w:sz w:val="7"/>
                <w:szCs w:val="7"/>
                <w:color w:val="auto"/>
              </w:rPr>
            </w:pPr>
          </w:p>
        </w:tc>
        <w:tc>
          <w:tcPr>
            <w:tcW w:w="1160" w:type="dxa"/>
            <w:vAlign w:val="bottom"/>
            <w:tcBorders>
              <w:bottom w:val="single" w:sz="8" w:color="auto"/>
              <w:right w:val="single" w:sz="8" w:color="auto"/>
            </w:tcBorders>
          </w:tcPr>
          <w:p>
            <w:pPr>
              <w:spacing w:after="0"/>
              <w:rPr>
                <w:sz w:val="7"/>
                <w:szCs w:val="7"/>
                <w:color w:val="auto"/>
              </w:rPr>
            </w:pPr>
          </w:p>
        </w:tc>
        <w:tc>
          <w:tcPr>
            <w:tcW w:w="1220" w:type="dxa"/>
            <w:vAlign w:val="bottom"/>
            <w:tcBorders>
              <w:bottom w:val="single" w:sz="8" w:color="auto"/>
              <w:right w:val="single" w:sz="8" w:color="auto"/>
            </w:tcBorders>
          </w:tcPr>
          <w:p>
            <w:pPr>
              <w:spacing w:after="0"/>
              <w:rPr>
                <w:sz w:val="7"/>
                <w:szCs w:val="7"/>
                <w:color w:val="auto"/>
              </w:rPr>
            </w:pPr>
          </w:p>
        </w:tc>
        <w:tc>
          <w:tcPr>
            <w:tcW w:w="700" w:type="dxa"/>
            <w:vAlign w:val="bottom"/>
            <w:tcBorders>
              <w:bottom w:val="single" w:sz="8" w:color="auto"/>
              <w:right w:val="single" w:sz="8" w:color="auto"/>
            </w:tcBorders>
          </w:tcPr>
          <w:p>
            <w:pPr>
              <w:spacing w:after="0"/>
              <w:rPr>
                <w:sz w:val="7"/>
                <w:szCs w:val="7"/>
                <w:color w:val="auto"/>
              </w:rPr>
            </w:pPr>
          </w:p>
        </w:tc>
        <w:tc>
          <w:tcPr>
            <w:tcW w:w="1660" w:type="dxa"/>
            <w:vAlign w:val="bottom"/>
            <w:tcBorders>
              <w:bottom w:val="single" w:sz="8" w:color="auto"/>
            </w:tcBorders>
          </w:tcPr>
          <w:p>
            <w:pPr>
              <w:spacing w:after="0"/>
              <w:rPr>
                <w:sz w:val="7"/>
                <w:szCs w:val="7"/>
                <w:color w:val="auto"/>
              </w:rPr>
            </w:pPr>
          </w:p>
        </w:tc>
        <w:tc>
          <w:tcPr>
            <w:tcW w:w="1460" w:type="dxa"/>
            <w:vAlign w:val="bottom"/>
            <w:tcBorders>
              <w:bottom w:val="single" w:sz="8" w:color="auto"/>
              <w:right w:val="single" w:sz="8" w:color="auto"/>
            </w:tcBorders>
          </w:tcPr>
          <w:p>
            <w:pPr>
              <w:spacing w:after="0"/>
              <w:rPr>
                <w:sz w:val="7"/>
                <w:szCs w:val="7"/>
                <w:color w:val="auto"/>
              </w:rPr>
            </w:pPr>
          </w:p>
        </w:tc>
        <w:tc>
          <w:tcPr>
            <w:tcW w:w="1460" w:type="dxa"/>
            <w:vAlign w:val="bottom"/>
            <w:tcBorders>
              <w:bottom w:val="single" w:sz="8" w:color="auto"/>
              <w:right w:val="single" w:sz="8" w:color="auto"/>
            </w:tcBorders>
          </w:tcPr>
          <w:p>
            <w:pPr>
              <w:spacing w:after="0"/>
              <w:rPr>
                <w:sz w:val="7"/>
                <w:szCs w:val="7"/>
                <w:color w:val="auto"/>
              </w:rPr>
            </w:pPr>
          </w:p>
        </w:tc>
      </w:tr>
      <w:tr>
        <w:trPr>
          <w:trHeight w:val="244"/>
        </w:trPr>
        <w:tc>
          <w:tcPr>
            <w:tcW w:w="9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w:t>
            </w:r>
          </w:p>
        </w:tc>
        <w:tc>
          <w:tcPr>
            <w:tcW w:w="164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w:t>
            </w:r>
          </w:p>
        </w:tc>
        <w:tc>
          <w:tcPr>
            <w:tcW w:w="116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w:t>
            </w:r>
          </w:p>
        </w:tc>
        <w:tc>
          <w:tcPr>
            <w:tcW w:w="122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w:t>
            </w:r>
          </w:p>
        </w:tc>
        <w:tc>
          <w:tcPr>
            <w:tcW w:w="70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w:t>
            </w:r>
          </w:p>
        </w:tc>
        <w:tc>
          <w:tcPr>
            <w:tcW w:w="1660" w:type="dxa"/>
            <w:vAlign w:val="bottom"/>
          </w:tcPr>
          <w:p>
            <w:pPr>
              <w:spacing w:after="0"/>
              <w:rPr>
                <w:sz w:val="21"/>
                <w:szCs w:val="21"/>
                <w:color w:val="auto"/>
              </w:rPr>
            </w:pPr>
          </w:p>
        </w:tc>
        <w:tc>
          <w:tcPr>
            <w:tcW w:w="1460" w:type="dxa"/>
            <w:vAlign w:val="bottom"/>
            <w:tcBorders>
              <w:right w:val="single" w:sz="8" w:color="auto"/>
            </w:tcBorders>
          </w:tcPr>
          <w:p>
            <w:pPr>
              <w:spacing w:after="0"/>
              <w:rPr>
                <w:sz w:val="21"/>
                <w:szCs w:val="21"/>
                <w:color w:val="auto"/>
              </w:rPr>
            </w:pPr>
          </w:p>
        </w:tc>
        <w:tc>
          <w:tcPr>
            <w:tcW w:w="146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w:t>
            </w:r>
          </w:p>
        </w:tc>
      </w:tr>
      <w:tr>
        <w:trPr>
          <w:trHeight w:val="87"/>
        </w:trPr>
        <w:tc>
          <w:tcPr>
            <w:tcW w:w="960" w:type="dxa"/>
            <w:vAlign w:val="bottom"/>
            <w:tcBorders>
              <w:left w:val="single" w:sz="8" w:color="auto"/>
              <w:bottom w:val="single" w:sz="8" w:color="auto"/>
              <w:right w:val="single" w:sz="8" w:color="auto"/>
            </w:tcBorders>
          </w:tcPr>
          <w:p>
            <w:pPr>
              <w:spacing w:after="0"/>
              <w:rPr>
                <w:sz w:val="7"/>
                <w:szCs w:val="7"/>
                <w:color w:val="auto"/>
              </w:rPr>
            </w:pPr>
          </w:p>
        </w:tc>
        <w:tc>
          <w:tcPr>
            <w:tcW w:w="1640" w:type="dxa"/>
            <w:vAlign w:val="bottom"/>
            <w:tcBorders>
              <w:bottom w:val="single" w:sz="8" w:color="auto"/>
              <w:right w:val="single" w:sz="8" w:color="auto"/>
            </w:tcBorders>
          </w:tcPr>
          <w:p>
            <w:pPr>
              <w:spacing w:after="0"/>
              <w:rPr>
                <w:sz w:val="7"/>
                <w:szCs w:val="7"/>
                <w:color w:val="auto"/>
              </w:rPr>
            </w:pPr>
          </w:p>
        </w:tc>
        <w:tc>
          <w:tcPr>
            <w:tcW w:w="1160" w:type="dxa"/>
            <w:vAlign w:val="bottom"/>
            <w:tcBorders>
              <w:bottom w:val="single" w:sz="8" w:color="auto"/>
              <w:right w:val="single" w:sz="8" w:color="auto"/>
            </w:tcBorders>
          </w:tcPr>
          <w:p>
            <w:pPr>
              <w:spacing w:after="0"/>
              <w:rPr>
                <w:sz w:val="7"/>
                <w:szCs w:val="7"/>
                <w:color w:val="auto"/>
              </w:rPr>
            </w:pPr>
          </w:p>
        </w:tc>
        <w:tc>
          <w:tcPr>
            <w:tcW w:w="1220" w:type="dxa"/>
            <w:vAlign w:val="bottom"/>
            <w:tcBorders>
              <w:bottom w:val="single" w:sz="8" w:color="auto"/>
              <w:right w:val="single" w:sz="8" w:color="auto"/>
            </w:tcBorders>
          </w:tcPr>
          <w:p>
            <w:pPr>
              <w:spacing w:after="0"/>
              <w:rPr>
                <w:sz w:val="7"/>
                <w:szCs w:val="7"/>
                <w:color w:val="auto"/>
              </w:rPr>
            </w:pPr>
          </w:p>
        </w:tc>
        <w:tc>
          <w:tcPr>
            <w:tcW w:w="700" w:type="dxa"/>
            <w:vAlign w:val="bottom"/>
            <w:tcBorders>
              <w:bottom w:val="single" w:sz="8" w:color="auto"/>
              <w:right w:val="single" w:sz="8" w:color="auto"/>
            </w:tcBorders>
          </w:tcPr>
          <w:p>
            <w:pPr>
              <w:spacing w:after="0"/>
              <w:rPr>
                <w:sz w:val="7"/>
                <w:szCs w:val="7"/>
                <w:color w:val="auto"/>
              </w:rPr>
            </w:pPr>
          </w:p>
        </w:tc>
        <w:tc>
          <w:tcPr>
            <w:tcW w:w="1660" w:type="dxa"/>
            <w:vAlign w:val="bottom"/>
            <w:tcBorders>
              <w:bottom w:val="single" w:sz="8" w:color="auto"/>
            </w:tcBorders>
          </w:tcPr>
          <w:p>
            <w:pPr>
              <w:spacing w:after="0"/>
              <w:rPr>
                <w:sz w:val="7"/>
                <w:szCs w:val="7"/>
                <w:color w:val="auto"/>
              </w:rPr>
            </w:pPr>
          </w:p>
        </w:tc>
        <w:tc>
          <w:tcPr>
            <w:tcW w:w="1460" w:type="dxa"/>
            <w:vAlign w:val="bottom"/>
            <w:tcBorders>
              <w:bottom w:val="single" w:sz="8" w:color="auto"/>
              <w:right w:val="single" w:sz="8" w:color="auto"/>
            </w:tcBorders>
          </w:tcPr>
          <w:p>
            <w:pPr>
              <w:spacing w:after="0"/>
              <w:rPr>
                <w:sz w:val="7"/>
                <w:szCs w:val="7"/>
                <w:color w:val="auto"/>
              </w:rPr>
            </w:pPr>
          </w:p>
        </w:tc>
        <w:tc>
          <w:tcPr>
            <w:tcW w:w="1460" w:type="dxa"/>
            <w:vAlign w:val="bottom"/>
            <w:tcBorders>
              <w:bottom w:val="single" w:sz="8" w:color="auto"/>
              <w:right w:val="single" w:sz="8" w:color="auto"/>
            </w:tcBorders>
          </w:tcPr>
          <w:p>
            <w:pPr>
              <w:spacing w:after="0"/>
              <w:rPr>
                <w:sz w:val="7"/>
                <w:szCs w:val="7"/>
                <w:color w:val="auto"/>
              </w:rPr>
            </w:pPr>
          </w:p>
        </w:tc>
      </w:tr>
      <w:tr>
        <w:trPr>
          <w:trHeight w:val="244"/>
        </w:trPr>
        <w:tc>
          <w:tcPr>
            <w:tcW w:w="9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w:t>
            </w:r>
          </w:p>
        </w:tc>
        <w:tc>
          <w:tcPr>
            <w:tcW w:w="164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w:t>
            </w:r>
          </w:p>
        </w:tc>
        <w:tc>
          <w:tcPr>
            <w:tcW w:w="116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w:t>
            </w:r>
          </w:p>
        </w:tc>
        <w:tc>
          <w:tcPr>
            <w:tcW w:w="122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w:t>
            </w:r>
          </w:p>
        </w:tc>
        <w:tc>
          <w:tcPr>
            <w:tcW w:w="70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w:t>
            </w:r>
          </w:p>
        </w:tc>
        <w:tc>
          <w:tcPr>
            <w:tcW w:w="1660" w:type="dxa"/>
            <w:vAlign w:val="bottom"/>
          </w:tcPr>
          <w:p>
            <w:pPr>
              <w:spacing w:after="0"/>
              <w:rPr>
                <w:sz w:val="21"/>
                <w:szCs w:val="21"/>
                <w:color w:val="auto"/>
              </w:rPr>
            </w:pPr>
          </w:p>
        </w:tc>
        <w:tc>
          <w:tcPr>
            <w:tcW w:w="1460" w:type="dxa"/>
            <w:vAlign w:val="bottom"/>
            <w:tcBorders>
              <w:right w:val="single" w:sz="8" w:color="auto"/>
            </w:tcBorders>
          </w:tcPr>
          <w:p>
            <w:pPr>
              <w:spacing w:after="0"/>
              <w:rPr>
                <w:sz w:val="21"/>
                <w:szCs w:val="21"/>
                <w:color w:val="auto"/>
              </w:rPr>
            </w:pPr>
          </w:p>
        </w:tc>
        <w:tc>
          <w:tcPr>
            <w:tcW w:w="146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w:t>
            </w:r>
          </w:p>
        </w:tc>
      </w:tr>
      <w:tr>
        <w:trPr>
          <w:trHeight w:val="87"/>
        </w:trPr>
        <w:tc>
          <w:tcPr>
            <w:tcW w:w="960" w:type="dxa"/>
            <w:vAlign w:val="bottom"/>
            <w:tcBorders>
              <w:left w:val="single" w:sz="8" w:color="auto"/>
              <w:bottom w:val="single" w:sz="8" w:color="auto"/>
              <w:right w:val="single" w:sz="8" w:color="auto"/>
            </w:tcBorders>
          </w:tcPr>
          <w:p>
            <w:pPr>
              <w:spacing w:after="0"/>
              <w:rPr>
                <w:sz w:val="7"/>
                <w:szCs w:val="7"/>
                <w:color w:val="auto"/>
              </w:rPr>
            </w:pPr>
          </w:p>
        </w:tc>
        <w:tc>
          <w:tcPr>
            <w:tcW w:w="1640" w:type="dxa"/>
            <w:vAlign w:val="bottom"/>
            <w:tcBorders>
              <w:bottom w:val="single" w:sz="8" w:color="auto"/>
              <w:right w:val="single" w:sz="8" w:color="auto"/>
            </w:tcBorders>
          </w:tcPr>
          <w:p>
            <w:pPr>
              <w:spacing w:after="0"/>
              <w:rPr>
                <w:sz w:val="7"/>
                <w:szCs w:val="7"/>
                <w:color w:val="auto"/>
              </w:rPr>
            </w:pPr>
          </w:p>
        </w:tc>
        <w:tc>
          <w:tcPr>
            <w:tcW w:w="1160" w:type="dxa"/>
            <w:vAlign w:val="bottom"/>
            <w:tcBorders>
              <w:bottom w:val="single" w:sz="8" w:color="auto"/>
              <w:right w:val="single" w:sz="8" w:color="auto"/>
            </w:tcBorders>
          </w:tcPr>
          <w:p>
            <w:pPr>
              <w:spacing w:after="0"/>
              <w:rPr>
                <w:sz w:val="7"/>
                <w:szCs w:val="7"/>
                <w:color w:val="auto"/>
              </w:rPr>
            </w:pPr>
          </w:p>
        </w:tc>
        <w:tc>
          <w:tcPr>
            <w:tcW w:w="1220" w:type="dxa"/>
            <w:vAlign w:val="bottom"/>
            <w:tcBorders>
              <w:bottom w:val="single" w:sz="8" w:color="auto"/>
              <w:right w:val="single" w:sz="8" w:color="auto"/>
            </w:tcBorders>
          </w:tcPr>
          <w:p>
            <w:pPr>
              <w:spacing w:after="0"/>
              <w:rPr>
                <w:sz w:val="7"/>
                <w:szCs w:val="7"/>
                <w:color w:val="auto"/>
              </w:rPr>
            </w:pPr>
          </w:p>
        </w:tc>
        <w:tc>
          <w:tcPr>
            <w:tcW w:w="700" w:type="dxa"/>
            <w:vAlign w:val="bottom"/>
            <w:tcBorders>
              <w:bottom w:val="single" w:sz="8" w:color="auto"/>
              <w:right w:val="single" w:sz="8" w:color="auto"/>
            </w:tcBorders>
          </w:tcPr>
          <w:p>
            <w:pPr>
              <w:spacing w:after="0"/>
              <w:rPr>
                <w:sz w:val="7"/>
                <w:szCs w:val="7"/>
                <w:color w:val="auto"/>
              </w:rPr>
            </w:pPr>
          </w:p>
        </w:tc>
        <w:tc>
          <w:tcPr>
            <w:tcW w:w="1660" w:type="dxa"/>
            <w:vAlign w:val="bottom"/>
            <w:tcBorders>
              <w:bottom w:val="single" w:sz="8" w:color="auto"/>
            </w:tcBorders>
          </w:tcPr>
          <w:p>
            <w:pPr>
              <w:spacing w:after="0"/>
              <w:rPr>
                <w:sz w:val="7"/>
                <w:szCs w:val="7"/>
                <w:color w:val="auto"/>
              </w:rPr>
            </w:pPr>
          </w:p>
        </w:tc>
        <w:tc>
          <w:tcPr>
            <w:tcW w:w="1460" w:type="dxa"/>
            <w:vAlign w:val="bottom"/>
            <w:tcBorders>
              <w:bottom w:val="single" w:sz="8" w:color="auto"/>
              <w:right w:val="single" w:sz="8" w:color="auto"/>
            </w:tcBorders>
          </w:tcPr>
          <w:p>
            <w:pPr>
              <w:spacing w:after="0"/>
              <w:rPr>
                <w:sz w:val="7"/>
                <w:szCs w:val="7"/>
                <w:color w:val="auto"/>
              </w:rPr>
            </w:pPr>
          </w:p>
        </w:tc>
        <w:tc>
          <w:tcPr>
            <w:tcW w:w="1460" w:type="dxa"/>
            <w:vAlign w:val="bottom"/>
            <w:tcBorders>
              <w:bottom w:val="single" w:sz="8" w:color="auto"/>
              <w:right w:val="single" w:sz="8" w:color="auto"/>
            </w:tcBorders>
          </w:tcPr>
          <w:p>
            <w:pPr>
              <w:spacing w:after="0"/>
              <w:rPr>
                <w:sz w:val="7"/>
                <w:szCs w:val="7"/>
                <w:color w:val="auto"/>
              </w:rPr>
            </w:pPr>
          </w:p>
        </w:tc>
      </w:tr>
      <w:tr>
        <w:trPr>
          <w:trHeight w:val="244"/>
        </w:trPr>
        <w:tc>
          <w:tcPr>
            <w:tcW w:w="9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w:t>
            </w:r>
          </w:p>
        </w:tc>
        <w:tc>
          <w:tcPr>
            <w:tcW w:w="164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w:t>
            </w:r>
          </w:p>
        </w:tc>
        <w:tc>
          <w:tcPr>
            <w:tcW w:w="116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w:t>
            </w:r>
          </w:p>
        </w:tc>
        <w:tc>
          <w:tcPr>
            <w:tcW w:w="122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w:t>
            </w:r>
          </w:p>
        </w:tc>
        <w:tc>
          <w:tcPr>
            <w:tcW w:w="700" w:type="dxa"/>
            <w:vAlign w:val="bottom"/>
            <w:tcBorders>
              <w:right w:val="single" w:sz="8" w:color="auto"/>
            </w:tcBorders>
          </w:tcPr>
          <w:p>
            <w:pPr>
              <w:spacing w:after="0"/>
              <w:rPr>
                <w:sz w:val="21"/>
                <w:szCs w:val="21"/>
                <w:color w:val="auto"/>
              </w:rPr>
            </w:pPr>
          </w:p>
        </w:tc>
        <w:tc>
          <w:tcPr>
            <w:tcW w:w="1660" w:type="dxa"/>
            <w:vAlign w:val="bottom"/>
          </w:tcPr>
          <w:p>
            <w:pPr>
              <w:spacing w:after="0"/>
              <w:rPr>
                <w:sz w:val="21"/>
                <w:szCs w:val="21"/>
                <w:color w:val="auto"/>
              </w:rPr>
            </w:pPr>
          </w:p>
        </w:tc>
        <w:tc>
          <w:tcPr>
            <w:tcW w:w="1460" w:type="dxa"/>
            <w:vAlign w:val="bottom"/>
            <w:tcBorders>
              <w:right w:val="single" w:sz="8" w:color="auto"/>
            </w:tcBorders>
          </w:tcPr>
          <w:p>
            <w:pPr>
              <w:spacing w:after="0"/>
              <w:rPr>
                <w:sz w:val="21"/>
                <w:szCs w:val="21"/>
                <w:color w:val="auto"/>
              </w:rPr>
            </w:pPr>
          </w:p>
        </w:tc>
        <w:tc>
          <w:tcPr>
            <w:tcW w:w="146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w:t>
            </w:r>
          </w:p>
        </w:tc>
      </w:tr>
      <w:tr>
        <w:trPr>
          <w:trHeight w:val="87"/>
        </w:trPr>
        <w:tc>
          <w:tcPr>
            <w:tcW w:w="960" w:type="dxa"/>
            <w:vAlign w:val="bottom"/>
            <w:tcBorders>
              <w:left w:val="single" w:sz="8" w:color="auto"/>
              <w:bottom w:val="single" w:sz="8" w:color="auto"/>
              <w:right w:val="single" w:sz="8" w:color="auto"/>
            </w:tcBorders>
          </w:tcPr>
          <w:p>
            <w:pPr>
              <w:spacing w:after="0"/>
              <w:rPr>
                <w:sz w:val="7"/>
                <w:szCs w:val="7"/>
                <w:color w:val="auto"/>
              </w:rPr>
            </w:pPr>
          </w:p>
        </w:tc>
        <w:tc>
          <w:tcPr>
            <w:tcW w:w="1640" w:type="dxa"/>
            <w:vAlign w:val="bottom"/>
            <w:tcBorders>
              <w:bottom w:val="single" w:sz="8" w:color="auto"/>
              <w:right w:val="single" w:sz="8" w:color="auto"/>
            </w:tcBorders>
          </w:tcPr>
          <w:p>
            <w:pPr>
              <w:spacing w:after="0"/>
              <w:rPr>
                <w:sz w:val="7"/>
                <w:szCs w:val="7"/>
                <w:color w:val="auto"/>
              </w:rPr>
            </w:pPr>
          </w:p>
        </w:tc>
        <w:tc>
          <w:tcPr>
            <w:tcW w:w="1160" w:type="dxa"/>
            <w:vAlign w:val="bottom"/>
            <w:tcBorders>
              <w:bottom w:val="single" w:sz="8" w:color="auto"/>
              <w:right w:val="single" w:sz="8" w:color="auto"/>
            </w:tcBorders>
          </w:tcPr>
          <w:p>
            <w:pPr>
              <w:spacing w:after="0"/>
              <w:rPr>
                <w:sz w:val="7"/>
                <w:szCs w:val="7"/>
                <w:color w:val="auto"/>
              </w:rPr>
            </w:pPr>
          </w:p>
        </w:tc>
        <w:tc>
          <w:tcPr>
            <w:tcW w:w="1220" w:type="dxa"/>
            <w:vAlign w:val="bottom"/>
            <w:tcBorders>
              <w:bottom w:val="single" w:sz="8" w:color="auto"/>
              <w:right w:val="single" w:sz="8" w:color="auto"/>
            </w:tcBorders>
          </w:tcPr>
          <w:p>
            <w:pPr>
              <w:spacing w:after="0"/>
              <w:rPr>
                <w:sz w:val="7"/>
                <w:szCs w:val="7"/>
                <w:color w:val="auto"/>
              </w:rPr>
            </w:pPr>
          </w:p>
        </w:tc>
        <w:tc>
          <w:tcPr>
            <w:tcW w:w="700" w:type="dxa"/>
            <w:vAlign w:val="bottom"/>
            <w:tcBorders>
              <w:bottom w:val="single" w:sz="8" w:color="auto"/>
              <w:right w:val="single" w:sz="8" w:color="auto"/>
            </w:tcBorders>
          </w:tcPr>
          <w:p>
            <w:pPr>
              <w:spacing w:after="0"/>
              <w:rPr>
                <w:sz w:val="7"/>
                <w:szCs w:val="7"/>
                <w:color w:val="auto"/>
              </w:rPr>
            </w:pPr>
          </w:p>
        </w:tc>
        <w:tc>
          <w:tcPr>
            <w:tcW w:w="1660" w:type="dxa"/>
            <w:vAlign w:val="bottom"/>
            <w:tcBorders>
              <w:bottom w:val="single" w:sz="8" w:color="auto"/>
            </w:tcBorders>
          </w:tcPr>
          <w:p>
            <w:pPr>
              <w:spacing w:after="0"/>
              <w:rPr>
                <w:sz w:val="7"/>
                <w:szCs w:val="7"/>
                <w:color w:val="auto"/>
              </w:rPr>
            </w:pPr>
          </w:p>
        </w:tc>
        <w:tc>
          <w:tcPr>
            <w:tcW w:w="1460" w:type="dxa"/>
            <w:vAlign w:val="bottom"/>
            <w:tcBorders>
              <w:bottom w:val="single" w:sz="8" w:color="auto"/>
              <w:right w:val="single" w:sz="8" w:color="auto"/>
            </w:tcBorders>
          </w:tcPr>
          <w:p>
            <w:pPr>
              <w:spacing w:after="0"/>
              <w:rPr>
                <w:sz w:val="7"/>
                <w:szCs w:val="7"/>
                <w:color w:val="auto"/>
              </w:rPr>
            </w:pPr>
          </w:p>
        </w:tc>
        <w:tc>
          <w:tcPr>
            <w:tcW w:w="1460" w:type="dxa"/>
            <w:vAlign w:val="bottom"/>
            <w:tcBorders>
              <w:bottom w:val="single" w:sz="8" w:color="auto"/>
              <w:right w:val="single" w:sz="8" w:color="auto"/>
            </w:tcBorders>
          </w:tcPr>
          <w:p>
            <w:pPr>
              <w:spacing w:after="0"/>
              <w:rPr>
                <w:sz w:val="7"/>
                <w:szCs w:val="7"/>
                <w:color w:val="auto"/>
              </w:rPr>
            </w:pPr>
          </w:p>
        </w:tc>
      </w:tr>
      <w:tr>
        <w:trPr>
          <w:trHeight w:val="244"/>
        </w:trPr>
        <w:tc>
          <w:tcPr>
            <w:tcW w:w="9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w:t>
            </w:r>
          </w:p>
        </w:tc>
        <w:tc>
          <w:tcPr>
            <w:tcW w:w="164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w:t>
            </w:r>
          </w:p>
        </w:tc>
        <w:tc>
          <w:tcPr>
            <w:tcW w:w="116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w:t>
            </w:r>
          </w:p>
        </w:tc>
        <w:tc>
          <w:tcPr>
            <w:tcW w:w="122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w:t>
            </w:r>
          </w:p>
        </w:tc>
        <w:tc>
          <w:tcPr>
            <w:tcW w:w="700" w:type="dxa"/>
            <w:vAlign w:val="bottom"/>
            <w:tcBorders>
              <w:right w:val="single" w:sz="8" w:color="auto"/>
            </w:tcBorders>
          </w:tcPr>
          <w:p>
            <w:pPr>
              <w:spacing w:after="0"/>
              <w:rPr>
                <w:sz w:val="21"/>
                <w:szCs w:val="21"/>
                <w:color w:val="auto"/>
              </w:rPr>
            </w:pPr>
          </w:p>
        </w:tc>
        <w:tc>
          <w:tcPr>
            <w:tcW w:w="1660" w:type="dxa"/>
            <w:vAlign w:val="bottom"/>
          </w:tcPr>
          <w:p>
            <w:pPr>
              <w:spacing w:after="0"/>
              <w:rPr>
                <w:sz w:val="21"/>
                <w:szCs w:val="21"/>
                <w:color w:val="auto"/>
              </w:rPr>
            </w:pPr>
          </w:p>
        </w:tc>
        <w:tc>
          <w:tcPr>
            <w:tcW w:w="1460" w:type="dxa"/>
            <w:vAlign w:val="bottom"/>
            <w:tcBorders>
              <w:right w:val="single" w:sz="8" w:color="auto"/>
            </w:tcBorders>
          </w:tcPr>
          <w:p>
            <w:pPr>
              <w:spacing w:after="0"/>
              <w:rPr>
                <w:sz w:val="21"/>
                <w:szCs w:val="21"/>
                <w:color w:val="auto"/>
              </w:rPr>
            </w:pPr>
          </w:p>
        </w:tc>
        <w:tc>
          <w:tcPr>
            <w:tcW w:w="146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w:t>
            </w:r>
          </w:p>
        </w:tc>
      </w:tr>
      <w:tr>
        <w:trPr>
          <w:trHeight w:val="87"/>
        </w:trPr>
        <w:tc>
          <w:tcPr>
            <w:tcW w:w="960" w:type="dxa"/>
            <w:vAlign w:val="bottom"/>
            <w:tcBorders>
              <w:left w:val="single" w:sz="8" w:color="auto"/>
              <w:bottom w:val="single" w:sz="8" w:color="auto"/>
              <w:right w:val="single" w:sz="8" w:color="auto"/>
            </w:tcBorders>
          </w:tcPr>
          <w:p>
            <w:pPr>
              <w:spacing w:after="0"/>
              <w:rPr>
                <w:sz w:val="7"/>
                <w:szCs w:val="7"/>
                <w:color w:val="auto"/>
              </w:rPr>
            </w:pPr>
          </w:p>
        </w:tc>
        <w:tc>
          <w:tcPr>
            <w:tcW w:w="1640" w:type="dxa"/>
            <w:vAlign w:val="bottom"/>
            <w:tcBorders>
              <w:bottom w:val="single" w:sz="8" w:color="auto"/>
              <w:right w:val="single" w:sz="8" w:color="auto"/>
            </w:tcBorders>
          </w:tcPr>
          <w:p>
            <w:pPr>
              <w:spacing w:after="0"/>
              <w:rPr>
                <w:sz w:val="7"/>
                <w:szCs w:val="7"/>
                <w:color w:val="auto"/>
              </w:rPr>
            </w:pPr>
          </w:p>
        </w:tc>
        <w:tc>
          <w:tcPr>
            <w:tcW w:w="1160" w:type="dxa"/>
            <w:vAlign w:val="bottom"/>
            <w:tcBorders>
              <w:bottom w:val="single" w:sz="8" w:color="auto"/>
              <w:right w:val="single" w:sz="8" w:color="auto"/>
            </w:tcBorders>
          </w:tcPr>
          <w:p>
            <w:pPr>
              <w:spacing w:after="0"/>
              <w:rPr>
                <w:sz w:val="7"/>
                <w:szCs w:val="7"/>
                <w:color w:val="auto"/>
              </w:rPr>
            </w:pPr>
          </w:p>
        </w:tc>
        <w:tc>
          <w:tcPr>
            <w:tcW w:w="1220" w:type="dxa"/>
            <w:vAlign w:val="bottom"/>
            <w:tcBorders>
              <w:bottom w:val="single" w:sz="8" w:color="auto"/>
              <w:right w:val="single" w:sz="8" w:color="auto"/>
            </w:tcBorders>
          </w:tcPr>
          <w:p>
            <w:pPr>
              <w:spacing w:after="0"/>
              <w:rPr>
                <w:sz w:val="7"/>
                <w:szCs w:val="7"/>
                <w:color w:val="auto"/>
              </w:rPr>
            </w:pPr>
          </w:p>
        </w:tc>
        <w:tc>
          <w:tcPr>
            <w:tcW w:w="700" w:type="dxa"/>
            <w:vAlign w:val="bottom"/>
            <w:tcBorders>
              <w:bottom w:val="single" w:sz="8" w:color="auto"/>
              <w:right w:val="single" w:sz="8" w:color="auto"/>
            </w:tcBorders>
          </w:tcPr>
          <w:p>
            <w:pPr>
              <w:spacing w:after="0"/>
              <w:rPr>
                <w:sz w:val="7"/>
                <w:szCs w:val="7"/>
                <w:color w:val="auto"/>
              </w:rPr>
            </w:pPr>
          </w:p>
        </w:tc>
        <w:tc>
          <w:tcPr>
            <w:tcW w:w="1660" w:type="dxa"/>
            <w:vAlign w:val="bottom"/>
            <w:tcBorders>
              <w:bottom w:val="single" w:sz="8" w:color="auto"/>
            </w:tcBorders>
          </w:tcPr>
          <w:p>
            <w:pPr>
              <w:spacing w:after="0"/>
              <w:rPr>
                <w:sz w:val="7"/>
                <w:szCs w:val="7"/>
                <w:color w:val="auto"/>
              </w:rPr>
            </w:pPr>
          </w:p>
        </w:tc>
        <w:tc>
          <w:tcPr>
            <w:tcW w:w="1460" w:type="dxa"/>
            <w:vAlign w:val="bottom"/>
            <w:tcBorders>
              <w:bottom w:val="single" w:sz="8" w:color="auto"/>
              <w:right w:val="single" w:sz="8" w:color="auto"/>
            </w:tcBorders>
          </w:tcPr>
          <w:p>
            <w:pPr>
              <w:spacing w:after="0"/>
              <w:rPr>
                <w:sz w:val="7"/>
                <w:szCs w:val="7"/>
                <w:color w:val="auto"/>
              </w:rPr>
            </w:pPr>
          </w:p>
        </w:tc>
        <w:tc>
          <w:tcPr>
            <w:tcW w:w="1460" w:type="dxa"/>
            <w:vAlign w:val="bottom"/>
            <w:tcBorders>
              <w:bottom w:val="single" w:sz="8" w:color="auto"/>
              <w:right w:val="single" w:sz="8" w:color="auto"/>
            </w:tcBorders>
          </w:tcPr>
          <w:p>
            <w:pPr>
              <w:spacing w:after="0"/>
              <w:rPr>
                <w:sz w:val="7"/>
                <w:szCs w:val="7"/>
                <w:color w:val="auto"/>
              </w:rPr>
            </w:pPr>
          </w:p>
        </w:tc>
      </w:tr>
      <w:tr>
        <w:trPr>
          <w:trHeight w:val="244"/>
        </w:trPr>
        <w:tc>
          <w:tcPr>
            <w:tcW w:w="9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w:t>
            </w:r>
          </w:p>
        </w:tc>
        <w:tc>
          <w:tcPr>
            <w:tcW w:w="164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w:t>
            </w:r>
          </w:p>
        </w:tc>
        <w:tc>
          <w:tcPr>
            <w:tcW w:w="116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w:t>
            </w:r>
          </w:p>
        </w:tc>
        <w:tc>
          <w:tcPr>
            <w:tcW w:w="122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w:t>
            </w:r>
          </w:p>
        </w:tc>
        <w:tc>
          <w:tcPr>
            <w:tcW w:w="700" w:type="dxa"/>
            <w:vAlign w:val="bottom"/>
            <w:tcBorders>
              <w:right w:val="single" w:sz="8" w:color="auto"/>
            </w:tcBorders>
          </w:tcPr>
          <w:p>
            <w:pPr>
              <w:spacing w:after="0"/>
              <w:rPr>
                <w:sz w:val="21"/>
                <w:szCs w:val="21"/>
                <w:color w:val="auto"/>
              </w:rPr>
            </w:pPr>
          </w:p>
        </w:tc>
        <w:tc>
          <w:tcPr>
            <w:tcW w:w="1660" w:type="dxa"/>
            <w:vAlign w:val="bottom"/>
          </w:tcPr>
          <w:p>
            <w:pPr>
              <w:spacing w:after="0"/>
              <w:rPr>
                <w:sz w:val="21"/>
                <w:szCs w:val="21"/>
                <w:color w:val="auto"/>
              </w:rPr>
            </w:pPr>
          </w:p>
        </w:tc>
        <w:tc>
          <w:tcPr>
            <w:tcW w:w="1460" w:type="dxa"/>
            <w:vAlign w:val="bottom"/>
            <w:tcBorders>
              <w:right w:val="single" w:sz="8" w:color="auto"/>
            </w:tcBorders>
          </w:tcPr>
          <w:p>
            <w:pPr>
              <w:spacing w:after="0"/>
              <w:rPr>
                <w:sz w:val="21"/>
                <w:szCs w:val="21"/>
                <w:color w:val="auto"/>
              </w:rPr>
            </w:pPr>
          </w:p>
        </w:tc>
        <w:tc>
          <w:tcPr>
            <w:tcW w:w="146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w:t>
            </w:r>
          </w:p>
        </w:tc>
      </w:tr>
      <w:tr>
        <w:trPr>
          <w:trHeight w:val="87"/>
        </w:trPr>
        <w:tc>
          <w:tcPr>
            <w:tcW w:w="960" w:type="dxa"/>
            <w:vAlign w:val="bottom"/>
            <w:tcBorders>
              <w:left w:val="single" w:sz="8" w:color="auto"/>
              <w:bottom w:val="single" w:sz="8" w:color="auto"/>
              <w:right w:val="single" w:sz="8" w:color="auto"/>
            </w:tcBorders>
          </w:tcPr>
          <w:p>
            <w:pPr>
              <w:spacing w:after="0"/>
              <w:rPr>
                <w:sz w:val="7"/>
                <w:szCs w:val="7"/>
                <w:color w:val="auto"/>
              </w:rPr>
            </w:pPr>
          </w:p>
        </w:tc>
        <w:tc>
          <w:tcPr>
            <w:tcW w:w="1640" w:type="dxa"/>
            <w:vAlign w:val="bottom"/>
            <w:tcBorders>
              <w:bottom w:val="single" w:sz="8" w:color="auto"/>
              <w:right w:val="single" w:sz="8" w:color="auto"/>
            </w:tcBorders>
          </w:tcPr>
          <w:p>
            <w:pPr>
              <w:spacing w:after="0"/>
              <w:rPr>
                <w:sz w:val="7"/>
                <w:szCs w:val="7"/>
                <w:color w:val="auto"/>
              </w:rPr>
            </w:pPr>
          </w:p>
        </w:tc>
        <w:tc>
          <w:tcPr>
            <w:tcW w:w="1160" w:type="dxa"/>
            <w:vAlign w:val="bottom"/>
            <w:tcBorders>
              <w:bottom w:val="single" w:sz="8" w:color="auto"/>
              <w:right w:val="single" w:sz="8" w:color="auto"/>
            </w:tcBorders>
          </w:tcPr>
          <w:p>
            <w:pPr>
              <w:spacing w:after="0"/>
              <w:rPr>
                <w:sz w:val="7"/>
                <w:szCs w:val="7"/>
                <w:color w:val="auto"/>
              </w:rPr>
            </w:pPr>
          </w:p>
        </w:tc>
        <w:tc>
          <w:tcPr>
            <w:tcW w:w="1220" w:type="dxa"/>
            <w:vAlign w:val="bottom"/>
            <w:tcBorders>
              <w:bottom w:val="single" w:sz="8" w:color="auto"/>
              <w:right w:val="single" w:sz="8" w:color="auto"/>
            </w:tcBorders>
          </w:tcPr>
          <w:p>
            <w:pPr>
              <w:spacing w:after="0"/>
              <w:rPr>
                <w:sz w:val="7"/>
                <w:szCs w:val="7"/>
                <w:color w:val="auto"/>
              </w:rPr>
            </w:pPr>
          </w:p>
        </w:tc>
        <w:tc>
          <w:tcPr>
            <w:tcW w:w="700" w:type="dxa"/>
            <w:vAlign w:val="bottom"/>
            <w:tcBorders>
              <w:bottom w:val="single" w:sz="8" w:color="auto"/>
              <w:right w:val="single" w:sz="8" w:color="auto"/>
            </w:tcBorders>
          </w:tcPr>
          <w:p>
            <w:pPr>
              <w:spacing w:after="0"/>
              <w:rPr>
                <w:sz w:val="7"/>
                <w:szCs w:val="7"/>
                <w:color w:val="auto"/>
              </w:rPr>
            </w:pPr>
          </w:p>
        </w:tc>
        <w:tc>
          <w:tcPr>
            <w:tcW w:w="1660" w:type="dxa"/>
            <w:vAlign w:val="bottom"/>
            <w:tcBorders>
              <w:bottom w:val="single" w:sz="8" w:color="auto"/>
            </w:tcBorders>
          </w:tcPr>
          <w:p>
            <w:pPr>
              <w:spacing w:after="0"/>
              <w:rPr>
                <w:sz w:val="7"/>
                <w:szCs w:val="7"/>
                <w:color w:val="auto"/>
              </w:rPr>
            </w:pPr>
          </w:p>
        </w:tc>
        <w:tc>
          <w:tcPr>
            <w:tcW w:w="1460" w:type="dxa"/>
            <w:vAlign w:val="bottom"/>
            <w:tcBorders>
              <w:bottom w:val="single" w:sz="8" w:color="auto"/>
              <w:right w:val="single" w:sz="8" w:color="auto"/>
            </w:tcBorders>
          </w:tcPr>
          <w:p>
            <w:pPr>
              <w:spacing w:after="0"/>
              <w:rPr>
                <w:sz w:val="7"/>
                <w:szCs w:val="7"/>
                <w:color w:val="auto"/>
              </w:rPr>
            </w:pPr>
          </w:p>
        </w:tc>
        <w:tc>
          <w:tcPr>
            <w:tcW w:w="1460" w:type="dxa"/>
            <w:vAlign w:val="bottom"/>
            <w:tcBorders>
              <w:bottom w:val="single" w:sz="8" w:color="auto"/>
              <w:right w:val="single" w:sz="8" w:color="auto"/>
            </w:tcBorders>
          </w:tcPr>
          <w:p>
            <w:pPr>
              <w:spacing w:after="0"/>
              <w:rPr>
                <w:sz w:val="7"/>
                <w:szCs w:val="7"/>
                <w:color w:val="auto"/>
              </w:rPr>
            </w:pPr>
          </w:p>
        </w:tc>
      </w:tr>
      <w:tr>
        <w:trPr>
          <w:trHeight w:val="244"/>
        </w:trPr>
        <w:tc>
          <w:tcPr>
            <w:tcW w:w="9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w:t>
            </w:r>
          </w:p>
        </w:tc>
        <w:tc>
          <w:tcPr>
            <w:tcW w:w="164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w:t>
            </w:r>
          </w:p>
        </w:tc>
        <w:tc>
          <w:tcPr>
            <w:tcW w:w="116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w:t>
            </w:r>
          </w:p>
        </w:tc>
        <w:tc>
          <w:tcPr>
            <w:tcW w:w="122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w:t>
            </w:r>
          </w:p>
        </w:tc>
        <w:tc>
          <w:tcPr>
            <w:tcW w:w="700" w:type="dxa"/>
            <w:vAlign w:val="bottom"/>
            <w:tcBorders>
              <w:right w:val="single" w:sz="8" w:color="auto"/>
            </w:tcBorders>
          </w:tcPr>
          <w:p>
            <w:pPr>
              <w:spacing w:after="0"/>
              <w:rPr>
                <w:sz w:val="21"/>
                <w:szCs w:val="21"/>
                <w:color w:val="auto"/>
              </w:rPr>
            </w:pPr>
          </w:p>
        </w:tc>
        <w:tc>
          <w:tcPr>
            <w:tcW w:w="1660" w:type="dxa"/>
            <w:vAlign w:val="bottom"/>
          </w:tcPr>
          <w:p>
            <w:pPr>
              <w:spacing w:after="0"/>
              <w:rPr>
                <w:sz w:val="21"/>
                <w:szCs w:val="21"/>
                <w:color w:val="auto"/>
              </w:rPr>
            </w:pPr>
          </w:p>
        </w:tc>
        <w:tc>
          <w:tcPr>
            <w:tcW w:w="1460" w:type="dxa"/>
            <w:vAlign w:val="bottom"/>
            <w:tcBorders>
              <w:right w:val="single" w:sz="8" w:color="auto"/>
            </w:tcBorders>
          </w:tcPr>
          <w:p>
            <w:pPr>
              <w:spacing w:after="0"/>
              <w:rPr>
                <w:sz w:val="21"/>
                <w:szCs w:val="21"/>
                <w:color w:val="auto"/>
              </w:rPr>
            </w:pPr>
          </w:p>
        </w:tc>
        <w:tc>
          <w:tcPr>
            <w:tcW w:w="146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w:t>
            </w:r>
          </w:p>
        </w:tc>
      </w:tr>
      <w:tr>
        <w:trPr>
          <w:trHeight w:val="87"/>
        </w:trPr>
        <w:tc>
          <w:tcPr>
            <w:tcW w:w="960" w:type="dxa"/>
            <w:vAlign w:val="bottom"/>
            <w:tcBorders>
              <w:left w:val="single" w:sz="8" w:color="auto"/>
              <w:bottom w:val="single" w:sz="8" w:color="auto"/>
              <w:right w:val="single" w:sz="8" w:color="auto"/>
            </w:tcBorders>
          </w:tcPr>
          <w:p>
            <w:pPr>
              <w:spacing w:after="0"/>
              <w:rPr>
                <w:sz w:val="7"/>
                <w:szCs w:val="7"/>
                <w:color w:val="auto"/>
              </w:rPr>
            </w:pPr>
          </w:p>
        </w:tc>
        <w:tc>
          <w:tcPr>
            <w:tcW w:w="1640" w:type="dxa"/>
            <w:vAlign w:val="bottom"/>
            <w:tcBorders>
              <w:bottom w:val="single" w:sz="8" w:color="auto"/>
              <w:right w:val="single" w:sz="8" w:color="auto"/>
            </w:tcBorders>
          </w:tcPr>
          <w:p>
            <w:pPr>
              <w:spacing w:after="0"/>
              <w:rPr>
                <w:sz w:val="7"/>
                <w:szCs w:val="7"/>
                <w:color w:val="auto"/>
              </w:rPr>
            </w:pPr>
          </w:p>
        </w:tc>
        <w:tc>
          <w:tcPr>
            <w:tcW w:w="1160" w:type="dxa"/>
            <w:vAlign w:val="bottom"/>
            <w:tcBorders>
              <w:bottom w:val="single" w:sz="8" w:color="auto"/>
              <w:right w:val="single" w:sz="8" w:color="auto"/>
            </w:tcBorders>
          </w:tcPr>
          <w:p>
            <w:pPr>
              <w:spacing w:after="0"/>
              <w:rPr>
                <w:sz w:val="7"/>
                <w:szCs w:val="7"/>
                <w:color w:val="auto"/>
              </w:rPr>
            </w:pPr>
          </w:p>
        </w:tc>
        <w:tc>
          <w:tcPr>
            <w:tcW w:w="1220" w:type="dxa"/>
            <w:vAlign w:val="bottom"/>
            <w:tcBorders>
              <w:bottom w:val="single" w:sz="8" w:color="auto"/>
              <w:right w:val="single" w:sz="8" w:color="auto"/>
            </w:tcBorders>
          </w:tcPr>
          <w:p>
            <w:pPr>
              <w:spacing w:after="0"/>
              <w:rPr>
                <w:sz w:val="7"/>
                <w:szCs w:val="7"/>
                <w:color w:val="auto"/>
              </w:rPr>
            </w:pPr>
          </w:p>
        </w:tc>
        <w:tc>
          <w:tcPr>
            <w:tcW w:w="700" w:type="dxa"/>
            <w:vAlign w:val="bottom"/>
            <w:tcBorders>
              <w:bottom w:val="single" w:sz="8" w:color="auto"/>
              <w:right w:val="single" w:sz="8" w:color="auto"/>
            </w:tcBorders>
          </w:tcPr>
          <w:p>
            <w:pPr>
              <w:spacing w:after="0"/>
              <w:rPr>
                <w:sz w:val="7"/>
                <w:szCs w:val="7"/>
                <w:color w:val="auto"/>
              </w:rPr>
            </w:pPr>
          </w:p>
        </w:tc>
        <w:tc>
          <w:tcPr>
            <w:tcW w:w="1660" w:type="dxa"/>
            <w:vAlign w:val="bottom"/>
            <w:tcBorders>
              <w:bottom w:val="single" w:sz="8" w:color="auto"/>
            </w:tcBorders>
          </w:tcPr>
          <w:p>
            <w:pPr>
              <w:spacing w:after="0"/>
              <w:rPr>
                <w:sz w:val="7"/>
                <w:szCs w:val="7"/>
                <w:color w:val="auto"/>
              </w:rPr>
            </w:pPr>
          </w:p>
        </w:tc>
        <w:tc>
          <w:tcPr>
            <w:tcW w:w="1460" w:type="dxa"/>
            <w:vAlign w:val="bottom"/>
            <w:tcBorders>
              <w:bottom w:val="single" w:sz="8" w:color="auto"/>
              <w:right w:val="single" w:sz="8" w:color="auto"/>
            </w:tcBorders>
          </w:tcPr>
          <w:p>
            <w:pPr>
              <w:spacing w:after="0"/>
              <w:rPr>
                <w:sz w:val="7"/>
                <w:szCs w:val="7"/>
                <w:color w:val="auto"/>
              </w:rPr>
            </w:pPr>
          </w:p>
        </w:tc>
        <w:tc>
          <w:tcPr>
            <w:tcW w:w="1460" w:type="dxa"/>
            <w:vAlign w:val="bottom"/>
            <w:tcBorders>
              <w:bottom w:val="single" w:sz="8" w:color="auto"/>
              <w:right w:val="single" w:sz="8" w:color="auto"/>
            </w:tcBorders>
          </w:tcPr>
          <w:p>
            <w:pPr>
              <w:spacing w:after="0"/>
              <w:rPr>
                <w:sz w:val="7"/>
                <w:szCs w:val="7"/>
                <w:color w:val="auto"/>
              </w:rPr>
            </w:pPr>
          </w:p>
        </w:tc>
      </w:tr>
      <w:tr>
        <w:trPr>
          <w:trHeight w:val="244"/>
        </w:trPr>
        <w:tc>
          <w:tcPr>
            <w:tcW w:w="9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w:t>
            </w:r>
          </w:p>
        </w:tc>
        <w:tc>
          <w:tcPr>
            <w:tcW w:w="164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w:t>
            </w:r>
          </w:p>
        </w:tc>
        <w:tc>
          <w:tcPr>
            <w:tcW w:w="116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w:t>
            </w:r>
          </w:p>
        </w:tc>
        <w:tc>
          <w:tcPr>
            <w:tcW w:w="122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w:t>
            </w:r>
          </w:p>
        </w:tc>
        <w:tc>
          <w:tcPr>
            <w:tcW w:w="700" w:type="dxa"/>
            <w:vAlign w:val="bottom"/>
            <w:tcBorders>
              <w:right w:val="single" w:sz="8" w:color="auto"/>
            </w:tcBorders>
          </w:tcPr>
          <w:p>
            <w:pPr>
              <w:spacing w:after="0"/>
              <w:rPr>
                <w:sz w:val="21"/>
                <w:szCs w:val="21"/>
                <w:color w:val="auto"/>
              </w:rPr>
            </w:pPr>
          </w:p>
        </w:tc>
        <w:tc>
          <w:tcPr>
            <w:tcW w:w="1660" w:type="dxa"/>
            <w:vAlign w:val="bottom"/>
          </w:tcPr>
          <w:p>
            <w:pPr>
              <w:spacing w:after="0"/>
              <w:rPr>
                <w:sz w:val="21"/>
                <w:szCs w:val="21"/>
                <w:color w:val="auto"/>
              </w:rPr>
            </w:pPr>
          </w:p>
        </w:tc>
        <w:tc>
          <w:tcPr>
            <w:tcW w:w="1460" w:type="dxa"/>
            <w:vAlign w:val="bottom"/>
            <w:tcBorders>
              <w:right w:val="single" w:sz="8" w:color="auto"/>
            </w:tcBorders>
          </w:tcPr>
          <w:p>
            <w:pPr>
              <w:spacing w:after="0"/>
              <w:rPr>
                <w:sz w:val="21"/>
                <w:szCs w:val="21"/>
                <w:color w:val="auto"/>
              </w:rPr>
            </w:pPr>
          </w:p>
        </w:tc>
        <w:tc>
          <w:tcPr>
            <w:tcW w:w="146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w:t>
            </w:r>
          </w:p>
        </w:tc>
      </w:tr>
      <w:tr>
        <w:trPr>
          <w:trHeight w:val="87"/>
        </w:trPr>
        <w:tc>
          <w:tcPr>
            <w:tcW w:w="960" w:type="dxa"/>
            <w:vAlign w:val="bottom"/>
            <w:tcBorders>
              <w:left w:val="single" w:sz="8" w:color="auto"/>
              <w:bottom w:val="single" w:sz="8" w:color="auto"/>
              <w:right w:val="single" w:sz="8" w:color="auto"/>
            </w:tcBorders>
          </w:tcPr>
          <w:p>
            <w:pPr>
              <w:spacing w:after="0"/>
              <w:rPr>
                <w:sz w:val="7"/>
                <w:szCs w:val="7"/>
                <w:color w:val="auto"/>
              </w:rPr>
            </w:pPr>
          </w:p>
        </w:tc>
        <w:tc>
          <w:tcPr>
            <w:tcW w:w="1640" w:type="dxa"/>
            <w:vAlign w:val="bottom"/>
            <w:tcBorders>
              <w:bottom w:val="single" w:sz="8" w:color="auto"/>
              <w:right w:val="single" w:sz="8" w:color="auto"/>
            </w:tcBorders>
          </w:tcPr>
          <w:p>
            <w:pPr>
              <w:spacing w:after="0"/>
              <w:rPr>
                <w:sz w:val="7"/>
                <w:szCs w:val="7"/>
                <w:color w:val="auto"/>
              </w:rPr>
            </w:pPr>
          </w:p>
        </w:tc>
        <w:tc>
          <w:tcPr>
            <w:tcW w:w="1160" w:type="dxa"/>
            <w:vAlign w:val="bottom"/>
            <w:tcBorders>
              <w:bottom w:val="single" w:sz="8" w:color="auto"/>
              <w:right w:val="single" w:sz="8" w:color="auto"/>
            </w:tcBorders>
          </w:tcPr>
          <w:p>
            <w:pPr>
              <w:spacing w:after="0"/>
              <w:rPr>
                <w:sz w:val="7"/>
                <w:szCs w:val="7"/>
                <w:color w:val="auto"/>
              </w:rPr>
            </w:pPr>
          </w:p>
        </w:tc>
        <w:tc>
          <w:tcPr>
            <w:tcW w:w="1220" w:type="dxa"/>
            <w:vAlign w:val="bottom"/>
            <w:tcBorders>
              <w:bottom w:val="single" w:sz="8" w:color="auto"/>
              <w:right w:val="single" w:sz="8" w:color="auto"/>
            </w:tcBorders>
          </w:tcPr>
          <w:p>
            <w:pPr>
              <w:spacing w:after="0"/>
              <w:rPr>
                <w:sz w:val="7"/>
                <w:szCs w:val="7"/>
                <w:color w:val="auto"/>
              </w:rPr>
            </w:pPr>
          </w:p>
        </w:tc>
        <w:tc>
          <w:tcPr>
            <w:tcW w:w="700" w:type="dxa"/>
            <w:vAlign w:val="bottom"/>
            <w:tcBorders>
              <w:bottom w:val="single" w:sz="8" w:color="auto"/>
              <w:right w:val="single" w:sz="8" w:color="auto"/>
            </w:tcBorders>
          </w:tcPr>
          <w:p>
            <w:pPr>
              <w:spacing w:after="0"/>
              <w:rPr>
                <w:sz w:val="7"/>
                <w:szCs w:val="7"/>
                <w:color w:val="auto"/>
              </w:rPr>
            </w:pPr>
          </w:p>
        </w:tc>
        <w:tc>
          <w:tcPr>
            <w:tcW w:w="1660" w:type="dxa"/>
            <w:vAlign w:val="bottom"/>
            <w:tcBorders>
              <w:bottom w:val="single" w:sz="8" w:color="auto"/>
            </w:tcBorders>
          </w:tcPr>
          <w:p>
            <w:pPr>
              <w:spacing w:after="0"/>
              <w:rPr>
                <w:sz w:val="7"/>
                <w:szCs w:val="7"/>
                <w:color w:val="auto"/>
              </w:rPr>
            </w:pPr>
          </w:p>
        </w:tc>
        <w:tc>
          <w:tcPr>
            <w:tcW w:w="1460" w:type="dxa"/>
            <w:vAlign w:val="bottom"/>
            <w:tcBorders>
              <w:bottom w:val="single" w:sz="8" w:color="auto"/>
              <w:right w:val="single" w:sz="8" w:color="auto"/>
            </w:tcBorders>
          </w:tcPr>
          <w:p>
            <w:pPr>
              <w:spacing w:after="0"/>
              <w:rPr>
                <w:sz w:val="7"/>
                <w:szCs w:val="7"/>
                <w:color w:val="auto"/>
              </w:rPr>
            </w:pPr>
          </w:p>
        </w:tc>
        <w:tc>
          <w:tcPr>
            <w:tcW w:w="1460" w:type="dxa"/>
            <w:vAlign w:val="bottom"/>
            <w:tcBorders>
              <w:bottom w:val="single" w:sz="8" w:color="auto"/>
              <w:right w:val="single" w:sz="8" w:color="auto"/>
            </w:tcBorders>
          </w:tcPr>
          <w:p>
            <w:pPr>
              <w:spacing w:after="0"/>
              <w:rPr>
                <w:sz w:val="7"/>
                <w:szCs w:val="7"/>
                <w:color w:val="auto"/>
              </w:rPr>
            </w:pPr>
          </w:p>
        </w:tc>
      </w:tr>
      <w:tr>
        <w:trPr>
          <w:trHeight w:val="244"/>
        </w:trPr>
        <w:tc>
          <w:tcPr>
            <w:tcW w:w="9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w:t>
            </w:r>
          </w:p>
        </w:tc>
        <w:tc>
          <w:tcPr>
            <w:tcW w:w="164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w:t>
            </w:r>
          </w:p>
        </w:tc>
        <w:tc>
          <w:tcPr>
            <w:tcW w:w="116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w:t>
            </w:r>
          </w:p>
        </w:tc>
        <w:tc>
          <w:tcPr>
            <w:tcW w:w="122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w:t>
            </w:r>
          </w:p>
        </w:tc>
        <w:tc>
          <w:tcPr>
            <w:tcW w:w="700" w:type="dxa"/>
            <w:vAlign w:val="bottom"/>
            <w:tcBorders>
              <w:right w:val="single" w:sz="8" w:color="auto"/>
            </w:tcBorders>
          </w:tcPr>
          <w:p>
            <w:pPr>
              <w:spacing w:after="0"/>
              <w:rPr>
                <w:sz w:val="21"/>
                <w:szCs w:val="21"/>
                <w:color w:val="auto"/>
              </w:rPr>
            </w:pPr>
          </w:p>
        </w:tc>
        <w:tc>
          <w:tcPr>
            <w:tcW w:w="1660" w:type="dxa"/>
            <w:vAlign w:val="bottom"/>
          </w:tcPr>
          <w:p>
            <w:pPr>
              <w:spacing w:after="0"/>
              <w:rPr>
                <w:sz w:val="21"/>
                <w:szCs w:val="21"/>
                <w:color w:val="auto"/>
              </w:rPr>
            </w:pPr>
          </w:p>
        </w:tc>
        <w:tc>
          <w:tcPr>
            <w:tcW w:w="1460" w:type="dxa"/>
            <w:vAlign w:val="bottom"/>
            <w:tcBorders>
              <w:right w:val="single" w:sz="8" w:color="auto"/>
            </w:tcBorders>
          </w:tcPr>
          <w:p>
            <w:pPr>
              <w:spacing w:after="0"/>
              <w:rPr>
                <w:sz w:val="21"/>
                <w:szCs w:val="21"/>
                <w:color w:val="auto"/>
              </w:rPr>
            </w:pPr>
          </w:p>
        </w:tc>
        <w:tc>
          <w:tcPr>
            <w:tcW w:w="146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w:t>
            </w:r>
          </w:p>
        </w:tc>
      </w:tr>
      <w:tr>
        <w:trPr>
          <w:trHeight w:val="87"/>
        </w:trPr>
        <w:tc>
          <w:tcPr>
            <w:tcW w:w="960" w:type="dxa"/>
            <w:vAlign w:val="bottom"/>
            <w:tcBorders>
              <w:left w:val="single" w:sz="8" w:color="auto"/>
              <w:bottom w:val="single" w:sz="8" w:color="auto"/>
              <w:right w:val="single" w:sz="8" w:color="auto"/>
            </w:tcBorders>
          </w:tcPr>
          <w:p>
            <w:pPr>
              <w:spacing w:after="0"/>
              <w:rPr>
                <w:sz w:val="7"/>
                <w:szCs w:val="7"/>
                <w:color w:val="auto"/>
              </w:rPr>
            </w:pPr>
          </w:p>
        </w:tc>
        <w:tc>
          <w:tcPr>
            <w:tcW w:w="1640" w:type="dxa"/>
            <w:vAlign w:val="bottom"/>
            <w:tcBorders>
              <w:bottom w:val="single" w:sz="8" w:color="auto"/>
              <w:right w:val="single" w:sz="8" w:color="auto"/>
            </w:tcBorders>
          </w:tcPr>
          <w:p>
            <w:pPr>
              <w:spacing w:after="0"/>
              <w:rPr>
                <w:sz w:val="7"/>
                <w:szCs w:val="7"/>
                <w:color w:val="auto"/>
              </w:rPr>
            </w:pPr>
          </w:p>
        </w:tc>
        <w:tc>
          <w:tcPr>
            <w:tcW w:w="1160" w:type="dxa"/>
            <w:vAlign w:val="bottom"/>
            <w:tcBorders>
              <w:bottom w:val="single" w:sz="8" w:color="auto"/>
              <w:right w:val="single" w:sz="8" w:color="auto"/>
            </w:tcBorders>
          </w:tcPr>
          <w:p>
            <w:pPr>
              <w:spacing w:after="0"/>
              <w:rPr>
                <w:sz w:val="7"/>
                <w:szCs w:val="7"/>
                <w:color w:val="auto"/>
              </w:rPr>
            </w:pPr>
          </w:p>
        </w:tc>
        <w:tc>
          <w:tcPr>
            <w:tcW w:w="1220" w:type="dxa"/>
            <w:vAlign w:val="bottom"/>
            <w:tcBorders>
              <w:bottom w:val="single" w:sz="8" w:color="auto"/>
              <w:right w:val="single" w:sz="8" w:color="auto"/>
            </w:tcBorders>
          </w:tcPr>
          <w:p>
            <w:pPr>
              <w:spacing w:after="0"/>
              <w:rPr>
                <w:sz w:val="7"/>
                <w:szCs w:val="7"/>
                <w:color w:val="auto"/>
              </w:rPr>
            </w:pPr>
          </w:p>
        </w:tc>
        <w:tc>
          <w:tcPr>
            <w:tcW w:w="700" w:type="dxa"/>
            <w:vAlign w:val="bottom"/>
            <w:tcBorders>
              <w:bottom w:val="single" w:sz="8" w:color="auto"/>
              <w:right w:val="single" w:sz="8" w:color="auto"/>
            </w:tcBorders>
          </w:tcPr>
          <w:p>
            <w:pPr>
              <w:spacing w:after="0"/>
              <w:rPr>
                <w:sz w:val="7"/>
                <w:szCs w:val="7"/>
                <w:color w:val="auto"/>
              </w:rPr>
            </w:pPr>
          </w:p>
        </w:tc>
        <w:tc>
          <w:tcPr>
            <w:tcW w:w="1660" w:type="dxa"/>
            <w:vAlign w:val="bottom"/>
            <w:tcBorders>
              <w:bottom w:val="single" w:sz="8" w:color="auto"/>
            </w:tcBorders>
          </w:tcPr>
          <w:p>
            <w:pPr>
              <w:spacing w:after="0"/>
              <w:rPr>
                <w:sz w:val="7"/>
                <w:szCs w:val="7"/>
                <w:color w:val="auto"/>
              </w:rPr>
            </w:pPr>
          </w:p>
        </w:tc>
        <w:tc>
          <w:tcPr>
            <w:tcW w:w="1460" w:type="dxa"/>
            <w:vAlign w:val="bottom"/>
            <w:tcBorders>
              <w:bottom w:val="single" w:sz="8" w:color="auto"/>
              <w:right w:val="single" w:sz="8" w:color="auto"/>
            </w:tcBorders>
          </w:tcPr>
          <w:p>
            <w:pPr>
              <w:spacing w:after="0"/>
              <w:rPr>
                <w:sz w:val="7"/>
                <w:szCs w:val="7"/>
                <w:color w:val="auto"/>
              </w:rPr>
            </w:pPr>
          </w:p>
        </w:tc>
        <w:tc>
          <w:tcPr>
            <w:tcW w:w="1460" w:type="dxa"/>
            <w:vAlign w:val="bottom"/>
            <w:tcBorders>
              <w:bottom w:val="single" w:sz="8" w:color="auto"/>
              <w:right w:val="single" w:sz="8" w:color="auto"/>
            </w:tcBorders>
          </w:tcPr>
          <w:p>
            <w:pPr>
              <w:spacing w:after="0"/>
              <w:rPr>
                <w:sz w:val="7"/>
                <w:szCs w:val="7"/>
                <w:color w:val="auto"/>
              </w:rPr>
            </w:pPr>
          </w:p>
        </w:tc>
      </w:tr>
      <w:tr>
        <w:trPr>
          <w:trHeight w:val="244"/>
        </w:trPr>
        <w:tc>
          <w:tcPr>
            <w:tcW w:w="9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w:t>
            </w:r>
          </w:p>
        </w:tc>
        <w:tc>
          <w:tcPr>
            <w:tcW w:w="164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w:t>
            </w:r>
          </w:p>
        </w:tc>
        <w:tc>
          <w:tcPr>
            <w:tcW w:w="116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w:t>
            </w:r>
          </w:p>
        </w:tc>
        <w:tc>
          <w:tcPr>
            <w:tcW w:w="122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w:t>
            </w:r>
          </w:p>
        </w:tc>
        <w:tc>
          <w:tcPr>
            <w:tcW w:w="700" w:type="dxa"/>
            <w:vAlign w:val="bottom"/>
            <w:tcBorders>
              <w:right w:val="single" w:sz="8" w:color="auto"/>
            </w:tcBorders>
          </w:tcPr>
          <w:p>
            <w:pPr>
              <w:spacing w:after="0"/>
              <w:rPr>
                <w:sz w:val="21"/>
                <w:szCs w:val="21"/>
                <w:color w:val="auto"/>
              </w:rPr>
            </w:pPr>
          </w:p>
        </w:tc>
        <w:tc>
          <w:tcPr>
            <w:tcW w:w="1660" w:type="dxa"/>
            <w:vAlign w:val="bottom"/>
          </w:tcPr>
          <w:p>
            <w:pPr>
              <w:spacing w:after="0"/>
              <w:rPr>
                <w:sz w:val="21"/>
                <w:szCs w:val="21"/>
                <w:color w:val="auto"/>
              </w:rPr>
            </w:pPr>
          </w:p>
        </w:tc>
        <w:tc>
          <w:tcPr>
            <w:tcW w:w="1460" w:type="dxa"/>
            <w:vAlign w:val="bottom"/>
            <w:tcBorders>
              <w:right w:val="single" w:sz="8" w:color="auto"/>
            </w:tcBorders>
          </w:tcPr>
          <w:p>
            <w:pPr>
              <w:spacing w:after="0"/>
              <w:rPr>
                <w:sz w:val="21"/>
                <w:szCs w:val="21"/>
                <w:color w:val="auto"/>
              </w:rPr>
            </w:pPr>
          </w:p>
        </w:tc>
        <w:tc>
          <w:tcPr>
            <w:tcW w:w="146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w:t>
            </w:r>
          </w:p>
        </w:tc>
      </w:tr>
      <w:tr>
        <w:trPr>
          <w:trHeight w:val="87"/>
        </w:trPr>
        <w:tc>
          <w:tcPr>
            <w:tcW w:w="960" w:type="dxa"/>
            <w:vAlign w:val="bottom"/>
            <w:tcBorders>
              <w:left w:val="single" w:sz="8" w:color="auto"/>
              <w:bottom w:val="single" w:sz="8" w:color="auto"/>
              <w:right w:val="single" w:sz="8" w:color="auto"/>
            </w:tcBorders>
          </w:tcPr>
          <w:p>
            <w:pPr>
              <w:spacing w:after="0"/>
              <w:rPr>
                <w:sz w:val="7"/>
                <w:szCs w:val="7"/>
                <w:color w:val="auto"/>
              </w:rPr>
            </w:pPr>
          </w:p>
        </w:tc>
        <w:tc>
          <w:tcPr>
            <w:tcW w:w="1640" w:type="dxa"/>
            <w:vAlign w:val="bottom"/>
            <w:tcBorders>
              <w:bottom w:val="single" w:sz="8" w:color="auto"/>
              <w:right w:val="single" w:sz="8" w:color="auto"/>
            </w:tcBorders>
          </w:tcPr>
          <w:p>
            <w:pPr>
              <w:spacing w:after="0"/>
              <w:rPr>
                <w:sz w:val="7"/>
                <w:szCs w:val="7"/>
                <w:color w:val="auto"/>
              </w:rPr>
            </w:pPr>
          </w:p>
        </w:tc>
        <w:tc>
          <w:tcPr>
            <w:tcW w:w="1160" w:type="dxa"/>
            <w:vAlign w:val="bottom"/>
            <w:tcBorders>
              <w:bottom w:val="single" w:sz="8" w:color="auto"/>
              <w:right w:val="single" w:sz="8" w:color="auto"/>
            </w:tcBorders>
          </w:tcPr>
          <w:p>
            <w:pPr>
              <w:spacing w:after="0"/>
              <w:rPr>
                <w:sz w:val="7"/>
                <w:szCs w:val="7"/>
                <w:color w:val="auto"/>
              </w:rPr>
            </w:pPr>
          </w:p>
        </w:tc>
        <w:tc>
          <w:tcPr>
            <w:tcW w:w="1220" w:type="dxa"/>
            <w:vAlign w:val="bottom"/>
            <w:tcBorders>
              <w:bottom w:val="single" w:sz="8" w:color="auto"/>
              <w:right w:val="single" w:sz="8" w:color="auto"/>
            </w:tcBorders>
          </w:tcPr>
          <w:p>
            <w:pPr>
              <w:spacing w:after="0"/>
              <w:rPr>
                <w:sz w:val="7"/>
                <w:szCs w:val="7"/>
                <w:color w:val="auto"/>
              </w:rPr>
            </w:pPr>
          </w:p>
        </w:tc>
        <w:tc>
          <w:tcPr>
            <w:tcW w:w="700" w:type="dxa"/>
            <w:vAlign w:val="bottom"/>
            <w:tcBorders>
              <w:bottom w:val="single" w:sz="8" w:color="auto"/>
              <w:right w:val="single" w:sz="8" w:color="auto"/>
            </w:tcBorders>
          </w:tcPr>
          <w:p>
            <w:pPr>
              <w:spacing w:after="0"/>
              <w:rPr>
                <w:sz w:val="7"/>
                <w:szCs w:val="7"/>
                <w:color w:val="auto"/>
              </w:rPr>
            </w:pPr>
          </w:p>
        </w:tc>
        <w:tc>
          <w:tcPr>
            <w:tcW w:w="1660" w:type="dxa"/>
            <w:vAlign w:val="bottom"/>
            <w:tcBorders>
              <w:bottom w:val="single" w:sz="8" w:color="auto"/>
            </w:tcBorders>
          </w:tcPr>
          <w:p>
            <w:pPr>
              <w:spacing w:after="0"/>
              <w:rPr>
                <w:sz w:val="7"/>
                <w:szCs w:val="7"/>
                <w:color w:val="auto"/>
              </w:rPr>
            </w:pPr>
          </w:p>
        </w:tc>
        <w:tc>
          <w:tcPr>
            <w:tcW w:w="1460" w:type="dxa"/>
            <w:vAlign w:val="bottom"/>
            <w:tcBorders>
              <w:bottom w:val="single" w:sz="8" w:color="auto"/>
              <w:right w:val="single" w:sz="8" w:color="auto"/>
            </w:tcBorders>
          </w:tcPr>
          <w:p>
            <w:pPr>
              <w:spacing w:after="0"/>
              <w:rPr>
                <w:sz w:val="7"/>
                <w:szCs w:val="7"/>
                <w:color w:val="auto"/>
              </w:rPr>
            </w:pPr>
          </w:p>
        </w:tc>
        <w:tc>
          <w:tcPr>
            <w:tcW w:w="1460" w:type="dxa"/>
            <w:vAlign w:val="bottom"/>
            <w:tcBorders>
              <w:bottom w:val="single" w:sz="8" w:color="auto"/>
              <w:right w:val="single" w:sz="8" w:color="auto"/>
            </w:tcBorders>
          </w:tcPr>
          <w:p>
            <w:pPr>
              <w:spacing w:after="0"/>
              <w:rPr>
                <w:sz w:val="7"/>
                <w:szCs w:val="7"/>
                <w:color w:val="auto"/>
              </w:rPr>
            </w:pPr>
          </w:p>
        </w:tc>
      </w:tr>
      <w:tr>
        <w:trPr>
          <w:trHeight w:val="244"/>
        </w:trPr>
        <w:tc>
          <w:tcPr>
            <w:tcW w:w="9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w:t>
            </w:r>
          </w:p>
        </w:tc>
        <w:tc>
          <w:tcPr>
            <w:tcW w:w="164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w:t>
            </w:r>
          </w:p>
        </w:tc>
        <w:tc>
          <w:tcPr>
            <w:tcW w:w="116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w:t>
            </w:r>
          </w:p>
        </w:tc>
        <w:tc>
          <w:tcPr>
            <w:tcW w:w="122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w:t>
            </w:r>
          </w:p>
        </w:tc>
        <w:tc>
          <w:tcPr>
            <w:tcW w:w="700" w:type="dxa"/>
            <w:vAlign w:val="bottom"/>
            <w:tcBorders>
              <w:right w:val="single" w:sz="8" w:color="auto"/>
            </w:tcBorders>
          </w:tcPr>
          <w:p>
            <w:pPr>
              <w:spacing w:after="0"/>
              <w:rPr>
                <w:sz w:val="21"/>
                <w:szCs w:val="21"/>
                <w:color w:val="auto"/>
              </w:rPr>
            </w:pPr>
          </w:p>
        </w:tc>
        <w:tc>
          <w:tcPr>
            <w:tcW w:w="1660" w:type="dxa"/>
            <w:vAlign w:val="bottom"/>
          </w:tcPr>
          <w:p>
            <w:pPr>
              <w:spacing w:after="0"/>
              <w:rPr>
                <w:sz w:val="21"/>
                <w:szCs w:val="21"/>
                <w:color w:val="auto"/>
              </w:rPr>
            </w:pPr>
          </w:p>
        </w:tc>
        <w:tc>
          <w:tcPr>
            <w:tcW w:w="1460" w:type="dxa"/>
            <w:vAlign w:val="bottom"/>
            <w:tcBorders>
              <w:right w:val="single" w:sz="8" w:color="auto"/>
            </w:tcBorders>
          </w:tcPr>
          <w:p>
            <w:pPr>
              <w:spacing w:after="0"/>
              <w:rPr>
                <w:sz w:val="21"/>
                <w:szCs w:val="21"/>
                <w:color w:val="auto"/>
              </w:rPr>
            </w:pPr>
          </w:p>
        </w:tc>
        <w:tc>
          <w:tcPr>
            <w:tcW w:w="146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w:t>
            </w:r>
          </w:p>
        </w:tc>
      </w:tr>
      <w:tr>
        <w:trPr>
          <w:trHeight w:val="87"/>
        </w:trPr>
        <w:tc>
          <w:tcPr>
            <w:tcW w:w="960" w:type="dxa"/>
            <w:vAlign w:val="bottom"/>
            <w:tcBorders>
              <w:left w:val="single" w:sz="8" w:color="auto"/>
              <w:bottom w:val="single" w:sz="8" w:color="auto"/>
              <w:right w:val="single" w:sz="8" w:color="auto"/>
            </w:tcBorders>
          </w:tcPr>
          <w:p>
            <w:pPr>
              <w:spacing w:after="0"/>
              <w:rPr>
                <w:sz w:val="7"/>
                <w:szCs w:val="7"/>
                <w:color w:val="auto"/>
              </w:rPr>
            </w:pPr>
          </w:p>
        </w:tc>
        <w:tc>
          <w:tcPr>
            <w:tcW w:w="1640" w:type="dxa"/>
            <w:vAlign w:val="bottom"/>
            <w:tcBorders>
              <w:bottom w:val="single" w:sz="8" w:color="auto"/>
              <w:right w:val="single" w:sz="8" w:color="auto"/>
            </w:tcBorders>
          </w:tcPr>
          <w:p>
            <w:pPr>
              <w:spacing w:after="0"/>
              <w:rPr>
                <w:sz w:val="7"/>
                <w:szCs w:val="7"/>
                <w:color w:val="auto"/>
              </w:rPr>
            </w:pPr>
          </w:p>
        </w:tc>
        <w:tc>
          <w:tcPr>
            <w:tcW w:w="1160" w:type="dxa"/>
            <w:vAlign w:val="bottom"/>
            <w:tcBorders>
              <w:bottom w:val="single" w:sz="8" w:color="auto"/>
              <w:right w:val="single" w:sz="8" w:color="auto"/>
            </w:tcBorders>
          </w:tcPr>
          <w:p>
            <w:pPr>
              <w:spacing w:after="0"/>
              <w:rPr>
                <w:sz w:val="7"/>
                <w:szCs w:val="7"/>
                <w:color w:val="auto"/>
              </w:rPr>
            </w:pPr>
          </w:p>
        </w:tc>
        <w:tc>
          <w:tcPr>
            <w:tcW w:w="1220" w:type="dxa"/>
            <w:vAlign w:val="bottom"/>
            <w:tcBorders>
              <w:bottom w:val="single" w:sz="8" w:color="auto"/>
              <w:right w:val="single" w:sz="8" w:color="auto"/>
            </w:tcBorders>
          </w:tcPr>
          <w:p>
            <w:pPr>
              <w:spacing w:after="0"/>
              <w:rPr>
                <w:sz w:val="7"/>
                <w:szCs w:val="7"/>
                <w:color w:val="auto"/>
              </w:rPr>
            </w:pPr>
          </w:p>
        </w:tc>
        <w:tc>
          <w:tcPr>
            <w:tcW w:w="700" w:type="dxa"/>
            <w:vAlign w:val="bottom"/>
            <w:tcBorders>
              <w:bottom w:val="single" w:sz="8" w:color="auto"/>
              <w:right w:val="single" w:sz="8" w:color="auto"/>
            </w:tcBorders>
          </w:tcPr>
          <w:p>
            <w:pPr>
              <w:spacing w:after="0"/>
              <w:rPr>
                <w:sz w:val="7"/>
                <w:szCs w:val="7"/>
                <w:color w:val="auto"/>
              </w:rPr>
            </w:pPr>
          </w:p>
        </w:tc>
        <w:tc>
          <w:tcPr>
            <w:tcW w:w="1660" w:type="dxa"/>
            <w:vAlign w:val="bottom"/>
            <w:tcBorders>
              <w:bottom w:val="single" w:sz="8" w:color="auto"/>
            </w:tcBorders>
          </w:tcPr>
          <w:p>
            <w:pPr>
              <w:spacing w:after="0"/>
              <w:rPr>
                <w:sz w:val="7"/>
                <w:szCs w:val="7"/>
                <w:color w:val="auto"/>
              </w:rPr>
            </w:pPr>
          </w:p>
        </w:tc>
        <w:tc>
          <w:tcPr>
            <w:tcW w:w="1460" w:type="dxa"/>
            <w:vAlign w:val="bottom"/>
            <w:tcBorders>
              <w:bottom w:val="single" w:sz="8" w:color="auto"/>
              <w:right w:val="single" w:sz="8" w:color="auto"/>
            </w:tcBorders>
          </w:tcPr>
          <w:p>
            <w:pPr>
              <w:spacing w:after="0"/>
              <w:rPr>
                <w:sz w:val="7"/>
                <w:szCs w:val="7"/>
                <w:color w:val="auto"/>
              </w:rPr>
            </w:pPr>
          </w:p>
        </w:tc>
        <w:tc>
          <w:tcPr>
            <w:tcW w:w="1460" w:type="dxa"/>
            <w:vAlign w:val="bottom"/>
            <w:tcBorders>
              <w:bottom w:val="single" w:sz="8" w:color="auto"/>
              <w:right w:val="single" w:sz="8" w:color="auto"/>
            </w:tcBorders>
          </w:tcPr>
          <w:p>
            <w:pPr>
              <w:spacing w:after="0"/>
              <w:rPr>
                <w:sz w:val="7"/>
                <w:szCs w:val="7"/>
                <w:color w:val="auto"/>
              </w:rPr>
            </w:pPr>
          </w:p>
        </w:tc>
      </w:tr>
      <w:tr>
        <w:trPr>
          <w:trHeight w:val="244"/>
        </w:trPr>
        <w:tc>
          <w:tcPr>
            <w:tcW w:w="9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w:t>
            </w:r>
          </w:p>
        </w:tc>
        <w:tc>
          <w:tcPr>
            <w:tcW w:w="164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w:t>
            </w:r>
          </w:p>
        </w:tc>
        <w:tc>
          <w:tcPr>
            <w:tcW w:w="116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w:t>
            </w:r>
          </w:p>
        </w:tc>
        <w:tc>
          <w:tcPr>
            <w:tcW w:w="122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w:t>
            </w:r>
          </w:p>
        </w:tc>
        <w:tc>
          <w:tcPr>
            <w:tcW w:w="700" w:type="dxa"/>
            <w:vAlign w:val="bottom"/>
            <w:tcBorders>
              <w:right w:val="single" w:sz="8" w:color="auto"/>
            </w:tcBorders>
          </w:tcPr>
          <w:p>
            <w:pPr>
              <w:spacing w:after="0"/>
              <w:rPr>
                <w:sz w:val="21"/>
                <w:szCs w:val="21"/>
                <w:color w:val="auto"/>
              </w:rPr>
            </w:pPr>
          </w:p>
        </w:tc>
        <w:tc>
          <w:tcPr>
            <w:tcW w:w="1660" w:type="dxa"/>
            <w:vAlign w:val="bottom"/>
            <w:tcBorders>
              <w:right w:val="single" w:sz="8" w:color="auto"/>
            </w:tcBorders>
          </w:tcPr>
          <w:p>
            <w:pPr>
              <w:spacing w:after="0"/>
              <w:rPr>
                <w:sz w:val="21"/>
                <w:szCs w:val="21"/>
                <w:color w:val="auto"/>
              </w:rPr>
            </w:pPr>
          </w:p>
        </w:tc>
        <w:tc>
          <w:tcPr>
            <w:tcW w:w="2920" w:type="dxa"/>
            <w:vAlign w:val="bottom"/>
            <w:tcBorders>
              <w:right w:val="single" w:sz="8" w:color="auto"/>
            </w:tcBorders>
            <w:gridSpan w:val="2"/>
          </w:tcPr>
          <w:p>
            <w:pPr>
              <w:spacing w:after="0"/>
              <w:rPr>
                <w:sz w:val="20"/>
                <w:szCs w:val="20"/>
                <w:color w:val="auto"/>
              </w:rPr>
            </w:pPr>
            <w:r>
              <w:rPr>
                <w:rFonts w:ascii="Arial" w:cs="Arial" w:eastAsia="Arial" w:hAnsi="Arial"/>
                <w:sz w:val="20"/>
                <w:szCs w:val="20"/>
                <w:color w:val="auto"/>
              </w:rPr>
              <w:t>[†]</w:t>
            </w:r>
          </w:p>
        </w:tc>
      </w:tr>
      <w:tr>
        <w:trPr>
          <w:trHeight w:val="87"/>
        </w:trPr>
        <w:tc>
          <w:tcPr>
            <w:tcW w:w="960" w:type="dxa"/>
            <w:vAlign w:val="bottom"/>
            <w:tcBorders>
              <w:left w:val="single" w:sz="8" w:color="auto"/>
              <w:bottom w:val="single" w:sz="8" w:color="auto"/>
              <w:right w:val="single" w:sz="8" w:color="auto"/>
            </w:tcBorders>
          </w:tcPr>
          <w:p>
            <w:pPr>
              <w:spacing w:after="0"/>
              <w:rPr>
                <w:sz w:val="7"/>
                <w:szCs w:val="7"/>
                <w:color w:val="auto"/>
              </w:rPr>
            </w:pPr>
          </w:p>
        </w:tc>
        <w:tc>
          <w:tcPr>
            <w:tcW w:w="1640" w:type="dxa"/>
            <w:vAlign w:val="bottom"/>
            <w:tcBorders>
              <w:bottom w:val="single" w:sz="8" w:color="auto"/>
              <w:right w:val="single" w:sz="8" w:color="auto"/>
            </w:tcBorders>
          </w:tcPr>
          <w:p>
            <w:pPr>
              <w:spacing w:after="0"/>
              <w:rPr>
                <w:sz w:val="7"/>
                <w:szCs w:val="7"/>
                <w:color w:val="auto"/>
              </w:rPr>
            </w:pPr>
          </w:p>
        </w:tc>
        <w:tc>
          <w:tcPr>
            <w:tcW w:w="1160" w:type="dxa"/>
            <w:vAlign w:val="bottom"/>
            <w:tcBorders>
              <w:bottom w:val="single" w:sz="8" w:color="auto"/>
              <w:right w:val="single" w:sz="8" w:color="auto"/>
            </w:tcBorders>
          </w:tcPr>
          <w:p>
            <w:pPr>
              <w:spacing w:after="0"/>
              <w:rPr>
                <w:sz w:val="7"/>
                <w:szCs w:val="7"/>
                <w:color w:val="auto"/>
              </w:rPr>
            </w:pPr>
          </w:p>
        </w:tc>
        <w:tc>
          <w:tcPr>
            <w:tcW w:w="1220" w:type="dxa"/>
            <w:vAlign w:val="bottom"/>
            <w:tcBorders>
              <w:bottom w:val="single" w:sz="8" w:color="auto"/>
              <w:right w:val="single" w:sz="8" w:color="auto"/>
            </w:tcBorders>
          </w:tcPr>
          <w:p>
            <w:pPr>
              <w:spacing w:after="0"/>
              <w:rPr>
                <w:sz w:val="7"/>
                <w:szCs w:val="7"/>
                <w:color w:val="auto"/>
              </w:rPr>
            </w:pPr>
          </w:p>
        </w:tc>
        <w:tc>
          <w:tcPr>
            <w:tcW w:w="700" w:type="dxa"/>
            <w:vAlign w:val="bottom"/>
            <w:tcBorders>
              <w:bottom w:val="single" w:sz="8" w:color="auto"/>
              <w:right w:val="single" w:sz="8" w:color="auto"/>
            </w:tcBorders>
          </w:tcPr>
          <w:p>
            <w:pPr>
              <w:spacing w:after="0"/>
              <w:rPr>
                <w:sz w:val="7"/>
                <w:szCs w:val="7"/>
                <w:color w:val="auto"/>
              </w:rPr>
            </w:pPr>
          </w:p>
        </w:tc>
        <w:tc>
          <w:tcPr>
            <w:tcW w:w="1660" w:type="dxa"/>
            <w:vAlign w:val="bottom"/>
            <w:tcBorders>
              <w:bottom w:val="single" w:sz="8" w:color="auto"/>
              <w:right w:val="single" w:sz="8" w:color="auto"/>
            </w:tcBorders>
          </w:tcPr>
          <w:p>
            <w:pPr>
              <w:spacing w:after="0"/>
              <w:rPr>
                <w:sz w:val="7"/>
                <w:szCs w:val="7"/>
                <w:color w:val="auto"/>
              </w:rPr>
            </w:pPr>
          </w:p>
        </w:tc>
        <w:tc>
          <w:tcPr>
            <w:tcW w:w="1460" w:type="dxa"/>
            <w:vAlign w:val="bottom"/>
            <w:tcBorders>
              <w:bottom w:val="single" w:sz="8" w:color="auto"/>
            </w:tcBorders>
          </w:tcPr>
          <w:p>
            <w:pPr>
              <w:spacing w:after="0"/>
              <w:rPr>
                <w:sz w:val="7"/>
                <w:szCs w:val="7"/>
                <w:color w:val="auto"/>
              </w:rPr>
            </w:pPr>
          </w:p>
        </w:tc>
        <w:tc>
          <w:tcPr>
            <w:tcW w:w="1460" w:type="dxa"/>
            <w:vAlign w:val="bottom"/>
            <w:tcBorders>
              <w:bottom w:val="single" w:sz="8" w:color="auto"/>
              <w:right w:val="single" w:sz="8" w:color="auto"/>
            </w:tcBorders>
          </w:tcPr>
          <w:p>
            <w:pPr>
              <w:spacing w:after="0"/>
              <w:rPr>
                <w:sz w:val="7"/>
                <w:szCs w:val="7"/>
                <w:color w:val="auto"/>
              </w:rPr>
            </w:pPr>
          </w:p>
        </w:tc>
      </w:tr>
      <w:tr>
        <w:trPr>
          <w:trHeight w:val="244"/>
        </w:trPr>
        <w:tc>
          <w:tcPr>
            <w:tcW w:w="9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w:t>
            </w:r>
          </w:p>
        </w:tc>
        <w:tc>
          <w:tcPr>
            <w:tcW w:w="164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w:t>
            </w:r>
          </w:p>
        </w:tc>
        <w:tc>
          <w:tcPr>
            <w:tcW w:w="116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w:t>
            </w:r>
          </w:p>
        </w:tc>
        <w:tc>
          <w:tcPr>
            <w:tcW w:w="122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w:t>
            </w:r>
          </w:p>
        </w:tc>
        <w:tc>
          <w:tcPr>
            <w:tcW w:w="700" w:type="dxa"/>
            <w:vAlign w:val="bottom"/>
            <w:tcBorders>
              <w:right w:val="single" w:sz="8" w:color="auto"/>
            </w:tcBorders>
          </w:tcPr>
          <w:p>
            <w:pPr>
              <w:spacing w:after="0"/>
              <w:rPr>
                <w:sz w:val="21"/>
                <w:szCs w:val="21"/>
                <w:color w:val="auto"/>
              </w:rPr>
            </w:pPr>
          </w:p>
        </w:tc>
        <w:tc>
          <w:tcPr>
            <w:tcW w:w="1660" w:type="dxa"/>
            <w:vAlign w:val="bottom"/>
            <w:tcBorders>
              <w:right w:val="single" w:sz="8" w:color="auto"/>
            </w:tcBorders>
          </w:tcPr>
          <w:p>
            <w:pPr>
              <w:spacing w:after="0"/>
              <w:rPr>
                <w:sz w:val="21"/>
                <w:szCs w:val="21"/>
                <w:color w:val="auto"/>
              </w:rPr>
            </w:pPr>
          </w:p>
        </w:tc>
        <w:tc>
          <w:tcPr>
            <w:tcW w:w="2920" w:type="dxa"/>
            <w:vAlign w:val="bottom"/>
            <w:tcBorders>
              <w:right w:val="single" w:sz="8" w:color="auto"/>
            </w:tcBorders>
            <w:gridSpan w:val="2"/>
          </w:tcPr>
          <w:p>
            <w:pPr>
              <w:spacing w:after="0"/>
              <w:rPr>
                <w:sz w:val="20"/>
                <w:szCs w:val="20"/>
                <w:color w:val="auto"/>
              </w:rPr>
            </w:pPr>
            <w:r>
              <w:rPr>
                <w:rFonts w:ascii="Arial" w:cs="Arial" w:eastAsia="Arial" w:hAnsi="Arial"/>
                <w:sz w:val="20"/>
                <w:szCs w:val="20"/>
                <w:color w:val="auto"/>
              </w:rPr>
              <w:t>[†]</w:t>
            </w:r>
          </w:p>
        </w:tc>
      </w:tr>
      <w:tr>
        <w:trPr>
          <w:trHeight w:val="87"/>
        </w:trPr>
        <w:tc>
          <w:tcPr>
            <w:tcW w:w="960" w:type="dxa"/>
            <w:vAlign w:val="bottom"/>
            <w:tcBorders>
              <w:left w:val="single" w:sz="8" w:color="auto"/>
              <w:bottom w:val="single" w:sz="8" w:color="auto"/>
              <w:right w:val="single" w:sz="8" w:color="auto"/>
            </w:tcBorders>
          </w:tcPr>
          <w:p>
            <w:pPr>
              <w:spacing w:after="0"/>
              <w:rPr>
                <w:sz w:val="7"/>
                <w:szCs w:val="7"/>
                <w:color w:val="auto"/>
              </w:rPr>
            </w:pPr>
          </w:p>
        </w:tc>
        <w:tc>
          <w:tcPr>
            <w:tcW w:w="1640" w:type="dxa"/>
            <w:vAlign w:val="bottom"/>
            <w:tcBorders>
              <w:bottom w:val="single" w:sz="8" w:color="auto"/>
              <w:right w:val="single" w:sz="8" w:color="auto"/>
            </w:tcBorders>
          </w:tcPr>
          <w:p>
            <w:pPr>
              <w:spacing w:after="0"/>
              <w:rPr>
                <w:sz w:val="7"/>
                <w:szCs w:val="7"/>
                <w:color w:val="auto"/>
              </w:rPr>
            </w:pPr>
          </w:p>
        </w:tc>
        <w:tc>
          <w:tcPr>
            <w:tcW w:w="1160" w:type="dxa"/>
            <w:vAlign w:val="bottom"/>
            <w:tcBorders>
              <w:bottom w:val="single" w:sz="8" w:color="auto"/>
              <w:right w:val="single" w:sz="8" w:color="auto"/>
            </w:tcBorders>
          </w:tcPr>
          <w:p>
            <w:pPr>
              <w:spacing w:after="0"/>
              <w:rPr>
                <w:sz w:val="7"/>
                <w:szCs w:val="7"/>
                <w:color w:val="auto"/>
              </w:rPr>
            </w:pPr>
          </w:p>
        </w:tc>
        <w:tc>
          <w:tcPr>
            <w:tcW w:w="1220" w:type="dxa"/>
            <w:vAlign w:val="bottom"/>
            <w:tcBorders>
              <w:bottom w:val="single" w:sz="8" w:color="auto"/>
              <w:right w:val="single" w:sz="8" w:color="auto"/>
            </w:tcBorders>
          </w:tcPr>
          <w:p>
            <w:pPr>
              <w:spacing w:after="0"/>
              <w:rPr>
                <w:sz w:val="7"/>
                <w:szCs w:val="7"/>
                <w:color w:val="auto"/>
              </w:rPr>
            </w:pPr>
          </w:p>
        </w:tc>
        <w:tc>
          <w:tcPr>
            <w:tcW w:w="700" w:type="dxa"/>
            <w:vAlign w:val="bottom"/>
            <w:tcBorders>
              <w:bottom w:val="single" w:sz="8" w:color="auto"/>
              <w:right w:val="single" w:sz="8" w:color="auto"/>
            </w:tcBorders>
          </w:tcPr>
          <w:p>
            <w:pPr>
              <w:spacing w:after="0"/>
              <w:rPr>
                <w:sz w:val="7"/>
                <w:szCs w:val="7"/>
                <w:color w:val="auto"/>
              </w:rPr>
            </w:pPr>
          </w:p>
        </w:tc>
        <w:tc>
          <w:tcPr>
            <w:tcW w:w="1660" w:type="dxa"/>
            <w:vAlign w:val="bottom"/>
            <w:tcBorders>
              <w:bottom w:val="single" w:sz="8" w:color="auto"/>
              <w:right w:val="single" w:sz="8" w:color="auto"/>
            </w:tcBorders>
          </w:tcPr>
          <w:p>
            <w:pPr>
              <w:spacing w:after="0"/>
              <w:rPr>
                <w:sz w:val="7"/>
                <w:szCs w:val="7"/>
                <w:color w:val="auto"/>
              </w:rPr>
            </w:pPr>
          </w:p>
        </w:tc>
        <w:tc>
          <w:tcPr>
            <w:tcW w:w="1460" w:type="dxa"/>
            <w:vAlign w:val="bottom"/>
            <w:tcBorders>
              <w:bottom w:val="single" w:sz="8" w:color="auto"/>
            </w:tcBorders>
          </w:tcPr>
          <w:p>
            <w:pPr>
              <w:spacing w:after="0"/>
              <w:rPr>
                <w:sz w:val="7"/>
                <w:szCs w:val="7"/>
                <w:color w:val="auto"/>
              </w:rPr>
            </w:pPr>
          </w:p>
        </w:tc>
        <w:tc>
          <w:tcPr>
            <w:tcW w:w="1460" w:type="dxa"/>
            <w:vAlign w:val="bottom"/>
            <w:tcBorders>
              <w:bottom w:val="single" w:sz="8" w:color="auto"/>
              <w:right w:val="single" w:sz="8" w:color="auto"/>
            </w:tcBorders>
          </w:tcPr>
          <w:p>
            <w:pPr>
              <w:spacing w:after="0"/>
              <w:rPr>
                <w:sz w:val="7"/>
                <w:szCs w:val="7"/>
                <w:color w:val="auto"/>
              </w:rPr>
            </w:pPr>
          </w:p>
        </w:tc>
      </w:tr>
      <w:tr>
        <w:trPr>
          <w:trHeight w:val="244"/>
        </w:trPr>
        <w:tc>
          <w:tcPr>
            <w:tcW w:w="9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w:t>
            </w:r>
          </w:p>
        </w:tc>
        <w:tc>
          <w:tcPr>
            <w:tcW w:w="164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w:t>
            </w:r>
          </w:p>
        </w:tc>
        <w:tc>
          <w:tcPr>
            <w:tcW w:w="116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w:t>
            </w:r>
          </w:p>
        </w:tc>
        <w:tc>
          <w:tcPr>
            <w:tcW w:w="122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w:t>
            </w:r>
          </w:p>
        </w:tc>
        <w:tc>
          <w:tcPr>
            <w:tcW w:w="700" w:type="dxa"/>
            <w:vAlign w:val="bottom"/>
            <w:tcBorders>
              <w:right w:val="single" w:sz="8" w:color="auto"/>
            </w:tcBorders>
          </w:tcPr>
          <w:p>
            <w:pPr>
              <w:spacing w:after="0"/>
              <w:rPr>
                <w:sz w:val="21"/>
                <w:szCs w:val="21"/>
                <w:color w:val="auto"/>
              </w:rPr>
            </w:pPr>
          </w:p>
        </w:tc>
        <w:tc>
          <w:tcPr>
            <w:tcW w:w="1660" w:type="dxa"/>
            <w:vAlign w:val="bottom"/>
            <w:tcBorders>
              <w:right w:val="single" w:sz="8" w:color="auto"/>
            </w:tcBorders>
          </w:tcPr>
          <w:p>
            <w:pPr>
              <w:spacing w:after="0"/>
              <w:rPr>
                <w:sz w:val="21"/>
                <w:szCs w:val="21"/>
                <w:color w:val="auto"/>
              </w:rPr>
            </w:pPr>
          </w:p>
        </w:tc>
        <w:tc>
          <w:tcPr>
            <w:tcW w:w="2920" w:type="dxa"/>
            <w:vAlign w:val="bottom"/>
            <w:tcBorders>
              <w:right w:val="single" w:sz="8" w:color="auto"/>
            </w:tcBorders>
            <w:gridSpan w:val="2"/>
          </w:tcPr>
          <w:p>
            <w:pPr>
              <w:spacing w:after="0"/>
              <w:rPr>
                <w:sz w:val="20"/>
                <w:szCs w:val="20"/>
                <w:color w:val="auto"/>
              </w:rPr>
            </w:pPr>
            <w:r>
              <w:rPr>
                <w:rFonts w:ascii="Arial" w:cs="Arial" w:eastAsia="Arial" w:hAnsi="Arial"/>
                <w:sz w:val="20"/>
                <w:szCs w:val="20"/>
                <w:color w:val="auto"/>
              </w:rPr>
              <w:t>[†]</w:t>
            </w:r>
          </w:p>
        </w:tc>
      </w:tr>
      <w:tr>
        <w:trPr>
          <w:trHeight w:val="87"/>
        </w:trPr>
        <w:tc>
          <w:tcPr>
            <w:tcW w:w="960" w:type="dxa"/>
            <w:vAlign w:val="bottom"/>
            <w:tcBorders>
              <w:left w:val="single" w:sz="8" w:color="auto"/>
              <w:bottom w:val="single" w:sz="8" w:color="auto"/>
              <w:right w:val="single" w:sz="8" w:color="auto"/>
            </w:tcBorders>
          </w:tcPr>
          <w:p>
            <w:pPr>
              <w:spacing w:after="0"/>
              <w:rPr>
                <w:sz w:val="7"/>
                <w:szCs w:val="7"/>
                <w:color w:val="auto"/>
              </w:rPr>
            </w:pPr>
          </w:p>
        </w:tc>
        <w:tc>
          <w:tcPr>
            <w:tcW w:w="1640" w:type="dxa"/>
            <w:vAlign w:val="bottom"/>
            <w:tcBorders>
              <w:bottom w:val="single" w:sz="8" w:color="auto"/>
              <w:right w:val="single" w:sz="8" w:color="auto"/>
            </w:tcBorders>
          </w:tcPr>
          <w:p>
            <w:pPr>
              <w:spacing w:after="0"/>
              <w:rPr>
                <w:sz w:val="7"/>
                <w:szCs w:val="7"/>
                <w:color w:val="auto"/>
              </w:rPr>
            </w:pPr>
          </w:p>
        </w:tc>
        <w:tc>
          <w:tcPr>
            <w:tcW w:w="1160" w:type="dxa"/>
            <w:vAlign w:val="bottom"/>
            <w:tcBorders>
              <w:bottom w:val="single" w:sz="8" w:color="auto"/>
              <w:right w:val="single" w:sz="8" w:color="auto"/>
            </w:tcBorders>
          </w:tcPr>
          <w:p>
            <w:pPr>
              <w:spacing w:after="0"/>
              <w:rPr>
                <w:sz w:val="7"/>
                <w:szCs w:val="7"/>
                <w:color w:val="auto"/>
              </w:rPr>
            </w:pPr>
          </w:p>
        </w:tc>
        <w:tc>
          <w:tcPr>
            <w:tcW w:w="1220" w:type="dxa"/>
            <w:vAlign w:val="bottom"/>
            <w:tcBorders>
              <w:bottom w:val="single" w:sz="8" w:color="auto"/>
              <w:right w:val="single" w:sz="8" w:color="auto"/>
            </w:tcBorders>
          </w:tcPr>
          <w:p>
            <w:pPr>
              <w:spacing w:after="0"/>
              <w:rPr>
                <w:sz w:val="7"/>
                <w:szCs w:val="7"/>
                <w:color w:val="auto"/>
              </w:rPr>
            </w:pPr>
          </w:p>
        </w:tc>
        <w:tc>
          <w:tcPr>
            <w:tcW w:w="700" w:type="dxa"/>
            <w:vAlign w:val="bottom"/>
            <w:tcBorders>
              <w:bottom w:val="single" w:sz="8" w:color="auto"/>
              <w:right w:val="single" w:sz="8" w:color="auto"/>
            </w:tcBorders>
          </w:tcPr>
          <w:p>
            <w:pPr>
              <w:spacing w:after="0"/>
              <w:rPr>
                <w:sz w:val="7"/>
                <w:szCs w:val="7"/>
                <w:color w:val="auto"/>
              </w:rPr>
            </w:pPr>
          </w:p>
        </w:tc>
        <w:tc>
          <w:tcPr>
            <w:tcW w:w="1660" w:type="dxa"/>
            <w:vAlign w:val="bottom"/>
            <w:tcBorders>
              <w:bottom w:val="single" w:sz="8" w:color="auto"/>
              <w:right w:val="single" w:sz="8" w:color="auto"/>
            </w:tcBorders>
          </w:tcPr>
          <w:p>
            <w:pPr>
              <w:spacing w:after="0"/>
              <w:rPr>
                <w:sz w:val="7"/>
                <w:szCs w:val="7"/>
                <w:color w:val="auto"/>
              </w:rPr>
            </w:pPr>
          </w:p>
        </w:tc>
        <w:tc>
          <w:tcPr>
            <w:tcW w:w="1460" w:type="dxa"/>
            <w:vAlign w:val="bottom"/>
            <w:tcBorders>
              <w:bottom w:val="single" w:sz="8" w:color="auto"/>
            </w:tcBorders>
          </w:tcPr>
          <w:p>
            <w:pPr>
              <w:spacing w:after="0"/>
              <w:rPr>
                <w:sz w:val="7"/>
                <w:szCs w:val="7"/>
                <w:color w:val="auto"/>
              </w:rPr>
            </w:pPr>
          </w:p>
        </w:tc>
        <w:tc>
          <w:tcPr>
            <w:tcW w:w="1460" w:type="dxa"/>
            <w:vAlign w:val="bottom"/>
            <w:tcBorders>
              <w:bottom w:val="single" w:sz="8" w:color="auto"/>
              <w:right w:val="single" w:sz="8" w:color="auto"/>
            </w:tcBorders>
          </w:tcPr>
          <w:p>
            <w:pPr>
              <w:spacing w:after="0"/>
              <w:rPr>
                <w:sz w:val="7"/>
                <w:szCs w:val="7"/>
                <w:color w:val="auto"/>
              </w:rPr>
            </w:pPr>
          </w:p>
        </w:tc>
      </w:tr>
      <w:tr>
        <w:trPr>
          <w:trHeight w:val="244"/>
        </w:trPr>
        <w:tc>
          <w:tcPr>
            <w:tcW w:w="9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w:t>
            </w:r>
          </w:p>
        </w:tc>
        <w:tc>
          <w:tcPr>
            <w:tcW w:w="164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w:t>
            </w:r>
          </w:p>
        </w:tc>
        <w:tc>
          <w:tcPr>
            <w:tcW w:w="116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w:t>
            </w:r>
          </w:p>
        </w:tc>
        <w:tc>
          <w:tcPr>
            <w:tcW w:w="122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w:t>
            </w:r>
          </w:p>
        </w:tc>
        <w:tc>
          <w:tcPr>
            <w:tcW w:w="700" w:type="dxa"/>
            <w:vAlign w:val="bottom"/>
            <w:tcBorders>
              <w:right w:val="single" w:sz="8" w:color="auto"/>
            </w:tcBorders>
          </w:tcPr>
          <w:p>
            <w:pPr>
              <w:spacing w:after="0"/>
              <w:rPr>
                <w:sz w:val="21"/>
                <w:szCs w:val="21"/>
                <w:color w:val="auto"/>
              </w:rPr>
            </w:pPr>
          </w:p>
        </w:tc>
        <w:tc>
          <w:tcPr>
            <w:tcW w:w="1660" w:type="dxa"/>
            <w:vAlign w:val="bottom"/>
            <w:tcBorders>
              <w:right w:val="single" w:sz="8" w:color="auto"/>
            </w:tcBorders>
          </w:tcPr>
          <w:p>
            <w:pPr>
              <w:spacing w:after="0"/>
              <w:rPr>
                <w:sz w:val="21"/>
                <w:szCs w:val="21"/>
                <w:color w:val="auto"/>
              </w:rPr>
            </w:pPr>
          </w:p>
        </w:tc>
        <w:tc>
          <w:tcPr>
            <w:tcW w:w="2920" w:type="dxa"/>
            <w:vAlign w:val="bottom"/>
            <w:tcBorders>
              <w:right w:val="single" w:sz="8" w:color="auto"/>
            </w:tcBorders>
            <w:gridSpan w:val="2"/>
          </w:tcPr>
          <w:p>
            <w:pPr>
              <w:spacing w:after="0"/>
              <w:rPr>
                <w:sz w:val="20"/>
                <w:szCs w:val="20"/>
                <w:color w:val="auto"/>
              </w:rPr>
            </w:pPr>
            <w:r>
              <w:rPr>
                <w:rFonts w:ascii="Arial" w:cs="Arial" w:eastAsia="Arial" w:hAnsi="Arial"/>
                <w:sz w:val="20"/>
                <w:szCs w:val="20"/>
                <w:color w:val="auto"/>
              </w:rPr>
              <w:t>[†]</w:t>
            </w:r>
          </w:p>
        </w:tc>
      </w:tr>
      <w:tr>
        <w:trPr>
          <w:trHeight w:val="87"/>
        </w:trPr>
        <w:tc>
          <w:tcPr>
            <w:tcW w:w="960" w:type="dxa"/>
            <w:vAlign w:val="bottom"/>
            <w:tcBorders>
              <w:left w:val="single" w:sz="8" w:color="auto"/>
              <w:bottom w:val="single" w:sz="8" w:color="auto"/>
              <w:right w:val="single" w:sz="8" w:color="auto"/>
            </w:tcBorders>
          </w:tcPr>
          <w:p>
            <w:pPr>
              <w:spacing w:after="0"/>
              <w:rPr>
                <w:sz w:val="7"/>
                <w:szCs w:val="7"/>
                <w:color w:val="auto"/>
              </w:rPr>
            </w:pPr>
          </w:p>
        </w:tc>
        <w:tc>
          <w:tcPr>
            <w:tcW w:w="1640" w:type="dxa"/>
            <w:vAlign w:val="bottom"/>
            <w:tcBorders>
              <w:bottom w:val="single" w:sz="8" w:color="auto"/>
              <w:right w:val="single" w:sz="8" w:color="auto"/>
            </w:tcBorders>
          </w:tcPr>
          <w:p>
            <w:pPr>
              <w:spacing w:after="0"/>
              <w:rPr>
                <w:sz w:val="7"/>
                <w:szCs w:val="7"/>
                <w:color w:val="auto"/>
              </w:rPr>
            </w:pPr>
          </w:p>
        </w:tc>
        <w:tc>
          <w:tcPr>
            <w:tcW w:w="1160" w:type="dxa"/>
            <w:vAlign w:val="bottom"/>
            <w:tcBorders>
              <w:bottom w:val="single" w:sz="8" w:color="auto"/>
              <w:right w:val="single" w:sz="8" w:color="auto"/>
            </w:tcBorders>
          </w:tcPr>
          <w:p>
            <w:pPr>
              <w:spacing w:after="0"/>
              <w:rPr>
                <w:sz w:val="7"/>
                <w:szCs w:val="7"/>
                <w:color w:val="auto"/>
              </w:rPr>
            </w:pPr>
          </w:p>
        </w:tc>
        <w:tc>
          <w:tcPr>
            <w:tcW w:w="1220" w:type="dxa"/>
            <w:vAlign w:val="bottom"/>
            <w:tcBorders>
              <w:bottom w:val="single" w:sz="8" w:color="auto"/>
              <w:right w:val="single" w:sz="8" w:color="auto"/>
            </w:tcBorders>
          </w:tcPr>
          <w:p>
            <w:pPr>
              <w:spacing w:after="0"/>
              <w:rPr>
                <w:sz w:val="7"/>
                <w:szCs w:val="7"/>
                <w:color w:val="auto"/>
              </w:rPr>
            </w:pPr>
          </w:p>
        </w:tc>
        <w:tc>
          <w:tcPr>
            <w:tcW w:w="700" w:type="dxa"/>
            <w:vAlign w:val="bottom"/>
            <w:tcBorders>
              <w:bottom w:val="single" w:sz="8" w:color="auto"/>
              <w:right w:val="single" w:sz="8" w:color="auto"/>
            </w:tcBorders>
          </w:tcPr>
          <w:p>
            <w:pPr>
              <w:spacing w:after="0"/>
              <w:rPr>
                <w:sz w:val="7"/>
                <w:szCs w:val="7"/>
                <w:color w:val="auto"/>
              </w:rPr>
            </w:pPr>
          </w:p>
        </w:tc>
        <w:tc>
          <w:tcPr>
            <w:tcW w:w="1660" w:type="dxa"/>
            <w:vAlign w:val="bottom"/>
            <w:tcBorders>
              <w:bottom w:val="single" w:sz="8" w:color="auto"/>
              <w:right w:val="single" w:sz="8" w:color="auto"/>
            </w:tcBorders>
          </w:tcPr>
          <w:p>
            <w:pPr>
              <w:spacing w:after="0"/>
              <w:rPr>
                <w:sz w:val="7"/>
                <w:szCs w:val="7"/>
                <w:color w:val="auto"/>
              </w:rPr>
            </w:pPr>
          </w:p>
        </w:tc>
        <w:tc>
          <w:tcPr>
            <w:tcW w:w="1460" w:type="dxa"/>
            <w:vAlign w:val="bottom"/>
            <w:tcBorders>
              <w:bottom w:val="single" w:sz="8" w:color="auto"/>
            </w:tcBorders>
          </w:tcPr>
          <w:p>
            <w:pPr>
              <w:spacing w:after="0"/>
              <w:rPr>
                <w:sz w:val="7"/>
                <w:szCs w:val="7"/>
                <w:color w:val="auto"/>
              </w:rPr>
            </w:pPr>
          </w:p>
        </w:tc>
        <w:tc>
          <w:tcPr>
            <w:tcW w:w="1460" w:type="dxa"/>
            <w:vAlign w:val="bottom"/>
            <w:tcBorders>
              <w:bottom w:val="single" w:sz="8" w:color="auto"/>
              <w:right w:val="single" w:sz="8" w:color="auto"/>
            </w:tcBorders>
          </w:tcPr>
          <w:p>
            <w:pPr>
              <w:spacing w:after="0"/>
              <w:rPr>
                <w:sz w:val="7"/>
                <w:szCs w:val="7"/>
                <w:color w:val="auto"/>
              </w:rPr>
            </w:pPr>
          </w:p>
        </w:tc>
      </w:tr>
    </w:tbl>
    <w:p>
      <w:pPr>
        <w:spacing w:after="0" w:line="188" w:lineRule="exact"/>
        <w:rPr>
          <w:sz w:val="20"/>
          <w:szCs w:val="20"/>
          <w:color w:val="auto"/>
        </w:rPr>
      </w:pPr>
    </w:p>
    <w:p>
      <w:pPr>
        <w:ind w:left="3640"/>
        <w:spacing w:after="0"/>
        <w:rPr>
          <w:sz w:val="20"/>
          <w:szCs w:val="20"/>
          <w:color w:val="auto"/>
        </w:rPr>
      </w:pPr>
      <w:r>
        <w:rPr>
          <w:rFonts w:ascii="Arial" w:cs="Arial" w:eastAsia="Arial" w:hAnsi="Arial"/>
          <w:sz w:val="22"/>
          <w:szCs w:val="22"/>
          <w:b w:val="1"/>
          <w:bCs w:val="1"/>
          <w:u w:val="single" w:color="auto"/>
          <w:color w:val="auto"/>
        </w:rPr>
        <w:t xml:space="preserve">4.7(g) </w:t>
      </w:r>
      <w:r>
        <w:rPr>
          <w:rFonts w:ascii="Arial" w:cs="Arial" w:eastAsia="Arial" w:hAnsi="Arial"/>
          <w:sz w:val="24"/>
          <w:szCs w:val="24"/>
          <w:b w:val="1"/>
          <w:bCs w:val="1"/>
          <w:u w:val="single" w:color="auto"/>
          <w:color w:val="auto"/>
        </w:rPr>
        <w:t>-</w:t>
      </w:r>
      <w:r>
        <w:rPr>
          <w:rFonts w:ascii="Arial" w:cs="Arial" w:eastAsia="Arial" w:hAnsi="Arial"/>
          <w:sz w:val="22"/>
          <w:szCs w:val="22"/>
          <w:b w:val="1"/>
          <w:bCs w:val="1"/>
          <w:u w:val="single" w:color="auto"/>
          <w:color w:val="auto"/>
        </w:rPr>
        <w:t xml:space="preserve"> Assignments of Seller Registered IPR</w:t>
      </w:r>
    </w:p>
    <w:p>
      <w:pPr>
        <w:spacing w:after="0" w:line="235" w:lineRule="exact"/>
        <w:rPr>
          <w:sz w:val="20"/>
          <w:szCs w:val="20"/>
          <w:color w:val="auto"/>
        </w:rPr>
      </w:pPr>
    </w:p>
    <w:p>
      <w:pPr>
        <w:ind w:left="860"/>
        <w:spacing w:after="0"/>
        <w:rPr>
          <w:sz w:val="20"/>
          <w:szCs w:val="20"/>
          <w:color w:val="auto"/>
        </w:rPr>
      </w:pPr>
      <w:r>
        <w:rPr>
          <w:rFonts w:ascii="Arial" w:cs="Arial" w:eastAsia="Arial" w:hAnsi="Arial"/>
          <w:sz w:val="20"/>
          <w:szCs w:val="20"/>
          <w:color w:val="auto"/>
        </w:rPr>
        <w:t>See Schedule 4.7(b) for assignments that have not yet been recorded.</w:t>
      </w:r>
    </w:p>
    <w:p>
      <w:pPr>
        <w:spacing w:after="0" w:line="200" w:lineRule="exact"/>
        <w:rPr>
          <w:sz w:val="20"/>
          <w:szCs w:val="20"/>
          <w:color w:val="auto"/>
        </w:rPr>
      </w:pPr>
    </w:p>
    <w:p>
      <w:pPr>
        <w:spacing w:after="0" w:line="243" w:lineRule="exact"/>
        <w:rPr>
          <w:sz w:val="20"/>
          <w:szCs w:val="20"/>
          <w:color w:val="auto"/>
        </w:rPr>
      </w:pPr>
    </w:p>
    <w:p>
      <w:pPr>
        <w:ind w:firstLine="8"/>
        <w:spacing w:after="0" w:line="253" w:lineRule="auto"/>
        <w:tabs>
          <w:tab w:leader="none" w:pos="204" w:val="left"/>
        </w:tabs>
        <w:numPr>
          <w:ilvl w:val="0"/>
          <w:numId w:val="193"/>
        </w:numPr>
        <w:rPr>
          <w:rFonts w:ascii="Arial" w:cs="Arial" w:eastAsia="Arial" w:hAnsi="Arial"/>
          <w:sz w:val="14"/>
          <w:szCs w:val="14"/>
          <w:color w:val="auto"/>
        </w:rPr>
      </w:pPr>
      <w:r>
        <w:rPr>
          <w:rFonts w:ascii="Arial" w:cs="Arial" w:eastAsia="Arial" w:hAnsi="Arial"/>
          <w:sz w:val="14"/>
          <w:szCs w:val="14"/>
          <w:color w:val="auto"/>
        </w:rPr>
        <w:t>DESIGNATES PORTIONS OF THIS DOCUMENT THAT HAVE BEEN OMITTED PURSUANT TO A REQUEST FOR CONFIDENTIAL TREATMENT FILED SEPARATELY WITH THE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40640</wp:posOffset>
            </wp:positionV>
            <wp:extent cx="7289165" cy="425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349" w:right="279" w:bottom="1440" w:gutter="0" w:footer="0" w:header="0"/>
        </w:sectPr>
      </w:pPr>
    </w:p>
    <w:bookmarkStart w:id="142" w:name="page143"/>
    <w:bookmarkEnd w:id="142"/>
    <w:p>
      <w:pPr>
        <w:jc w:val="center"/>
        <w:ind w:right="-39"/>
        <w:spacing w:after="0"/>
        <w:rPr>
          <w:sz w:val="20"/>
          <w:szCs w:val="20"/>
          <w:color w:val="auto"/>
        </w:rPr>
      </w:pPr>
      <w:r>
        <w:rPr>
          <w:rFonts w:ascii="Arial" w:cs="Arial" w:eastAsia="Arial" w:hAnsi="Arial"/>
          <w:sz w:val="22"/>
          <w:szCs w:val="22"/>
          <w:b w:val="1"/>
          <w:bCs w:val="1"/>
          <w:u w:val="single" w:color="auto"/>
          <w:color w:val="auto"/>
        </w:rPr>
        <w:t xml:space="preserve">4.7(j) </w:t>
      </w:r>
      <w:r>
        <w:rPr>
          <w:rFonts w:ascii="Arial" w:cs="Arial" w:eastAsia="Arial" w:hAnsi="Arial"/>
          <w:sz w:val="24"/>
          <w:szCs w:val="24"/>
          <w:b w:val="1"/>
          <w:bCs w:val="1"/>
          <w:u w:val="single" w:color="auto"/>
          <w:color w:val="auto"/>
        </w:rPr>
        <w:t>-</w:t>
      </w:r>
      <w:r>
        <w:rPr>
          <w:rFonts w:ascii="Arial" w:cs="Arial" w:eastAsia="Arial" w:hAnsi="Arial"/>
          <w:sz w:val="22"/>
          <w:szCs w:val="22"/>
          <w:b w:val="1"/>
          <w:bCs w:val="1"/>
          <w:u w:val="single" w:color="auto"/>
          <w:color w:val="auto"/>
        </w:rPr>
        <w:t xml:space="preserve"> Inbound Licenses</w:t>
      </w:r>
    </w:p>
    <w:p>
      <w:pPr>
        <w:spacing w:after="0" w:line="235" w:lineRule="exact"/>
        <w:rPr>
          <w:sz w:val="20"/>
          <w:szCs w:val="20"/>
          <w:color w:val="auto"/>
        </w:rPr>
      </w:pPr>
    </w:p>
    <w:p>
      <w:pPr>
        <w:spacing w:after="0"/>
        <w:rPr>
          <w:sz w:val="20"/>
          <w:szCs w:val="20"/>
          <w:color w:val="auto"/>
        </w:rPr>
      </w:pPr>
      <w:r>
        <w:rPr>
          <w:rFonts w:ascii="Arial" w:cs="Arial" w:eastAsia="Arial" w:hAnsi="Arial"/>
          <w:sz w:val="20"/>
          <w:szCs w:val="20"/>
          <w:color w:val="auto"/>
        </w:rPr>
        <w:t>[†].</w:t>
      </w:r>
    </w:p>
    <w:p>
      <w:pPr>
        <w:spacing w:after="0" w:line="299"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u w:val="single" w:color="auto"/>
          <w:color w:val="auto"/>
        </w:rPr>
        <w:t xml:space="preserve">4.7(k) </w:t>
      </w:r>
      <w:r>
        <w:rPr>
          <w:rFonts w:ascii="Arial" w:cs="Arial" w:eastAsia="Arial" w:hAnsi="Arial"/>
          <w:sz w:val="24"/>
          <w:szCs w:val="24"/>
          <w:b w:val="1"/>
          <w:bCs w:val="1"/>
          <w:u w:val="single" w:color="auto"/>
          <w:color w:val="auto"/>
        </w:rPr>
        <w:t>-</w:t>
      </w:r>
      <w:r>
        <w:rPr>
          <w:rFonts w:ascii="Arial" w:cs="Arial" w:eastAsia="Arial" w:hAnsi="Arial"/>
          <w:sz w:val="22"/>
          <w:szCs w:val="22"/>
          <w:b w:val="1"/>
          <w:bCs w:val="1"/>
          <w:u w:val="single" w:color="auto"/>
          <w:color w:val="auto"/>
        </w:rPr>
        <w:t xml:space="preserve"> Outbound Licenses</w:t>
      </w:r>
    </w:p>
    <w:p>
      <w:pPr>
        <w:spacing w:after="0" w:line="235" w:lineRule="exact"/>
        <w:rPr>
          <w:sz w:val="20"/>
          <w:szCs w:val="20"/>
          <w:color w:val="auto"/>
        </w:rPr>
      </w:pPr>
    </w:p>
    <w:p>
      <w:pPr>
        <w:ind w:left="860"/>
        <w:spacing w:after="0"/>
        <w:rPr>
          <w:sz w:val="20"/>
          <w:szCs w:val="20"/>
          <w:color w:val="auto"/>
        </w:rPr>
      </w:pPr>
      <w:r>
        <w:rPr>
          <w:rFonts w:ascii="Arial" w:cs="Arial" w:eastAsia="Arial" w:hAnsi="Arial"/>
          <w:sz w:val="20"/>
          <w:szCs w:val="20"/>
          <w:color w:val="auto"/>
        </w:rPr>
        <w:t>[†]</w:t>
      </w:r>
    </w:p>
    <w:p>
      <w:pPr>
        <w:spacing w:after="0" w:line="312"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u w:val="single" w:color="auto"/>
          <w:color w:val="auto"/>
        </w:rPr>
        <w:t xml:space="preserve">4.7(l) </w:t>
      </w:r>
      <w:r>
        <w:rPr>
          <w:rFonts w:ascii="Arial" w:cs="Arial" w:eastAsia="Arial" w:hAnsi="Arial"/>
          <w:sz w:val="24"/>
          <w:szCs w:val="24"/>
          <w:b w:val="1"/>
          <w:bCs w:val="1"/>
          <w:u w:val="single" w:color="auto"/>
          <w:color w:val="auto"/>
        </w:rPr>
        <w:t>-</w:t>
      </w:r>
      <w:r>
        <w:rPr>
          <w:rFonts w:ascii="Arial" w:cs="Arial" w:eastAsia="Arial" w:hAnsi="Arial"/>
          <w:sz w:val="22"/>
          <w:szCs w:val="22"/>
          <w:b w:val="1"/>
          <w:bCs w:val="1"/>
          <w:u w:val="single" w:color="auto"/>
          <w:color w:val="auto"/>
        </w:rPr>
        <w:t xml:space="preserve"> Restrictions/Royalties on Acquiror</w:t>
      </w:r>
    </w:p>
    <w:p>
      <w:pPr>
        <w:spacing w:after="0" w:line="35" w:lineRule="exact"/>
        <w:rPr>
          <w:sz w:val="20"/>
          <w:szCs w:val="20"/>
          <w:color w:val="auto"/>
        </w:rPr>
      </w:pPr>
    </w:p>
    <w:p>
      <w:pPr>
        <w:spacing w:after="0"/>
        <w:rPr>
          <w:sz w:val="20"/>
          <w:szCs w:val="20"/>
          <w:color w:val="auto"/>
        </w:rPr>
      </w:pPr>
      <w:r>
        <w:rPr>
          <w:rFonts w:ascii="Arial" w:cs="Arial" w:eastAsia="Arial" w:hAnsi="Arial"/>
          <w:sz w:val="20"/>
          <w:szCs w:val="20"/>
          <w:color w:val="auto"/>
        </w:rPr>
        <w:t>[†].</w:t>
      </w:r>
    </w:p>
    <w:p>
      <w:pPr>
        <w:spacing w:after="0" w:line="296"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u w:val="single" w:color="auto"/>
          <w:color w:val="auto"/>
        </w:rPr>
        <w:t xml:space="preserve">4.7(p) </w:t>
      </w:r>
      <w:r>
        <w:rPr>
          <w:rFonts w:ascii="Arial" w:cs="Arial" w:eastAsia="Arial" w:hAnsi="Arial"/>
          <w:sz w:val="24"/>
          <w:szCs w:val="24"/>
          <w:b w:val="1"/>
          <w:bCs w:val="1"/>
          <w:u w:val="single" w:color="auto"/>
          <w:color w:val="auto"/>
        </w:rPr>
        <w:t>-</w:t>
      </w:r>
      <w:r>
        <w:rPr>
          <w:rFonts w:ascii="Arial" w:cs="Arial" w:eastAsia="Arial" w:hAnsi="Arial"/>
          <w:sz w:val="22"/>
          <w:szCs w:val="22"/>
          <w:b w:val="1"/>
          <w:bCs w:val="1"/>
          <w:u w:val="single" w:color="auto"/>
          <w:color w:val="auto"/>
        </w:rPr>
        <w:t xml:space="preserve"> Services to Governmental Entities</w:t>
      </w:r>
    </w:p>
    <w:p>
      <w:pPr>
        <w:spacing w:after="0" w:line="235" w:lineRule="exact"/>
        <w:rPr>
          <w:sz w:val="20"/>
          <w:szCs w:val="20"/>
          <w:color w:val="auto"/>
        </w:rPr>
      </w:pPr>
    </w:p>
    <w:p>
      <w:pPr>
        <w:ind w:left="860"/>
        <w:spacing w:after="0"/>
        <w:rPr>
          <w:sz w:val="20"/>
          <w:szCs w:val="20"/>
          <w:color w:val="auto"/>
        </w:rPr>
      </w:pPr>
      <w:r>
        <w:rPr>
          <w:rFonts w:ascii="Arial" w:cs="Arial" w:eastAsia="Arial" w:hAnsi="Arial"/>
          <w:sz w:val="20"/>
          <w:szCs w:val="20"/>
          <w:color w:val="auto"/>
        </w:rPr>
        <w:t>[†]</w:t>
      </w:r>
    </w:p>
    <w:p>
      <w:pPr>
        <w:spacing w:after="0" w:line="313"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u w:val="single" w:color="auto"/>
          <w:color w:val="auto"/>
        </w:rPr>
        <w:t>4.8 - Seller Contracts</w:t>
      </w:r>
    </w:p>
    <w:p>
      <w:pPr>
        <w:spacing w:after="0" w:line="21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4.8(a):</w:t>
      </w:r>
    </w:p>
    <w:p>
      <w:pPr>
        <w:spacing w:after="0" w:line="222" w:lineRule="exact"/>
        <w:rPr>
          <w:sz w:val="20"/>
          <w:szCs w:val="20"/>
          <w:color w:val="auto"/>
        </w:rPr>
      </w:pPr>
    </w:p>
    <w:p>
      <w:pPr>
        <w:ind w:left="860"/>
        <w:spacing w:after="0"/>
        <w:rPr>
          <w:sz w:val="20"/>
          <w:szCs w:val="20"/>
          <w:color w:val="auto"/>
        </w:rPr>
      </w:pPr>
      <w:r>
        <w:rPr>
          <w:rFonts w:ascii="Arial" w:cs="Arial" w:eastAsia="Arial" w:hAnsi="Arial"/>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firstLine="8"/>
        <w:spacing w:after="0" w:line="253" w:lineRule="auto"/>
        <w:tabs>
          <w:tab w:leader="none" w:pos="204" w:val="left"/>
        </w:tabs>
        <w:numPr>
          <w:ilvl w:val="0"/>
          <w:numId w:val="194"/>
        </w:numPr>
        <w:rPr>
          <w:rFonts w:ascii="Arial" w:cs="Arial" w:eastAsia="Arial" w:hAnsi="Arial"/>
          <w:sz w:val="14"/>
          <w:szCs w:val="14"/>
          <w:color w:val="auto"/>
        </w:rPr>
      </w:pPr>
      <w:r>
        <w:rPr>
          <w:rFonts w:ascii="Arial" w:cs="Arial" w:eastAsia="Arial" w:hAnsi="Arial"/>
          <w:sz w:val="14"/>
          <w:szCs w:val="14"/>
          <w:color w:val="auto"/>
        </w:rPr>
        <w:t>DESIGNATES PORTIONS OF THIS DOCUMENT THAT HAVE BEEN OMITTED PURSUANT TO A REQUEST FOR CONFIDENTIAL TREATMENT FILED SEPARATELY WITH THE COMMISSION</w:t>
      </w:r>
    </w:p>
    <w:p>
      <w:pPr>
        <w:sectPr>
          <w:pgSz w:w="11900" w:h="16838" w:orient="portrait"/>
          <w:cols w:equalWidth="0" w:num="1">
            <w:col w:w="11380"/>
          </w:cols>
          <w:pgMar w:left="240" w:top="773" w:right="279" w:bottom="1440" w:gutter="0" w:footer="0" w:header="0"/>
        </w:sectPr>
      </w:pPr>
    </w:p>
    <w:bookmarkStart w:id="143" w:name="page144"/>
    <w:bookmarkEnd w:id="143"/>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Simon Pimstone, certify that:</w:t>
      </w:r>
    </w:p>
    <w:p>
      <w:pPr>
        <w:spacing w:after="0" w:line="333" w:lineRule="exact"/>
        <w:rPr>
          <w:sz w:val="20"/>
          <w:szCs w:val="20"/>
          <w:color w:val="auto"/>
        </w:rPr>
      </w:pPr>
    </w:p>
    <w:p>
      <w:pPr>
        <w:ind w:left="380" w:hanging="372"/>
        <w:spacing w:after="0"/>
        <w:tabs>
          <w:tab w:leader="none" w:pos="380" w:val="left"/>
        </w:tabs>
        <w:numPr>
          <w:ilvl w:val="0"/>
          <w:numId w:val="19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Xenon Pharmaceuticals Inc.;</w:t>
      </w:r>
    </w:p>
    <w:p>
      <w:pPr>
        <w:spacing w:after="0" w:line="225" w:lineRule="exact"/>
        <w:rPr>
          <w:rFonts w:ascii="Arial" w:cs="Arial" w:eastAsia="Arial" w:hAnsi="Arial"/>
          <w:sz w:val="18"/>
          <w:szCs w:val="18"/>
          <w:color w:val="auto"/>
        </w:rPr>
      </w:pPr>
    </w:p>
    <w:p>
      <w:pPr>
        <w:ind w:left="380" w:right="60" w:hanging="372"/>
        <w:spacing w:after="0" w:line="342" w:lineRule="auto"/>
        <w:tabs>
          <w:tab w:leader="none" w:pos="380" w:val="left"/>
        </w:tabs>
        <w:numPr>
          <w:ilvl w:val="0"/>
          <w:numId w:val="195"/>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left="380" w:right="520" w:hanging="372"/>
        <w:spacing w:after="0" w:line="308" w:lineRule="auto"/>
        <w:tabs>
          <w:tab w:leader="none" w:pos="380" w:val="left"/>
        </w:tabs>
        <w:numPr>
          <w:ilvl w:val="0"/>
          <w:numId w:val="19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380" w:right="100" w:hanging="372"/>
        <w:spacing w:after="0" w:line="264" w:lineRule="auto"/>
        <w:tabs>
          <w:tab w:leader="none" w:pos="380" w:val="left"/>
        </w:tabs>
        <w:numPr>
          <w:ilvl w:val="0"/>
          <w:numId w:val="195"/>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760" w:right="440" w:hanging="374"/>
        <w:spacing w:after="0" w:line="264" w:lineRule="auto"/>
        <w:tabs>
          <w:tab w:leader="none" w:pos="760" w:val="left"/>
        </w:tabs>
        <w:numPr>
          <w:ilvl w:val="1"/>
          <w:numId w:val="19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760" w:right="140" w:hanging="374"/>
        <w:spacing w:after="0" w:line="264" w:lineRule="auto"/>
        <w:tabs>
          <w:tab w:leader="none" w:pos="760" w:val="left"/>
        </w:tabs>
        <w:numPr>
          <w:ilvl w:val="1"/>
          <w:numId w:val="19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jc w:val="both"/>
        <w:ind w:left="760" w:right="920" w:hanging="374"/>
        <w:spacing w:after="0" w:line="342" w:lineRule="auto"/>
        <w:tabs>
          <w:tab w:leader="none" w:pos="760" w:val="left"/>
        </w:tabs>
        <w:numPr>
          <w:ilvl w:val="1"/>
          <w:numId w:val="19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760" w:hanging="374"/>
        <w:spacing w:after="0" w:line="264" w:lineRule="auto"/>
        <w:tabs>
          <w:tab w:leader="none" w:pos="760" w:val="left"/>
        </w:tabs>
        <w:numPr>
          <w:ilvl w:val="1"/>
          <w:numId w:val="19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380" w:right="260" w:hanging="372"/>
        <w:spacing w:after="0" w:line="308" w:lineRule="auto"/>
        <w:tabs>
          <w:tab w:leader="none" w:pos="380" w:val="left"/>
        </w:tabs>
        <w:numPr>
          <w:ilvl w:val="0"/>
          <w:numId w:val="195"/>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760" w:right="340" w:hanging="374"/>
        <w:spacing w:after="0" w:line="277" w:lineRule="auto"/>
        <w:tabs>
          <w:tab w:leader="none" w:pos="760" w:val="left"/>
        </w:tabs>
        <w:numPr>
          <w:ilvl w:val="1"/>
          <w:numId w:val="19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760" w:right="300" w:hanging="374"/>
        <w:spacing w:after="0" w:line="277" w:lineRule="auto"/>
        <w:tabs>
          <w:tab w:leader="none" w:pos="760" w:val="left"/>
        </w:tabs>
        <w:numPr>
          <w:ilvl w:val="1"/>
          <w:numId w:val="19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35" w:lineRule="exact"/>
        <w:rPr>
          <w:sz w:val="20"/>
          <w:szCs w:val="20"/>
          <w:color w:val="auto"/>
        </w:rPr>
      </w:pPr>
    </w:p>
    <w:p>
      <w:pPr>
        <w:spacing w:after="0"/>
        <w:tabs>
          <w:tab w:leader="none" w:pos="5760" w:val="left"/>
          <w:tab w:leader="none" w:pos="8060" w:val="left"/>
        </w:tabs>
        <w:rPr>
          <w:sz w:val="20"/>
          <w:szCs w:val="20"/>
          <w:color w:val="auto"/>
        </w:rPr>
      </w:pPr>
      <w:r>
        <w:rPr>
          <w:rFonts w:ascii="Arial" w:cs="Arial" w:eastAsia="Arial" w:hAnsi="Arial"/>
          <w:sz w:val="18"/>
          <w:szCs w:val="18"/>
          <w:color w:val="auto"/>
        </w:rPr>
        <w:t>Date: August 3, 2017</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i w:val="1"/>
          <w:iCs w:val="1"/>
          <w:color w:val="auto"/>
        </w:rPr>
        <w:t>/s/ Simon Pimstone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3890010</wp:posOffset>
            </wp:positionH>
            <wp:positionV relativeFrom="paragraph">
              <wp:posOffset>14605</wp:posOffset>
            </wp:positionV>
            <wp:extent cx="3361690"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3361690" cy="8890"/>
                    </a:xfrm>
                    <a:prstGeom prst="rect">
                      <a:avLst/>
                    </a:prstGeom>
                    <a:noFill/>
                  </pic:spPr>
                </pic:pic>
              </a:graphicData>
            </a:graphic>
          </wp:anchor>
        </w:drawing>
      </w:r>
    </w:p>
    <w:p>
      <w:pPr>
        <w:spacing w:after="0" w:line="12" w:lineRule="exact"/>
        <w:rPr>
          <w:sz w:val="20"/>
          <w:szCs w:val="20"/>
          <w:color w:val="auto"/>
        </w:rPr>
      </w:pPr>
    </w:p>
    <w:p>
      <w:pPr>
        <w:ind w:left="8140"/>
        <w:spacing w:after="0"/>
        <w:rPr>
          <w:sz w:val="20"/>
          <w:szCs w:val="20"/>
          <w:color w:val="auto"/>
        </w:rPr>
      </w:pPr>
      <w:r>
        <w:rPr>
          <w:rFonts w:ascii="Arial" w:cs="Arial" w:eastAsia="Arial" w:hAnsi="Arial"/>
          <w:sz w:val="18"/>
          <w:szCs w:val="18"/>
          <w:b w:val="1"/>
          <w:bCs w:val="1"/>
          <w:color w:val="auto"/>
        </w:rPr>
        <w:t>Simon Pimstone</w:t>
      </w:r>
    </w:p>
    <w:p>
      <w:pPr>
        <w:spacing w:after="0" w:line="27" w:lineRule="exact"/>
        <w:rPr>
          <w:sz w:val="20"/>
          <w:szCs w:val="20"/>
          <w:color w:val="auto"/>
        </w:rPr>
      </w:pPr>
    </w:p>
    <w:p>
      <w:pPr>
        <w:ind w:left="7400"/>
        <w:spacing w:after="0"/>
        <w:rPr>
          <w:sz w:val="20"/>
          <w:szCs w:val="20"/>
          <w:color w:val="auto"/>
        </w:rPr>
      </w:pPr>
      <w:r>
        <w:rPr>
          <w:rFonts w:ascii="Arial" w:cs="Arial" w:eastAsia="Arial" w:hAnsi="Arial"/>
          <w:sz w:val="18"/>
          <w:szCs w:val="18"/>
          <w:i w:val="1"/>
          <w:iCs w:val="1"/>
          <w:color w:val="auto"/>
        </w:rPr>
        <w:t>President and Chief Executive Officer</w:t>
      </w:r>
    </w:p>
    <w:p>
      <w:pPr>
        <w:spacing w:after="0" w:line="23" w:lineRule="exact"/>
        <w:rPr>
          <w:sz w:val="20"/>
          <w:szCs w:val="20"/>
          <w:color w:val="auto"/>
        </w:rPr>
      </w:pPr>
    </w:p>
    <w:p>
      <w:pPr>
        <w:ind w:left="7720"/>
        <w:spacing w:after="0"/>
        <w:rPr>
          <w:sz w:val="20"/>
          <w:szCs w:val="20"/>
          <w:color w:val="auto"/>
        </w:rPr>
      </w:pPr>
      <w:r>
        <w:rPr>
          <w:rFonts w:ascii="Arial" w:cs="Arial" w:eastAsia="Arial" w:hAnsi="Arial"/>
          <w:sz w:val="18"/>
          <w:szCs w:val="18"/>
          <w:i w:val="1"/>
          <w:iCs w:val="1"/>
          <w:color w:val="auto"/>
        </w:rPr>
        <w:t>(Principal Executive Officer)</w:t>
      </w:r>
    </w:p>
    <w:p>
      <w:pPr>
        <w:sectPr>
          <w:pgSz w:w="11900" w:h="16838" w:orient="portrait"/>
          <w:cols w:equalWidth="0" w:num="1">
            <w:col w:w="11420"/>
          </w:cols>
          <w:pgMar w:left="240" w:top="121" w:right="239" w:bottom="1440" w:gutter="0" w:footer="0" w:header="0"/>
        </w:sectPr>
      </w:pPr>
    </w:p>
    <w:bookmarkStart w:id="144" w:name="page145"/>
    <w:bookmarkEnd w:id="144"/>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Ian Mortimer, certify that:</w:t>
      </w:r>
    </w:p>
    <w:p>
      <w:pPr>
        <w:spacing w:after="0" w:line="333" w:lineRule="exact"/>
        <w:rPr>
          <w:sz w:val="20"/>
          <w:szCs w:val="20"/>
          <w:color w:val="auto"/>
        </w:rPr>
      </w:pPr>
    </w:p>
    <w:p>
      <w:pPr>
        <w:ind w:left="380" w:hanging="372"/>
        <w:spacing w:after="0"/>
        <w:tabs>
          <w:tab w:leader="none" w:pos="380" w:val="left"/>
        </w:tabs>
        <w:numPr>
          <w:ilvl w:val="0"/>
          <w:numId w:val="19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Xenon Pharmaceuticals Inc.;</w:t>
      </w:r>
    </w:p>
    <w:p>
      <w:pPr>
        <w:spacing w:after="0" w:line="225" w:lineRule="exact"/>
        <w:rPr>
          <w:rFonts w:ascii="Arial" w:cs="Arial" w:eastAsia="Arial" w:hAnsi="Arial"/>
          <w:sz w:val="18"/>
          <w:szCs w:val="18"/>
          <w:color w:val="auto"/>
        </w:rPr>
      </w:pPr>
    </w:p>
    <w:p>
      <w:pPr>
        <w:ind w:left="380" w:right="60" w:hanging="372"/>
        <w:spacing w:after="0" w:line="342" w:lineRule="auto"/>
        <w:tabs>
          <w:tab w:leader="none" w:pos="380" w:val="left"/>
        </w:tabs>
        <w:numPr>
          <w:ilvl w:val="0"/>
          <w:numId w:val="196"/>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left="380" w:right="520" w:hanging="372"/>
        <w:spacing w:after="0" w:line="308" w:lineRule="auto"/>
        <w:tabs>
          <w:tab w:leader="none" w:pos="380" w:val="left"/>
        </w:tabs>
        <w:numPr>
          <w:ilvl w:val="0"/>
          <w:numId w:val="19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380" w:right="100" w:hanging="372"/>
        <w:spacing w:after="0" w:line="264" w:lineRule="auto"/>
        <w:tabs>
          <w:tab w:leader="none" w:pos="380" w:val="left"/>
        </w:tabs>
        <w:numPr>
          <w:ilvl w:val="0"/>
          <w:numId w:val="196"/>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760" w:right="440" w:hanging="374"/>
        <w:spacing w:after="0" w:line="264" w:lineRule="auto"/>
        <w:tabs>
          <w:tab w:leader="none" w:pos="760" w:val="left"/>
        </w:tabs>
        <w:numPr>
          <w:ilvl w:val="1"/>
          <w:numId w:val="19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760" w:right="140" w:hanging="374"/>
        <w:spacing w:after="0" w:line="264" w:lineRule="auto"/>
        <w:tabs>
          <w:tab w:leader="none" w:pos="760" w:val="left"/>
        </w:tabs>
        <w:numPr>
          <w:ilvl w:val="1"/>
          <w:numId w:val="19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jc w:val="both"/>
        <w:ind w:left="760" w:right="920" w:hanging="374"/>
        <w:spacing w:after="0" w:line="342" w:lineRule="auto"/>
        <w:tabs>
          <w:tab w:leader="none" w:pos="760" w:val="left"/>
        </w:tabs>
        <w:numPr>
          <w:ilvl w:val="1"/>
          <w:numId w:val="19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760" w:hanging="374"/>
        <w:spacing w:after="0" w:line="264" w:lineRule="auto"/>
        <w:tabs>
          <w:tab w:leader="none" w:pos="760" w:val="left"/>
        </w:tabs>
        <w:numPr>
          <w:ilvl w:val="1"/>
          <w:numId w:val="19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380" w:right="260" w:hanging="372"/>
        <w:spacing w:after="0" w:line="308" w:lineRule="auto"/>
        <w:tabs>
          <w:tab w:leader="none" w:pos="380" w:val="left"/>
        </w:tabs>
        <w:numPr>
          <w:ilvl w:val="0"/>
          <w:numId w:val="196"/>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760" w:right="340" w:hanging="374"/>
        <w:spacing w:after="0" w:line="277" w:lineRule="auto"/>
        <w:tabs>
          <w:tab w:leader="none" w:pos="760" w:val="left"/>
        </w:tabs>
        <w:numPr>
          <w:ilvl w:val="1"/>
          <w:numId w:val="19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760" w:right="300" w:hanging="374"/>
        <w:spacing w:after="0" w:line="277" w:lineRule="auto"/>
        <w:tabs>
          <w:tab w:leader="none" w:pos="760" w:val="left"/>
        </w:tabs>
        <w:numPr>
          <w:ilvl w:val="1"/>
          <w:numId w:val="19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08" w:lineRule="exact"/>
        <w:rPr>
          <w:sz w:val="20"/>
          <w:szCs w:val="20"/>
          <w:color w:val="auto"/>
        </w:rPr>
      </w:pPr>
    </w:p>
    <w:p>
      <w:pPr>
        <w:spacing w:after="0"/>
        <w:tabs>
          <w:tab w:leader="none" w:pos="5760" w:val="left"/>
          <w:tab w:leader="none" w:pos="8160" w:val="left"/>
        </w:tabs>
        <w:rPr>
          <w:sz w:val="20"/>
          <w:szCs w:val="20"/>
          <w:color w:val="auto"/>
        </w:rPr>
      </w:pPr>
      <w:r>
        <w:rPr>
          <w:rFonts w:ascii="Arial" w:cs="Arial" w:eastAsia="Arial" w:hAnsi="Arial"/>
          <w:sz w:val="18"/>
          <w:szCs w:val="18"/>
          <w:color w:val="auto"/>
        </w:rPr>
        <w:t>Date: August 3, 2017</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i w:val="1"/>
          <w:iCs w:val="1"/>
          <w:color w:val="auto"/>
        </w:rPr>
        <w:t>/s/ Ian Mortimer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3890010</wp:posOffset>
            </wp:positionH>
            <wp:positionV relativeFrom="paragraph">
              <wp:posOffset>14605</wp:posOffset>
            </wp:positionV>
            <wp:extent cx="3361690"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3361690" cy="8890"/>
                    </a:xfrm>
                    <a:prstGeom prst="rect">
                      <a:avLst/>
                    </a:prstGeom>
                    <a:noFill/>
                  </pic:spPr>
                </pic:pic>
              </a:graphicData>
            </a:graphic>
          </wp:anchor>
        </w:drawing>
      </w:r>
    </w:p>
    <w:p>
      <w:pPr>
        <w:spacing w:after="0" w:line="12" w:lineRule="exact"/>
        <w:rPr>
          <w:sz w:val="20"/>
          <w:szCs w:val="20"/>
          <w:color w:val="auto"/>
        </w:rPr>
      </w:pPr>
    </w:p>
    <w:p>
      <w:pPr>
        <w:ind w:left="8240"/>
        <w:spacing w:after="0"/>
        <w:rPr>
          <w:sz w:val="20"/>
          <w:szCs w:val="20"/>
          <w:color w:val="auto"/>
        </w:rPr>
      </w:pPr>
      <w:r>
        <w:rPr>
          <w:rFonts w:ascii="Arial" w:cs="Arial" w:eastAsia="Arial" w:hAnsi="Arial"/>
          <w:sz w:val="18"/>
          <w:szCs w:val="18"/>
          <w:b w:val="1"/>
          <w:bCs w:val="1"/>
          <w:color w:val="auto"/>
        </w:rPr>
        <w:t>Ian Mortimer</w:t>
      </w:r>
    </w:p>
    <w:p>
      <w:pPr>
        <w:spacing w:after="0" w:line="27" w:lineRule="exact"/>
        <w:rPr>
          <w:sz w:val="20"/>
          <w:szCs w:val="20"/>
          <w:color w:val="auto"/>
        </w:rPr>
      </w:pPr>
    </w:p>
    <w:p>
      <w:pPr>
        <w:ind w:left="6760"/>
        <w:spacing w:after="0"/>
        <w:rPr>
          <w:sz w:val="20"/>
          <w:szCs w:val="20"/>
          <w:color w:val="auto"/>
        </w:rPr>
      </w:pPr>
      <w:r>
        <w:rPr>
          <w:rFonts w:ascii="Arial" w:cs="Arial" w:eastAsia="Arial" w:hAnsi="Arial"/>
          <w:sz w:val="18"/>
          <w:szCs w:val="18"/>
          <w:b w:val="1"/>
          <w:bCs w:val="1"/>
          <w:color w:val="auto"/>
        </w:rPr>
        <w:t>Chief Financial Officer and Chief Operating Officer</w:t>
      </w:r>
    </w:p>
    <w:p>
      <w:pPr>
        <w:spacing w:after="0" w:line="23" w:lineRule="exact"/>
        <w:rPr>
          <w:sz w:val="20"/>
          <w:szCs w:val="20"/>
          <w:color w:val="auto"/>
        </w:rPr>
      </w:pPr>
    </w:p>
    <w:p>
      <w:pPr>
        <w:ind w:left="7080"/>
        <w:spacing w:after="0"/>
        <w:rPr>
          <w:sz w:val="20"/>
          <w:szCs w:val="20"/>
          <w:color w:val="auto"/>
        </w:rPr>
      </w:pPr>
      <w:r>
        <w:rPr>
          <w:rFonts w:ascii="Arial" w:cs="Arial" w:eastAsia="Arial" w:hAnsi="Arial"/>
          <w:sz w:val="18"/>
          <w:szCs w:val="18"/>
          <w:b w:val="1"/>
          <w:bCs w:val="1"/>
          <w:i w:val="1"/>
          <w:iCs w:val="1"/>
          <w:color w:val="auto"/>
        </w:rPr>
        <w:t>(Principal Financial and Accounting Officer)</w:t>
      </w:r>
    </w:p>
    <w:p>
      <w:pPr>
        <w:sectPr>
          <w:pgSz w:w="11900" w:h="16838" w:orient="portrait"/>
          <w:cols w:equalWidth="0" w:num="1">
            <w:col w:w="11420"/>
          </w:cols>
          <w:pgMar w:left="240" w:top="121" w:right="239" w:bottom="1440" w:gutter="0" w:footer="0" w:header="0"/>
        </w:sectPr>
      </w:pPr>
    </w:p>
    <w:bookmarkStart w:id="145" w:name="page146"/>
    <w:bookmarkEnd w:id="145"/>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XENON PHARMACEUTICALS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 xml:space="preserve">In connection with the Quarterly Report of Xenon Pharmaceuticals Inc. (the “Company”) on Form 10-Q for the quarter ended June 30, 2017, as filed with the Securities and Exchange Commission on the date hereof (the “Report”), I, Simon Pimstone, President and Chief Executive Officer </w:t>
      </w:r>
      <w:r>
        <w:rPr>
          <w:rFonts w:ascii="Arial" w:cs="Arial" w:eastAsia="Arial" w:hAnsi="Arial"/>
          <w:sz w:val="18"/>
          <w:szCs w:val="18"/>
          <w:i w:val="1"/>
          <w:iCs w:val="1"/>
          <w:color w:val="auto"/>
        </w:rPr>
        <w:t>(Principal Executive</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Officer) </w:t>
      </w:r>
      <w:r>
        <w:rPr>
          <w:rFonts w:ascii="Arial" w:cs="Arial" w:eastAsia="Arial" w:hAnsi="Arial"/>
          <w:sz w:val="18"/>
          <w:szCs w:val="18"/>
          <w:color w:val="auto"/>
        </w:rPr>
        <w:t>of the Company, certify, pursuant to 18 U.S.C. Section 1350, as adopted pursuant to Section 906 of the Sarbanes-Oxley Act of 2002, that to my</w:t>
      </w:r>
      <w:r>
        <w:rPr>
          <w:rFonts w:ascii="Arial" w:cs="Arial" w:eastAsia="Arial" w:hAnsi="Arial"/>
          <w:sz w:val="18"/>
          <w:szCs w:val="18"/>
          <w:i w:val="1"/>
          <w:iCs w:val="1"/>
          <w:color w:val="auto"/>
        </w:rPr>
        <w:t xml:space="preserve"> </w:t>
      </w:r>
      <w:r>
        <w:rPr>
          <w:rFonts w:ascii="Arial" w:cs="Arial" w:eastAsia="Arial" w:hAnsi="Arial"/>
          <w:sz w:val="18"/>
          <w:szCs w:val="18"/>
          <w:color w:val="auto"/>
        </w:rPr>
        <w:t>knowledge:</w:t>
      </w:r>
    </w:p>
    <w:p>
      <w:pPr>
        <w:spacing w:after="0" w:line="187" w:lineRule="exact"/>
        <w:rPr>
          <w:sz w:val="20"/>
          <w:szCs w:val="20"/>
          <w:color w:val="auto"/>
        </w:rPr>
      </w:pPr>
    </w:p>
    <w:p>
      <w:pPr>
        <w:ind w:left="720" w:hanging="361"/>
        <w:spacing w:after="0"/>
        <w:tabs>
          <w:tab w:leader="none" w:pos="720" w:val="left"/>
        </w:tabs>
        <w:numPr>
          <w:ilvl w:val="0"/>
          <w:numId w:val="19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720" w:hanging="361"/>
        <w:spacing w:after="0"/>
        <w:tabs>
          <w:tab w:leader="none" w:pos="720" w:val="left"/>
        </w:tabs>
        <w:numPr>
          <w:ilvl w:val="0"/>
          <w:numId w:val="197"/>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10" w:lineRule="exact"/>
        <w:rPr>
          <w:sz w:val="20"/>
          <w:szCs w:val="20"/>
          <w:color w:val="auto"/>
        </w:rPr>
      </w:pPr>
    </w:p>
    <w:p>
      <w:pPr>
        <w:spacing w:after="0"/>
        <w:tabs>
          <w:tab w:leader="none" w:pos="5760" w:val="left"/>
          <w:tab w:leader="none" w:pos="8060" w:val="left"/>
        </w:tabs>
        <w:rPr>
          <w:sz w:val="20"/>
          <w:szCs w:val="20"/>
          <w:color w:val="auto"/>
        </w:rPr>
      </w:pPr>
      <w:r>
        <w:rPr>
          <w:rFonts w:ascii="Arial" w:cs="Arial" w:eastAsia="Arial" w:hAnsi="Arial"/>
          <w:sz w:val="18"/>
          <w:szCs w:val="18"/>
          <w:color w:val="auto"/>
        </w:rPr>
        <w:t>Date:  August 3, 2017</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i w:val="1"/>
          <w:iCs w:val="1"/>
          <w:color w:val="auto"/>
        </w:rPr>
        <w:t>/s/ Simon Pimstone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3890010</wp:posOffset>
            </wp:positionH>
            <wp:positionV relativeFrom="paragraph">
              <wp:posOffset>14605</wp:posOffset>
            </wp:positionV>
            <wp:extent cx="3361690"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3361690" cy="8890"/>
                    </a:xfrm>
                    <a:prstGeom prst="rect">
                      <a:avLst/>
                    </a:prstGeom>
                    <a:noFill/>
                  </pic:spPr>
                </pic:pic>
              </a:graphicData>
            </a:graphic>
          </wp:anchor>
        </w:drawing>
      </w:r>
    </w:p>
    <w:p>
      <w:pPr>
        <w:spacing w:after="0" w:line="12" w:lineRule="exact"/>
        <w:rPr>
          <w:sz w:val="20"/>
          <w:szCs w:val="20"/>
          <w:color w:val="auto"/>
        </w:rPr>
      </w:pPr>
    </w:p>
    <w:p>
      <w:pPr>
        <w:ind w:left="8140"/>
        <w:spacing w:after="0"/>
        <w:rPr>
          <w:sz w:val="20"/>
          <w:szCs w:val="20"/>
          <w:color w:val="auto"/>
        </w:rPr>
      </w:pPr>
      <w:r>
        <w:rPr>
          <w:rFonts w:ascii="Arial" w:cs="Arial" w:eastAsia="Arial" w:hAnsi="Arial"/>
          <w:sz w:val="18"/>
          <w:szCs w:val="18"/>
          <w:b w:val="1"/>
          <w:bCs w:val="1"/>
          <w:color w:val="auto"/>
        </w:rPr>
        <w:t>Simon Pimstone</w:t>
      </w:r>
    </w:p>
    <w:p>
      <w:pPr>
        <w:spacing w:after="0" w:line="27" w:lineRule="exact"/>
        <w:rPr>
          <w:sz w:val="20"/>
          <w:szCs w:val="20"/>
          <w:color w:val="auto"/>
        </w:rPr>
      </w:pPr>
    </w:p>
    <w:p>
      <w:pPr>
        <w:ind w:left="7300"/>
        <w:spacing w:after="0"/>
        <w:rPr>
          <w:sz w:val="20"/>
          <w:szCs w:val="20"/>
          <w:color w:val="auto"/>
        </w:rPr>
      </w:pPr>
      <w:r>
        <w:rPr>
          <w:rFonts w:ascii="Arial" w:cs="Arial" w:eastAsia="Arial" w:hAnsi="Arial"/>
          <w:sz w:val="18"/>
          <w:szCs w:val="18"/>
          <w:b w:val="1"/>
          <w:bCs w:val="1"/>
          <w:color w:val="auto"/>
        </w:rPr>
        <w:t>President and Chief Executive Officer</w:t>
      </w:r>
    </w:p>
    <w:p>
      <w:pPr>
        <w:spacing w:after="0" w:line="23" w:lineRule="exact"/>
        <w:rPr>
          <w:sz w:val="20"/>
          <w:szCs w:val="20"/>
          <w:color w:val="auto"/>
        </w:rPr>
      </w:pPr>
    </w:p>
    <w:p>
      <w:pPr>
        <w:ind w:left="7680"/>
        <w:spacing w:after="0"/>
        <w:rPr>
          <w:sz w:val="20"/>
          <w:szCs w:val="20"/>
          <w:color w:val="auto"/>
        </w:rPr>
      </w:pPr>
      <w:r>
        <w:rPr>
          <w:rFonts w:ascii="Arial" w:cs="Arial" w:eastAsia="Arial" w:hAnsi="Arial"/>
          <w:sz w:val="18"/>
          <w:szCs w:val="18"/>
          <w:b w:val="1"/>
          <w:bCs w:val="1"/>
          <w:i w:val="1"/>
          <w:iCs w:val="1"/>
          <w:color w:val="auto"/>
        </w:rPr>
        <w:t>(Principal Executive Officer)</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 signed original of this written statement required by Section 906 of the Sarbanes-Oxley Act of 2002 has been provided to the Company and will be retained by the Company and furnished to the Securities and Exchange Commission or its staff upon request.</w:t>
      </w:r>
    </w:p>
    <w:p>
      <w:pPr>
        <w:spacing w:after="0" w:line="170"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color w:val="auto"/>
        </w:rPr>
        <w:t>This certification accompanies the Report to which it relates, is not deemed filed with the Securities and Exchange Commission and is not to be incorporated by reference into any filing of Xenon Pharmaceuticals Inc. under the Securities Act of 1933, as amended, or the Securities Exchange Act of 1934, as amended (whether made before or after the date of the Report), irrespective of any general incorporation language contained in such filing.</w:t>
      </w:r>
    </w:p>
    <w:p>
      <w:pPr>
        <w:sectPr>
          <w:pgSz w:w="11900" w:h="16838" w:orient="portrait"/>
          <w:cols w:equalWidth="0" w:num="1">
            <w:col w:w="11420"/>
          </w:cols>
          <w:pgMar w:left="240" w:top="121" w:right="239" w:bottom="1440" w:gutter="0" w:footer="0" w:header="0"/>
        </w:sectPr>
      </w:pPr>
    </w:p>
    <w:bookmarkStart w:id="146" w:name="page147"/>
    <w:bookmarkEnd w:id="146"/>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XENON PHARMACEUTICALS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 xml:space="preserve">In connection with the Quarterly Report of Xenon Pharmaceuticals Inc. (the “Company”) on Form 10-Q for the quarter ended June 30, 2017, as filed with the Securities and Exchange Commission on the date hereof (the “Report”), I, Ian Mortimer, Chief Financial Officer and Chief Operating Officer </w:t>
      </w:r>
      <w:r>
        <w:rPr>
          <w:rFonts w:ascii="Arial" w:cs="Arial" w:eastAsia="Arial" w:hAnsi="Arial"/>
          <w:sz w:val="18"/>
          <w:szCs w:val="18"/>
          <w:i w:val="1"/>
          <w:iCs w:val="1"/>
          <w:color w:val="auto"/>
        </w:rPr>
        <w:t>(Principal</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Financial and Accounting Officer) </w:t>
      </w:r>
      <w:r>
        <w:rPr>
          <w:rFonts w:ascii="Arial" w:cs="Arial" w:eastAsia="Arial" w:hAnsi="Arial"/>
          <w:sz w:val="18"/>
          <w:szCs w:val="18"/>
          <w:color w:val="auto"/>
        </w:rPr>
        <w:t>of the Company, certify, pursuant to 18 U.S.C. Section 1350, as adopted pursuant to Section 906 of the Sarbanes-Oxley</w:t>
      </w:r>
      <w:r>
        <w:rPr>
          <w:rFonts w:ascii="Arial" w:cs="Arial" w:eastAsia="Arial" w:hAnsi="Arial"/>
          <w:sz w:val="18"/>
          <w:szCs w:val="18"/>
          <w:i w:val="1"/>
          <w:iCs w:val="1"/>
          <w:color w:val="auto"/>
        </w:rPr>
        <w:t xml:space="preserve"> </w:t>
      </w:r>
      <w:r>
        <w:rPr>
          <w:rFonts w:ascii="Arial" w:cs="Arial" w:eastAsia="Arial" w:hAnsi="Arial"/>
          <w:sz w:val="18"/>
          <w:szCs w:val="18"/>
          <w:color w:val="auto"/>
        </w:rPr>
        <w:t>Act of 2002, that to my knowledge:</w:t>
      </w:r>
    </w:p>
    <w:p>
      <w:pPr>
        <w:spacing w:after="0" w:line="187" w:lineRule="exact"/>
        <w:rPr>
          <w:sz w:val="20"/>
          <w:szCs w:val="20"/>
          <w:color w:val="auto"/>
        </w:rPr>
      </w:pPr>
    </w:p>
    <w:p>
      <w:pPr>
        <w:ind w:left="720" w:hanging="361"/>
        <w:spacing w:after="0"/>
        <w:tabs>
          <w:tab w:leader="none" w:pos="720" w:val="left"/>
        </w:tabs>
        <w:numPr>
          <w:ilvl w:val="0"/>
          <w:numId w:val="19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720" w:hanging="361"/>
        <w:spacing w:after="0"/>
        <w:tabs>
          <w:tab w:leader="none" w:pos="720" w:val="left"/>
        </w:tabs>
        <w:numPr>
          <w:ilvl w:val="0"/>
          <w:numId w:val="198"/>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62" w:lineRule="exact"/>
        <w:rPr>
          <w:sz w:val="20"/>
          <w:szCs w:val="20"/>
          <w:color w:val="auto"/>
        </w:rPr>
      </w:pPr>
    </w:p>
    <w:p>
      <w:pPr>
        <w:ind w:left="60"/>
        <w:spacing w:after="0"/>
        <w:tabs>
          <w:tab w:leader="none" w:pos="5760" w:val="left"/>
          <w:tab w:leader="none" w:pos="8160" w:val="left"/>
        </w:tabs>
        <w:rPr>
          <w:sz w:val="20"/>
          <w:szCs w:val="20"/>
          <w:color w:val="auto"/>
        </w:rPr>
      </w:pPr>
      <w:r>
        <w:rPr>
          <w:rFonts w:ascii="Arial" w:cs="Arial" w:eastAsia="Arial" w:hAnsi="Arial"/>
          <w:sz w:val="18"/>
          <w:szCs w:val="18"/>
          <w:color w:val="auto"/>
        </w:rPr>
        <w:t>Date: August 3, 2017</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i w:val="1"/>
          <w:iCs w:val="1"/>
          <w:color w:val="auto"/>
        </w:rPr>
        <w:t>/s/ Ian Mortimer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3890010</wp:posOffset>
            </wp:positionH>
            <wp:positionV relativeFrom="paragraph">
              <wp:posOffset>14605</wp:posOffset>
            </wp:positionV>
            <wp:extent cx="3361690"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3361690" cy="8890"/>
                    </a:xfrm>
                    <a:prstGeom prst="rect">
                      <a:avLst/>
                    </a:prstGeom>
                    <a:noFill/>
                  </pic:spPr>
                </pic:pic>
              </a:graphicData>
            </a:graphic>
          </wp:anchor>
        </w:drawing>
      </w:r>
    </w:p>
    <w:p>
      <w:pPr>
        <w:spacing w:after="0" w:line="12" w:lineRule="exact"/>
        <w:rPr>
          <w:sz w:val="20"/>
          <w:szCs w:val="20"/>
          <w:color w:val="auto"/>
        </w:rPr>
      </w:pPr>
    </w:p>
    <w:p>
      <w:pPr>
        <w:ind w:left="8240"/>
        <w:spacing w:after="0"/>
        <w:rPr>
          <w:sz w:val="20"/>
          <w:szCs w:val="20"/>
          <w:color w:val="auto"/>
        </w:rPr>
      </w:pPr>
      <w:r>
        <w:rPr>
          <w:rFonts w:ascii="Arial" w:cs="Arial" w:eastAsia="Arial" w:hAnsi="Arial"/>
          <w:sz w:val="18"/>
          <w:szCs w:val="18"/>
          <w:b w:val="1"/>
          <w:bCs w:val="1"/>
          <w:color w:val="auto"/>
        </w:rPr>
        <w:t>Ian Mortimer</w:t>
      </w:r>
    </w:p>
    <w:p>
      <w:pPr>
        <w:spacing w:after="0" w:line="27" w:lineRule="exact"/>
        <w:rPr>
          <w:sz w:val="20"/>
          <w:szCs w:val="20"/>
          <w:color w:val="auto"/>
        </w:rPr>
      </w:pPr>
    </w:p>
    <w:p>
      <w:pPr>
        <w:ind w:left="6760"/>
        <w:spacing w:after="0"/>
        <w:rPr>
          <w:sz w:val="20"/>
          <w:szCs w:val="20"/>
          <w:color w:val="auto"/>
        </w:rPr>
      </w:pPr>
      <w:r>
        <w:rPr>
          <w:rFonts w:ascii="Arial" w:cs="Arial" w:eastAsia="Arial" w:hAnsi="Arial"/>
          <w:sz w:val="18"/>
          <w:szCs w:val="18"/>
          <w:b w:val="1"/>
          <w:bCs w:val="1"/>
          <w:color w:val="auto"/>
        </w:rPr>
        <w:t>Chief Financial Officer and Chief Operating Officer</w:t>
      </w:r>
    </w:p>
    <w:p>
      <w:pPr>
        <w:spacing w:after="0" w:line="23" w:lineRule="exact"/>
        <w:rPr>
          <w:sz w:val="20"/>
          <w:szCs w:val="20"/>
          <w:color w:val="auto"/>
        </w:rPr>
      </w:pPr>
    </w:p>
    <w:p>
      <w:pPr>
        <w:ind w:left="7080"/>
        <w:spacing w:after="0"/>
        <w:rPr>
          <w:sz w:val="20"/>
          <w:szCs w:val="20"/>
          <w:color w:val="auto"/>
        </w:rPr>
      </w:pPr>
      <w:r>
        <w:rPr>
          <w:rFonts w:ascii="Arial" w:cs="Arial" w:eastAsia="Arial" w:hAnsi="Arial"/>
          <w:sz w:val="18"/>
          <w:szCs w:val="18"/>
          <w:b w:val="1"/>
          <w:bCs w:val="1"/>
          <w:i w:val="1"/>
          <w:iCs w:val="1"/>
          <w:color w:val="auto"/>
        </w:rPr>
        <w:t>(Principal Financial and Accounting Officer)</w:t>
      </w:r>
    </w:p>
    <w:p>
      <w:pPr>
        <w:spacing w:after="0" w:line="200" w:lineRule="exact"/>
        <w:rPr>
          <w:sz w:val="20"/>
          <w:szCs w:val="20"/>
          <w:color w:val="auto"/>
        </w:rPr>
      </w:pPr>
    </w:p>
    <w:p>
      <w:pPr>
        <w:spacing w:after="0" w:line="22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 signed original of this written statement required by Section 906 of the Sarbanes-Oxley Act of 2002 has been provided to the Company and will be retained by the Company and furnished to the Securities and Exchange Commission or its staff upon request.</w:t>
      </w:r>
    </w:p>
    <w:p>
      <w:pPr>
        <w:spacing w:after="0" w:line="170"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color w:val="auto"/>
        </w:rPr>
        <w:t>This certification accompanies the Report to which it relates, is not deemed filed with the Securities and Exchange Commission and is not to be incorporated by reference into any filing of Xenon Pharmaceuticals Inc. under the Securities Act of 1933, as amended, or the Securities Exchange Act of 1934, as amended (whether made before or after the date of the Report), irrespective of any general incorporation language contained in such filing.</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FC75AF8"/>
    <w:multiLevelType w:val="hybridMultilevel"/>
    <w:lvl w:ilvl="0">
      <w:lvlJc w:val="left"/>
      <w:lvlText w:val="☒"/>
      <w:numFmt w:val="bullet"/>
      <w:start w:val="1"/>
    </w:lvl>
  </w:abstractNum>
  <w:abstractNum w:abstractNumId="1">
    <w:nsid w:val="6A5F7029"/>
    <w:multiLevelType w:val="hybridMultilevel"/>
    <w:lvl w:ilvl="0">
      <w:lvlJc w:val="left"/>
      <w:lvlText w:val="☐"/>
      <w:numFmt w:val="bullet"/>
      <w:start w:val="1"/>
    </w:lvl>
  </w:abstractNum>
  <w:abstractNum w:abstractNumId="2">
    <w:nsid w:val="7D5E18F8"/>
    <w:multiLevelType w:val="hybridMultilevel"/>
    <w:lvl w:ilvl="0">
      <w:lvlJc w:val="left"/>
      <w:lvlText w:val="(%1)"/>
      <w:numFmt w:val="decimal"/>
      <w:start w:val="1"/>
    </w:lvl>
  </w:abstractNum>
  <w:abstractNum w:abstractNumId="3">
    <w:nsid w:val="5F3534A4"/>
    <w:multiLevelType w:val="hybridMultilevel"/>
    <w:lvl w:ilvl="0">
      <w:lvlJc w:val="left"/>
      <w:lvlText w:val="%1."/>
      <w:numFmt w:val="decimal"/>
      <w:start w:val="1"/>
    </w:lvl>
  </w:abstractNum>
  <w:abstractNum w:abstractNumId="4">
    <w:nsid w:val="73A1821B"/>
    <w:multiLevelType w:val="hybridMultilevel"/>
    <w:lvl w:ilvl="0">
      <w:lvlJc w:val="left"/>
      <w:lvlText w:val="%1."/>
      <w:numFmt w:val="decimal"/>
      <w:start w:val="4"/>
    </w:lvl>
  </w:abstractNum>
  <w:abstractNum w:abstractNumId="5">
    <w:nsid w:val="7DE67713"/>
    <w:multiLevelType w:val="hybridMultilevel"/>
    <w:lvl w:ilvl="0">
      <w:lvlJc w:val="left"/>
      <w:lvlText w:val="%1."/>
      <w:numFmt w:val="decimal"/>
      <w:start w:val="5"/>
    </w:lvl>
    <w:lvl w:ilvl="1">
      <w:lvlJc w:val="left"/>
      <w:lvlText w:val="•"/>
      <w:numFmt w:val="bullet"/>
      <w:start w:val="1"/>
    </w:lvl>
  </w:abstractNum>
  <w:abstractNum w:abstractNumId="6">
    <w:nsid w:val="555C55B5"/>
    <w:multiLevelType w:val="hybridMultilevel"/>
    <w:lvl w:ilvl="0">
      <w:lvlJc w:val="left"/>
      <w:lvlText w:val="%1."/>
      <w:numFmt w:val="decimal"/>
      <w:start w:val="7"/>
    </w:lvl>
    <w:lvl w:ilvl="1">
      <w:lvlJc w:val="left"/>
      <w:lvlText w:val="(%2)"/>
      <w:numFmt w:val="lowerLetter"/>
      <w:start w:val="1"/>
    </w:lvl>
  </w:abstractNum>
  <w:abstractNum w:abstractNumId="7">
    <w:nsid w:val="3FA62ACA"/>
    <w:multiLevelType w:val="hybridMultilevel"/>
    <w:lvl w:ilvl="0">
      <w:lvlJc w:val="left"/>
      <w:lvlText w:val="(%1)"/>
      <w:numFmt w:val="decimal"/>
      <w:start w:val="1"/>
    </w:lvl>
  </w:abstractNum>
  <w:abstractNum w:abstractNumId="8">
    <w:nsid w:val="14FCE74E"/>
    <w:multiLevelType w:val="hybridMultilevel"/>
    <w:lvl w:ilvl="0">
      <w:lvlJc w:val="left"/>
      <w:lvlText w:val="%1."/>
      <w:numFmt w:val="decimal"/>
      <w:start w:val="8"/>
    </w:lvl>
  </w:abstractNum>
  <w:abstractNum w:abstractNumId="9">
    <w:nsid w:val="6A3DD3E8"/>
    <w:multiLevelType w:val="hybridMultilevel"/>
    <w:lvl w:ilvl="0">
      <w:lvlJc w:val="left"/>
      <w:lvlText w:val="%1."/>
      <w:numFmt w:val="decimal"/>
      <w:start w:val="9"/>
    </w:lvl>
    <w:lvl w:ilvl="1">
      <w:lvlJc w:val="left"/>
      <w:lvlText w:val="(%2)"/>
      <w:numFmt w:val="lowerLetter"/>
      <w:start w:val="1"/>
    </w:lvl>
  </w:abstractNum>
  <w:abstractNum w:abstractNumId="10">
    <w:nsid w:val="71C91298"/>
    <w:multiLevelType w:val="hybridMultilevel"/>
    <w:lvl w:ilvl="0">
      <w:lvlJc w:val="left"/>
      <w:lvlText w:val="%1"/>
      <w:numFmt w:val="decimal"/>
      <w:start w:val="1"/>
    </w:lvl>
    <w:lvl w:ilvl="1">
      <w:lvlJc w:val="left"/>
      <w:lvlText w:val="(%2)"/>
      <w:numFmt w:val="lowerLetter"/>
      <w:start w:val="4"/>
    </w:lvl>
  </w:abstractNum>
  <w:abstractNum w:abstractNumId="11">
    <w:nsid w:val="9DAF632"/>
    <w:multiLevelType w:val="hybridMultilevel"/>
    <w:lvl w:ilvl="0">
      <w:lvlJc w:val="left"/>
      <w:lvlText w:val="%1."/>
      <w:numFmt w:val="decimal"/>
      <w:start w:val="10"/>
    </w:lvl>
    <w:lvl w:ilvl="1">
      <w:lvlJc w:val="left"/>
      <w:lvlText w:val="%2"/>
      <w:numFmt w:val="lowerLetter"/>
      <w:start w:val="1"/>
    </w:lvl>
  </w:abstractNum>
  <w:abstractNum w:abstractNumId="12">
    <w:nsid w:val="53299938"/>
    <w:multiLevelType w:val="hybridMultilevel"/>
    <w:lvl w:ilvl="0">
      <w:lvlJc w:val="left"/>
      <w:lvlText w:val="•"/>
      <w:numFmt w:val="bullet"/>
      <w:start w:val="1"/>
    </w:lvl>
  </w:abstractNum>
  <w:abstractNum w:abstractNumId="13">
    <w:nsid w:val="1FBFE8E0"/>
    <w:multiLevelType w:val="hybridMultilevel"/>
    <w:lvl w:ilvl="0">
      <w:lvlJc w:val="left"/>
      <w:lvlText w:val="•"/>
      <w:numFmt w:val="bullet"/>
      <w:start w:val="1"/>
    </w:lvl>
  </w:abstractNum>
  <w:abstractNum w:abstractNumId="14">
    <w:nsid w:val="5092CA79"/>
    <w:multiLevelType w:val="hybridMultilevel"/>
    <w:lvl w:ilvl="0">
      <w:lvlJc w:val="left"/>
      <w:lvlText w:val="•"/>
      <w:numFmt w:val="bullet"/>
      <w:start w:val="1"/>
    </w:lvl>
  </w:abstractNum>
  <w:abstractNum w:abstractNumId="15">
    <w:nsid w:val="1D545C4D"/>
    <w:multiLevelType w:val="hybridMultilevel"/>
    <w:lvl w:ilvl="0">
      <w:lvlJc w:val="left"/>
      <w:lvlText w:val="•"/>
      <w:numFmt w:val="bullet"/>
      <w:start w:val="1"/>
    </w:lvl>
  </w:abstractNum>
  <w:abstractNum w:abstractNumId="16">
    <w:nsid w:val="59ADEA3D"/>
    <w:multiLevelType w:val="hybridMultilevel"/>
    <w:lvl w:ilvl="0">
      <w:lvlJc w:val="left"/>
      <w:lvlText w:val="•"/>
      <w:numFmt w:val="bullet"/>
      <w:start w:val="1"/>
    </w:lvl>
  </w:abstractNum>
  <w:abstractNum w:abstractNumId="17">
    <w:nsid w:val="288F1A34"/>
    <w:multiLevelType w:val="hybridMultilevel"/>
    <w:lvl w:ilvl="0">
      <w:lvlJc w:val="left"/>
      <w:lvlText w:val="•"/>
      <w:numFmt w:val="bullet"/>
      <w:start w:val="1"/>
    </w:lvl>
  </w:abstractNum>
  <w:abstractNum w:abstractNumId="18">
    <w:nsid w:val="2A155DBC"/>
    <w:multiLevelType w:val="hybridMultilevel"/>
    <w:lvl w:ilvl="0">
      <w:lvlJc w:val="left"/>
      <w:lvlText w:val="•"/>
      <w:numFmt w:val="bullet"/>
      <w:start w:val="1"/>
    </w:lvl>
  </w:abstractNum>
  <w:abstractNum w:abstractNumId="19">
    <w:nsid w:val="1D9F6E5F"/>
    <w:multiLevelType w:val="hybridMultilevel"/>
    <w:lvl w:ilvl="0">
      <w:lvlJc w:val="left"/>
      <w:lvlText w:val="(%1)"/>
      <w:numFmt w:val="lowerLetter"/>
      <w:start w:val="1"/>
    </w:lvl>
  </w:abstractNum>
  <w:abstractNum w:abstractNumId="20">
    <w:nsid w:val="97E1B4E"/>
    <w:multiLevelType w:val="hybridMultilevel"/>
    <w:lvl w:ilvl="0">
      <w:lvlJc w:val="left"/>
      <w:lvlText w:val="•"/>
      <w:numFmt w:val="bullet"/>
      <w:start w:val="1"/>
    </w:lvl>
  </w:abstractNum>
  <w:abstractNum w:abstractNumId="21">
    <w:nsid w:val="51088277"/>
    <w:multiLevelType w:val="hybridMultilevel"/>
    <w:lvl w:ilvl="0">
      <w:lvlJc w:val="left"/>
      <w:lvlText w:val="•"/>
      <w:numFmt w:val="bullet"/>
      <w:start w:val="1"/>
    </w:lvl>
  </w:abstractNum>
  <w:abstractNum w:abstractNumId="22">
    <w:nsid w:val="1CA0C5FA"/>
    <w:multiLevelType w:val="hybridMultilevel"/>
    <w:lvl w:ilvl="0">
      <w:lvlJc w:val="left"/>
      <w:lvlText w:val="•"/>
      <w:numFmt w:val="bullet"/>
      <w:start w:val="1"/>
    </w:lvl>
  </w:abstractNum>
  <w:abstractNum w:abstractNumId="23">
    <w:nsid w:val="53584BCB"/>
    <w:multiLevelType w:val="hybridMultilevel"/>
    <w:lvl w:ilvl="0">
      <w:lvlJc w:val="left"/>
      <w:lvlText w:val="•"/>
      <w:numFmt w:val="bullet"/>
      <w:start w:val="1"/>
    </w:lvl>
  </w:abstractNum>
  <w:abstractNum w:abstractNumId="24">
    <w:nsid w:val="415E286C"/>
    <w:multiLevelType w:val="hybridMultilevel"/>
    <w:lvl w:ilvl="0">
      <w:lvlJc w:val="left"/>
      <w:lvlText w:val="•"/>
      <w:numFmt w:val="bullet"/>
      <w:start w:val="1"/>
    </w:lvl>
  </w:abstractNum>
  <w:abstractNum w:abstractNumId="25">
    <w:nsid w:val="7C58FD05"/>
    <w:multiLevelType w:val="hybridMultilevel"/>
    <w:lvl w:ilvl="0">
      <w:lvlJc w:val="left"/>
      <w:lvlText w:val="•"/>
      <w:numFmt w:val="bullet"/>
      <w:start w:val="1"/>
    </w:lvl>
  </w:abstractNum>
  <w:abstractNum w:abstractNumId="26">
    <w:nsid w:val="23D86AAC"/>
    <w:multiLevelType w:val="hybridMultilevel"/>
    <w:lvl w:ilvl="0">
      <w:lvlJc w:val="left"/>
      <w:lvlText w:val="•"/>
      <w:numFmt w:val="bullet"/>
      <w:start w:val="1"/>
    </w:lvl>
  </w:abstractNum>
  <w:abstractNum w:abstractNumId="27">
    <w:nsid w:val="45E6D486"/>
    <w:multiLevelType w:val="hybridMultilevel"/>
    <w:lvl w:ilvl="0">
      <w:lvlJc w:val="left"/>
      <w:lvlText w:val="•"/>
      <w:numFmt w:val="bullet"/>
      <w:start w:val="1"/>
    </w:lvl>
  </w:abstractNum>
  <w:abstractNum w:abstractNumId="28">
    <w:nsid w:val="5C10FE21"/>
    <w:multiLevelType w:val="hybridMultilevel"/>
    <w:lvl w:ilvl="0">
      <w:lvlJc w:val="left"/>
      <w:lvlText w:val="•"/>
      <w:numFmt w:val="bullet"/>
      <w:start w:val="1"/>
    </w:lvl>
  </w:abstractNum>
  <w:abstractNum w:abstractNumId="29">
    <w:nsid w:val="E7FFA2B"/>
    <w:multiLevelType w:val="hybridMultilevel"/>
    <w:lvl w:ilvl="0">
      <w:lvlJc w:val="left"/>
      <w:lvlText w:val="\endash "/>
      <w:numFmt w:val="bullet"/>
      <w:start w:val="1"/>
    </w:lvl>
  </w:abstractNum>
  <w:abstractNum w:abstractNumId="30">
    <w:nsid w:val="3C5991AA"/>
    <w:multiLevelType w:val="hybridMultilevel"/>
    <w:lvl w:ilvl="0">
      <w:lvlJc w:val="left"/>
      <w:lvlText w:val="•"/>
      <w:numFmt w:val="bullet"/>
      <w:start w:val="1"/>
    </w:lvl>
  </w:abstractNum>
  <w:abstractNum w:abstractNumId="31">
    <w:nsid w:val="4BD8591A"/>
    <w:multiLevelType w:val="hybridMultilevel"/>
    <w:lvl w:ilvl="0">
      <w:lvlJc w:val="left"/>
      <w:lvlText w:val="•"/>
      <w:numFmt w:val="bullet"/>
      <w:start w:val="1"/>
    </w:lvl>
  </w:abstractNum>
  <w:abstractNum w:abstractNumId="32">
    <w:nsid w:val="78DF6A55"/>
    <w:multiLevelType w:val="hybridMultilevel"/>
    <w:lvl w:ilvl="0">
      <w:lvlJc w:val="left"/>
      <w:lvlText w:val="•"/>
      <w:numFmt w:val="bullet"/>
      <w:start w:val="1"/>
    </w:lvl>
  </w:abstractNum>
  <w:abstractNum w:abstractNumId="33">
    <w:nsid w:val="39B7AAA2"/>
    <w:multiLevelType w:val="hybridMultilevel"/>
    <w:lvl w:ilvl="0">
      <w:lvlJc w:val="left"/>
      <w:lvlText w:val="•"/>
      <w:numFmt w:val="bullet"/>
      <w:start w:val="1"/>
    </w:lvl>
  </w:abstractNum>
  <w:abstractNum w:abstractNumId="34">
    <w:nsid w:val="2B0D8DBE"/>
    <w:multiLevelType w:val="hybridMultilevel"/>
    <w:lvl w:ilvl="0">
      <w:lvlJc w:val="left"/>
      <w:lvlText w:val="•"/>
      <w:numFmt w:val="bullet"/>
      <w:start w:val="1"/>
    </w:lvl>
  </w:abstractNum>
  <w:abstractNum w:abstractNumId="35">
    <w:nsid w:val="6C80EC70"/>
    <w:multiLevelType w:val="hybridMultilevel"/>
    <w:lvl w:ilvl="0">
      <w:lvlJc w:val="left"/>
      <w:lvlText w:val="•"/>
      <w:numFmt w:val="bullet"/>
      <w:start w:val="1"/>
    </w:lvl>
  </w:abstractNum>
  <w:abstractNum w:abstractNumId="36">
    <w:nsid w:val="379E21B5"/>
    <w:multiLevelType w:val="hybridMultilevel"/>
    <w:lvl w:ilvl="0">
      <w:lvlJc w:val="left"/>
      <w:lvlText w:val="•"/>
      <w:numFmt w:val="bullet"/>
      <w:start w:val="1"/>
    </w:lvl>
  </w:abstractNum>
  <w:abstractNum w:abstractNumId="37">
    <w:nsid w:val="69E373"/>
    <w:multiLevelType w:val="hybridMultilevel"/>
    <w:lvl w:ilvl="0">
      <w:lvlJc w:val="left"/>
      <w:lvlText w:val="•"/>
      <w:numFmt w:val="bullet"/>
      <w:start w:val="1"/>
    </w:lvl>
  </w:abstractNum>
  <w:abstractNum w:abstractNumId="38">
    <w:nsid w:val="2C27173B"/>
    <w:multiLevelType w:val="hybridMultilevel"/>
    <w:lvl w:ilvl="0">
      <w:lvlJc w:val="left"/>
      <w:lvlText w:val="•"/>
      <w:numFmt w:val="bullet"/>
      <w:start w:val="1"/>
    </w:lvl>
  </w:abstractNum>
  <w:abstractNum w:abstractNumId="39">
    <w:nsid w:val="4C9B0904"/>
    <w:multiLevelType w:val="hybridMultilevel"/>
    <w:lvl w:ilvl="0">
      <w:lvlJc w:val="left"/>
      <w:lvlText w:val="•"/>
      <w:numFmt w:val="bullet"/>
      <w:start w:val="1"/>
    </w:lvl>
  </w:abstractNum>
  <w:abstractNum w:abstractNumId="40">
    <w:nsid w:val="6AA7B75C"/>
    <w:multiLevelType w:val="hybridMultilevel"/>
    <w:lvl w:ilvl="0">
      <w:lvlJc w:val="left"/>
      <w:lvlText w:val="•"/>
      <w:numFmt w:val="bullet"/>
      <w:start w:val="1"/>
    </w:lvl>
  </w:abstractNum>
  <w:abstractNum w:abstractNumId="41">
    <w:nsid w:val="1DF029D3"/>
    <w:multiLevelType w:val="hybridMultilevel"/>
    <w:lvl w:ilvl="0">
      <w:lvlJc w:val="left"/>
      <w:lvlText w:val="•"/>
      <w:numFmt w:val="bullet"/>
      <w:start w:val="1"/>
    </w:lvl>
  </w:abstractNum>
  <w:abstractNum w:abstractNumId="42">
    <w:nsid w:val="5675FF36"/>
    <w:multiLevelType w:val="hybridMultilevel"/>
    <w:lvl w:ilvl="0">
      <w:lvlJc w:val="left"/>
      <w:lvlText w:val="•"/>
      <w:numFmt w:val="bullet"/>
      <w:start w:val="1"/>
    </w:lvl>
  </w:abstractNum>
  <w:abstractNum w:abstractNumId="43">
    <w:nsid w:val="3DD15094"/>
    <w:multiLevelType w:val="hybridMultilevel"/>
    <w:lvl w:ilvl="0">
      <w:lvlJc w:val="left"/>
      <w:lvlText w:val="•"/>
      <w:numFmt w:val="bullet"/>
      <w:start w:val="1"/>
    </w:lvl>
  </w:abstractNum>
  <w:abstractNum w:abstractNumId="44">
    <w:nsid w:val="3DB012B3"/>
    <w:multiLevelType w:val="hybridMultilevel"/>
    <w:lvl w:ilvl="0">
      <w:lvlJc w:val="left"/>
      <w:lvlText w:val="•"/>
      <w:numFmt w:val="bullet"/>
      <w:start w:val="1"/>
    </w:lvl>
  </w:abstractNum>
  <w:abstractNum w:abstractNumId="45">
    <w:nsid w:val="2708C9AF"/>
    <w:multiLevelType w:val="hybridMultilevel"/>
    <w:lvl w:ilvl="0">
      <w:lvlJc w:val="left"/>
      <w:lvlText w:val="•"/>
      <w:numFmt w:val="bullet"/>
      <w:start w:val="1"/>
    </w:lvl>
  </w:abstractNum>
  <w:abstractNum w:abstractNumId="46">
    <w:nsid w:val="5B25ACE2"/>
    <w:multiLevelType w:val="hybridMultilevel"/>
    <w:lvl w:ilvl="0">
      <w:lvlJc w:val="left"/>
      <w:lvlText w:val="†"/>
      <w:numFmt w:val="bullet"/>
      <w:start w:val="1"/>
    </w:lvl>
  </w:abstractNum>
  <w:abstractNum w:abstractNumId="47">
    <w:nsid w:val="175DFCF0"/>
    <w:multiLevelType w:val="hybridMultilevel"/>
    <w:lvl w:ilvl="0">
      <w:lvlJc w:val="left"/>
      <w:lvlText w:val="*"/>
      <w:numFmt w:val="bullet"/>
      <w:start w:val="1"/>
    </w:lvl>
  </w:abstractNum>
  <w:abstractNum w:abstractNumId="48">
    <w:nsid w:val="4F97E3E4"/>
    <w:multiLevelType w:val="hybridMultilevel"/>
    <w:lvl w:ilvl="0">
      <w:lvlJc w:val="left"/>
      <w:lvlText w:val="†"/>
      <w:numFmt w:val="bullet"/>
      <w:start w:val="1"/>
    </w:lvl>
  </w:abstractNum>
  <w:abstractNum w:abstractNumId="49">
    <w:nsid w:val="53B0A9E"/>
    <w:multiLevelType w:val="hybridMultilevel"/>
    <w:lvl w:ilvl="0">
      <w:lvlJc w:val="left"/>
      <w:lvlText w:val="*"/>
      <w:numFmt w:val="bullet"/>
      <w:start w:val="1"/>
    </w:lvl>
  </w:abstractNum>
  <w:abstractNum w:abstractNumId="50">
    <w:nsid w:val="34FD6B4F"/>
    <w:multiLevelType w:val="hybridMultilevel"/>
    <w:lvl w:ilvl="0">
      <w:lvlJc w:val="left"/>
      <w:lvlText w:val="%1."/>
      <w:numFmt w:val="decimal"/>
      <w:start w:val="1"/>
    </w:lvl>
    <w:lvl w:ilvl="1">
      <w:lvlJc w:val="left"/>
      <w:lvlText w:val="%2."/>
      <w:numFmt w:val="lowerLetter"/>
      <w:start w:val="1"/>
    </w:lvl>
  </w:abstractNum>
  <w:abstractNum w:abstractNumId="51">
    <w:nsid w:val="5915FF32"/>
    <w:multiLevelType w:val="hybridMultilevel"/>
    <w:lvl w:ilvl="0">
      <w:lvlJc w:val="left"/>
      <w:lvlText w:val="[†]"/>
      <w:numFmt w:val="bullet"/>
      <w:start w:val="1"/>
    </w:lvl>
  </w:abstractNum>
  <w:abstractNum w:abstractNumId="52">
    <w:nsid w:val="56438D15"/>
    <w:multiLevelType w:val="hybridMultilevel"/>
    <w:lvl w:ilvl="0">
      <w:lvlJc w:val="left"/>
      <w:lvlText w:val="%1"/>
      <w:numFmt w:val="decimal"/>
      <w:start w:val="1"/>
    </w:lvl>
    <w:lvl w:ilvl="1">
      <w:lvlJc w:val="left"/>
      <w:lvlText w:val="%2."/>
      <w:numFmt w:val="lowerLetter"/>
      <w:start w:val="3"/>
    </w:lvl>
    <w:lvl w:ilvl="2">
      <w:lvlJc w:val="left"/>
      <w:lvlText w:val="[†]."/>
      <w:numFmt w:val="bullet"/>
      <w:start w:val="1"/>
    </w:lvl>
  </w:abstractNum>
  <w:abstractNum w:abstractNumId="53">
    <w:nsid w:val="519E3149"/>
    <w:multiLevelType w:val="hybridMultilevel"/>
    <w:lvl w:ilvl="0">
      <w:lvlJc w:val="left"/>
      <w:lvlText w:val="%1."/>
      <w:numFmt w:val="decimal"/>
      <w:start w:val="4"/>
    </w:lvl>
    <w:lvl w:ilvl="1">
      <w:lvlJc w:val="left"/>
      <w:lvlText w:val="%2."/>
      <w:numFmt w:val="lowerLetter"/>
      <w:start w:val="1"/>
    </w:lvl>
    <w:lvl w:ilvl="2">
      <w:lvlJc w:val="left"/>
      <w:lvlText w:val="[†]."/>
      <w:numFmt w:val="bullet"/>
      <w:start w:val="1"/>
    </w:lvl>
  </w:abstractNum>
  <w:abstractNum w:abstractNumId="54">
    <w:nsid w:val="2C6E4AFD"/>
    <w:multiLevelType w:val="hybridMultilevel"/>
    <w:lvl w:ilvl="0">
      <w:lvlJc w:val="left"/>
      <w:lvlText w:val="[†]"/>
      <w:numFmt w:val="bullet"/>
      <w:start w:val="1"/>
    </w:lvl>
  </w:abstractNum>
  <w:abstractNum w:abstractNumId="55">
    <w:nsid w:val="17A1B582"/>
    <w:multiLevelType w:val="hybridMultilevel"/>
    <w:lvl w:ilvl="0">
      <w:lvlJc w:val="left"/>
      <w:lvlText w:val="[†]"/>
      <w:numFmt w:val="bullet"/>
      <w:start w:val="1"/>
    </w:lvl>
    <w:lvl w:ilvl="1">
      <w:lvlJc w:val="left"/>
      <w:lvlText w:val="&amp;"/>
      <w:numFmt w:val="bullet"/>
      <w:start w:val="1"/>
    </w:lvl>
  </w:abstractNum>
  <w:abstractNum w:abstractNumId="56">
    <w:nsid w:val="4DF72E4E"/>
    <w:multiLevelType w:val="hybridMultilevel"/>
    <w:lvl w:ilvl="0">
      <w:lvlJc w:val="left"/>
      <w:lvlText w:val="[†]"/>
      <w:numFmt w:val="bullet"/>
      <w:start w:val="1"/>
    </w:lvl>
  </w:abstractNum>
  <w:abstractNum w:abstractNumId="57">
    <w:nsid w:val="5046B5A9"/>
    <w:multiLevelType w:val="hybridMultilevel"/>
    <w:lvl w:ilvl="0">
      <w:lvlJc w:val="left"/>
      <w:lvlText w:val="%1."/>
      <w:numFmt w:val="upperLetter"/>
      <w:start w:val="1"/>
    </w:lvl>
  </w:abstractNum>
  <w:abstractNum w:abstractNumId="58">
    <w:nsid w:val="5D888A08"/>
    <w:multiLevelType w:val="hybridMultilevel"/>
    <w:lvl w:ilvl="0">
      <w:lvlJc w:val="left"/>
      <w:lvlText w:val="[†]"/>
      <w:numFmt w:val="bullet"/>
      <w:start w:val="1"/>
    </w:lvl>
  </w:abstractNum>
  <w:abstractNum w:abstractNumId="59">
    <w:nsid w:val="2A082C70"/>
    <w:multiLevelType w:val="hybridMultilevel"/>
    <w:lvl w:ilvl="0">
      <w:lvlJc w:val="left"/>
      <w:lvlText w:val="[†]"/>
      <w:numFmt w:val="bullet"/>
      <w:start w:val="1"/>
    </w:lvl>
  </w:abstractNum>
  <w:abstractNum w:abstractNumId="60">
    <w:nsid w:val="5EC6AFD4"/>
    <w:multiLevelType w:val="hybridMultilevel"/>
    <w:lvl w:ilvl="0">
      <w:lvlJc w:val="left"/>
      <w:lvlText w:val="[†]"/>
      <w:numFmt w:val="bullet"/>
      <w:start w:val="1"/>
    </w:lvl>
  </w:abstractNum>
  <w:abstractNum w:abstractNumId="61">
    <w:nsid w:val="19E21BB2"/>
    <w:multiLevelType w:val="hybridMultilevel"/>
    <w:lvl w:ilvl="0">
      <w:lvlJc w:val="left"/>
      <w:lvlText w:val="[†]"/>
      <w:numFmt w:val="bullet"/>
      <w:start w:val="1"/>
    </w:lvl>
  </w:abstractNum>
  <w:abstractNum w:abstractNumId="62">
    <w:nsid w:val="75E0858A"/>
    <w:multiLevelType w:val="hybridMultilevel"/>
    <w:lvl w:ilvl="0">
      <w:lvlJc w:val="left"/>
      <w:lvlText w:val="[†]"/>
      <w:numFmt w:val="bullet"/>
      <w:start w:val="1"/>
    </w:lvl>
  </w:abstractNum>
  <w:abstractNum w:abstractNumId="63">
    <w:nsid w:val="57A61A29"/>
    <w:multiLevelType w:val="hybridMultilevel"/>
    <w:lvl w:ilvl="0">
      <w:lvlJc w:val="left"/>
      <w:lvlText w:val="(%1)"/>
      <w:numFmt w:val="lowerLetter"/>
      <w:start w:val="1"/>
    </w:lvl>
    <w:lvl w:ilvl="1">
      <w:lvlJc w:val="left"/>
      <w:lvlText w:val="(%2)"/>
      <w:numFmt w:val="lowerRoman"/>
      <w:start w:val="1"/>
    </w:lvl>
  </w:abstractNum>
  <w:abstractNum w:abstractNumId="64">
    <w:nsid w:val="5399C654"/>
    <w:multiLevelType w:val="hybridMultilevel"/>
    <w:lvl w:ilvl="0">
      <w:lvlJc w:val="left"/>
      <w:lvlText w:val="%1"/>
      <w:numFmt w:val="lowerLetter"/>
      <w:start w:val="1"/>
    </w:lvl>
    <w:lvl w:ilvl="1">
      <w:lvlJc w:val="left"/>
      <w:lvlText w:val="(%2)"/>
      <w:numFmt w:val="lowerRoman"/>
      <w:start w:val="1"/>
    </w:lvl>
  </w:abstractNum>
  <w:abstractNum w:abstractNumId="65">
    <w:nsid w:val="20EE1348"/>
    <w:multiLevelType w:val="hybridMultilevel"/>
    <w:lvl w:ilvl="0">
      <w:lvlJc w:val="left"/>
      <w:lvlText w:val="(%1)"/>
      <w:numFmt w:val="lowerLetter"/>
      <w:start w:val="3"/>
    </w:lvl>
    <w:lvl w:ilvl="1">
      <w:lvlJc w:val="left"/>
      <w:lvlText w:val="(%2)"/>
      <w:numFmt w:val="lowerRoman"/>
      <w:start w:val="1"/>
    </w:lvl>
  </w:abstractNum>
  <w:abstractNum w:abstractNumId="66">
    <w:nsid w:val="4427069A"/>
    <w:multiLevelType w:val="hybridMultilevel"/>
    <w:lvl w:ilvl="0">
      <w:lvlJc w:val="left"/>
      <w:lvlText w:val="[†]"/>
      <w:numFmt w:val="bullet"/>
      <w:start w:val="1"/>
    </w:lvl>
  </w:abstractNum>
  <w:abstractNum w:abstractNumId="67">
    <w:nsid w:val="B37E80A"/>
    <w:multiLevelType w:val="hybridMultilevel"/>
    <w:lvl w:ilvl="0">
      <w:lvlJc w:val="left"/>
      <w:lvlText w:val="(%1)"/>
      <w:numFmt w:val="lowerRoman"/>
      <w:start w:val="5"/>
    </w:lvl>
  </w:abstractNum>
  <w:abstractNum w:abstractNumId="68">
    <w:nsid w:val="2157F6BC"/>
    <w:multiLevelType w:val="hybridMultilevel"/>
    <w:lvl w:ilvl="0">
      <w:lvlJc w:val="left"/>
      <w:lvlText w:val="(%1)"/>
      <w:numFmt w:val="lowerLetter"/>
      <w:start w:val="4"/>
    </w:lvl>
  </w:abstractNum>
  <w:abstractNum w:abstractNumId="69">
    <w:nsid w:val="704E1DD5"/>
    <w:multiLevelType w:val="hybridMultilevel"/>
    <w:lvl w:ilvl="0">
      <w:lvlJc w:val="left"/>
      <w:lvlText w:val="[†]"/>
      <w:numFmt w:val="bullet"/>
      <w:start w:val="1"/>
    </w:lvl>
    <w:lvl w:ilvl="1">
      <w:lvlJc w:val="left"/>
      <w:lvlText w:val="(%2)"/>
      <w:numFmt w:val="lowerLetter"/>
      <w:start w:val="1"/>
    </w:lvl>
  </w:abstractNum>
  <w:abstractNum w:abstractNumId="70">
    <w:nsid w:val="57D2F10E"/>
    <w:multiLevelType w:val="hybridMultilevel"/>
    <w:lvl w:ilvl="0">
      <w:lvlJc w:val="left"/>
      <w:lvlText w:val="[†]"/>
      <w:numFmt w:val="bullet"/>
      <w:start w:val="1"/>
    </w:lvl>
  </w:abstractNum>
  <w:abstractNum w:abstractNumId="71">
    <w:nsid w:val="BFFAE18"/>
    <w:multiLevelType w:val="hybridMultilevel"/>
    <w:lvl w:ilvl="0">
      <w:lvlJc w:val="left"/>
      <w:lvlText w:val="(%1)"/>
      <w:numFmt w:val="lowerLetter"/>
      <w:start w:val="2"/>
    </w:lvl>
  </w:abstractNum>
  <w:abstractNum w:abstractNumId="72">
    <w:nsid w:val="E3E47A8"/>
    <w:multiLevelType w:val="hybridMultilevel"/>
    <w:lvl w:ilvl="0">
      <w:lvlJc w:val="left"/>
      <w:lvlText w:val="(%1)"/>
      <w:numFmt w:val="lowerLetter"/>
      <w:start w:val="3"/>
    </w:lvl>
  </w:abstractNum>
  <w:abstractNum w:abstractNumId="73">
    <w:nsid w:val="2E48F044"/>
    <w:multiLevelType w:val="hybridMultilevel"/>
    <w:lvl w:ilvl="0">
      <w:lvlJc w:val="left"/>
      <w:lvlText w:val="(%1)"/>
      <w:numFmt w:val="lowerRoman"/>
      <w:start w:val="1"/>
    </w:lvl>
  </w:abstractNum>
  <w:abstractNum w:abstractNumId="74">
    <w:nsid w:val="49D0FEAC"/>
    <w:multiLevelType w:val="hybridMultilevel"/>
    <w:lvl w:ilvl="0">
      <w:lvlJc w:val="left"/>
      <w:lvlText w:val="[†]"/>
      <w:numFmt w:val="bullet"/>
      <w:start w:val="1"/>
    </w:lvl>
  </w:abstractNum>
  <w:abstractNum w:abstractNumId="75">
    <w:nsid w:val="4BEE5A5B"/>
    <w:multiLevelType w:val="hybridMultilevel"/>
    <w:lvl w:ilvl="0">
      <w:lvlJc w:val="left"/>
      <w:lvlText w:val="(%1)"/>
      <w:numFmt w:val="lowerRoman"/>
      <w:start w:val="4"/>
    </w:lvl>
  </w:abstractNum>
  <w:abstractNum w:abstractNumId="76">
    <w:nsid w:val="5551B9F3"/>
    <w:multiLevelType w:val="hybridMultilevel"/>
    <w:lvl w:ilvl="0">
      <w:lvlJc w:val="left"/>
      <w:lvlText w:val="(%1)"/>
      <w:numFmt w:val="lowerLetter"/>
      <w:start w:val="1"/>
    </w:lvl>
    <w:lvl w:ilvl="1">
      <w:lvlJc w:val="left"/>
      <w:lvlText w:val="(%2)"/>
      <w:numFmt w:val="lowerRoman"/>
      <w:start w:val="1"/>
    </w:lvl>
  </w:abstractNum>
  <w:abstractNum w:abstractNumId="77">
    <w:nsid w:val="24F6AB8E"/>
    <w:multiLevelType w:val="hybridMultilevel"/>
    <w:lvl w:ilvl="0">
      <w:lvlJc w:val="left"/>
      <w:lvlText w:val="[†]"/>
      <w:numFmt w:val="bullet"/>
      <w:start w:val="1"/>
    </w:lvl>
  </w:abstractNum>
  <w:abstractNum w:abstractNumId="78">
    <w:nsid w:val="634C574C"/>
    <w:multiLevelType w:val="hybridMultilevel"/>
    <w:lvl w:ilvl="0">
      <w:lvlJc w:val="left"/>
      <w:lvlText w:val="[†]"/>
      <w:numFmt w:val="bullet"/>
      <w:start w:val="1"/>
    </w:lvl>
  </w:abstractNum>
  <w:abstractNum w:abstractNumId="79">
    <w:nsid w:val="24E99DD7"/>
    <w:multiLevelType w:val="hybridMultilevel"/>
    <w:lvl w:ilvl="0">
      <w:lvlJc w:val="left"/>
      <w:lvlText w:val="(%1)"/>
      <w:numFmt w:val="lowerLetter"/>
      <w:start w:val="1"/>
    </w:lvl>
  </w:abstractNum>
  <w:abstractNum w:abstractNumId="80">
    <w:nsid w:val="2A31B62D"/>
    <w:multiLevelType w:val="hybridMultilevel"/>
    <w:lvl w:ilvl="0">
      <w:lvlJc w:val="left"/>
      <w:lvlText w:val="[†]"/>
      <w:numFmt w:val="bullet"/>
      <w:start w:val="1"/>
    </w:lvl>
  </w:abstractNum>
  <w:abstractNum w:abstractNumId="81">
    <w:nsid w:val="1849C29B"/>
    <w:multiLevelType w:val="hybridMultilevel"/>
    <w:lvl w:ilvl="0">
      <w:lvlJc w:val="left"/>
      <w:lvlText w:val="(%1)"/>
      <w:numFmt w:val="lowerLetter"/>
      <w:start w:val="5"/>
    </w:lvl>
  </w:abstractNum>
  <w:abstractNum w:abstractNumId="82">
    <w:nsid w:val="7DFF9D09"/>
    <w:multiLevelType w:val="hybridMultilevel"/>
    <w:lvl w:ilvl="0">
      <w:lvlJc w:val="left"/>
      <w:lvlText w:val="[†]"/>
      <w:numFmt w:val="bullet"/>
      <w:start w:val="1"/>
    </w:lvl>
  </w:abstractNum>
  <w:abstractNum w:abstractNumId="83">
    <w:nsid w:val="754342"/>
    <w:multiLevelType w:val="hybridMultilevel"/>
    <w:lvl w:ilvl="0">
      <w:lvlJc w:val="left"/>
      <w:lvlText w:val="%1"/>
      <w:numFmt w:val="decimal"/>
      <w:start w:val="1"/>
    </w:lvl>
    <w:lvl w:ilvl="1">
      <w:lvlJc w:val="left"/>
      <w:lvlText w:val="(%2)"/>
      <w:numFmt w:val="lowerLetter"/>
      <w:start w:val="13"/>
    </w:lvl>
  </w:abstractNum>
  <w:abstractNum w:abstractNumId="84">
    <w:nsid w:val="69E7F3E5"/>
    <w:multiLevelType w:val="hybridMultilevel"/>
    <w:lvl w:ilvl="0">
      <w:lvlJc w:val="left"/>
      <w:lvlText w:val="(%1)"/>
      <w:numFmt w:val="decimal"/>
      <w:start w:val="1"/>
    </w:lvl>
    <w:lvl w:ilvl="1">
      <w:lvlJc w:val="left"/>
      <w:lvlText w:val="(%2)"/>
      <w:numFmt w:val="lowerLetter"/>
      <w:start w:val="14"/>
    </w:lvl>
  </w:abstractNum>
  <w:abstractNum w:abstractNumId="85">
    <w:nsid w:val="2A6DE806"/>
    <w:multiLevelType w:val="hybridMultilevel"/>
    <w:lvl w:ilvl="0">
      <w:lvlJc w:val="left"/>
      <w:lvlText w:val="[†]"/>
      <w:numFmt w:val="bullet"/>
      <w:start w:val="1"/>
    </w:lvl>
  </w:abstractNum>
  <w:abstractNum w:abstractNumId="86">
    <w:nsid w:val="1816F8C4"/>
    <w:multiLevelType w:val="hybridMultilevel"/>
    <w:lvl w:ilvl="0">
      <w:lvlJc w:val="left"/>
      <w:lvlText w:val="(%1)"/>
      <w:numFmt w:val="lowerLetter"/>
      <w:start w:val="1"/>
    </w:lvl>
  </w:abstractNum>
  <w:abstractNum w:abstractNumId="87">
    <w:nsid w:val="37DF2233"/>
    <w:multiLevelType w:val="hybridMultilevel"/>
    <w:lvl w:ilvl="0">
      <w:lvlJc w:val="left"/>
      <w:lvlText w:val="(%1)"/>
      <w:numFmt w:val="lowerLetter"/>
      <w:start w:val="1"/>
    </w:lvl>
  </w:abstractNum>
  <w:abstractNum w:abstractNumId="88">
    <w:nsid w:val="7AB49DAF"/>
    <w:multiLevelType w:val="hybridMultilevel"/>
    <w:lvl w:ilvl="0">
      <w:lvlJc w:val="left"/>
      <w:lvlText w:val="[†]"/>
      <w:numFmt w:val="bullet"/>
      <w:start w:val="1"/>
    </w:lvl>
  </w:abstractNum>
  <w:abstractNum w:abstractNumId="89">
    <w:nsid w:val="759F82CD"/>
    <w:multiLevelType w:val="hybridMultilevel"/>
    <w:lvl w:ilvl="0">
      <w:lvlJc w:val="left"/>
      <w:lvlText w:val="[†]"/>
      <w:numFmt w:val="bullet"/>
      <w:start w:val="1"/>
    </w:lvl>
  </w:abstractNum>
  <w:abstractNum w:abstractNumId="90">
    <w:nsid w:val="61E74EA3"/>
    <w:multiLevelType w:val="hybridMultilevel"/>
    <w:lvl w:ilvl="0">
      <w:lvlJc w:val="left"/>
      <w:lvlText w:val="[†]"/>
      <w:numFmt w:val="bullet"/>
      <w:start w:val="1"/>
    </w:lvl>
  </w:abstractNum>
  <w:abstractNum w:abstractNumId="91">
    <w:nsid w:val="597B4D84"/>
    <w:multiLevelType w:val="hybridMultilevel"/>
    <w:lvl w:ilvl="0">
      <w:lvlJc w:val="left"/>
      <w:lvlText w:val="[†]"/>
      <w:numFmt w:val="bullet"/>
      <w:start w:val="1"/>
    </w:lvl>
  </w:abstractNum>
  <w:abstractNum w:abstractNumId="92">
    <w:nsid w:val="F819E7F"/>
    <w:multiLevelType w:val="hybridMultilevel"/>
    <w:lvl w:ilvl="0">
      <w:lvlJc w:val="left"/>
      <w:lvlText w:val="(%1)"/>
      <w:numFmt w:val="lowerLetter"/>
      <w:start w:val="1"/>
    </w:lvl>
  </w:abstractNum>
  <w:abstractNum w:abstractNumId="93">
    <w:nsid w:val="57C7D42D"/>
    <w:multiLevelType w:val="hybridMultilevel"/>
    <w:lvl w:ilvl="0">
      <w:lvlJc w:val="left"/>
      <w:lvlText w:val="(%1)"/>
      <w:numFmt w:val="lowerLetter"/>
      <w:start w:val="1"/>
    </w:lvl>
  </w:abstractNum>
  <w:abstractNum w:abstractNumId="94">
    <w:nsid w:val="312167AD"/>
    <w:multiLevelType w:val="hybridMultilevel"/>
    <w:lvl w:ilvl="0">
      <w:lvlJc w:val="left"/>
      <w:lvlText w:val="[†]"/>
      <w:numFmt w:val="bullet"/>
      <w:start w:val="1"/>
    </w:lvl>
  </w:abstractNum>
  <w:abstractNum w:abstractNumId="95">
    <w:nsid w:val="631B64D4"/>
    <w:multiLevelType w:val="hybridMultilevel"/>
    <w:lvl w:ilvl="0">
      <w:lvlJc w:val="left"/>
      <w:lvlText w:val="(%1)"/>
      <w:numFmt w:val="lowerLetter"/>
      <w:start w:val="6"/>
    </w:lvl>
  </w:abstractNum>
  <w:abstractNum w:abstractNumId="96">
    <w:nsid w:val="78B5E776"/>
    <w:multiLevelType w:val="hybridMultilevel"/>
    <w:lvl w:ilvl="0">
      <w:lvlJc w:val="left"/>
      <w:lvlText w:val="(%1)"/>
      <w:numFmt w:val="lowerLetter"/>
      <w:start w:val="1"/>
    </w:lvl>
  </w:abstractNum>
  <w:abstractNum w:abstractNumId="97">
    <w:nsid w:val="75486E47"/>
    <w:multiLevelType w:val="hybridMultilevel"/>
    <w:lvl w:ilvl="0">
      <w:lvlJc w:val="left"/>
      <w:lvlText w:val="(%1)"/>
      <w:numFmt w:val="lowerLetter"/>
      <w:start w:val="1"/>
    </w:lvl>
    <w:lvl w:ilvl="1">
      <w:lvlJc w:val="left"/>
      <w:lvlText w:val="(%2)"/>
      <w:numFmt w:val="lowerRoman"/>
      <w:start w:val="1"/>
    </w:lvl>
  </w:abstractNum>
  <w:abstractNum w:abstractNumId="98">
    <w:nsid w:val="6E534CDE"/>
    <w:multiLevelType w:val="hybridMultilevel"/>
    <w:lvl w:ilvl="0">
      <w:lvlJc w:val="left"/>
      <w:lvlText w:val="[†]"/>
      <w:numFmt w:val="bullet"/>
      <w:start w:val="1"/>
    </w:lvl>
  </w:abstractNum>
  <w:abstractNum w:abstractNumId="99">
    <w:nsid w:val="1A0DDE32"/>
    <w:multiLevelType w:val="hybridMultilevel"/>
    <w:lvl w:ilvl="0">
      <w:lvlJc w:val="left"/>
      <w:lvlText w:val="(%1)"/>
      <w:numFmt w:val="lowerLetter"/>
      <w:start w:val="1"/>
    </w:lvl>
  </w:abstractNum>
  <w:abstractNum w:abstractNumId="100">
    <w:nsid w:val="65968C1C"/>
    <w:multiLevelType w:val="hybridMultilevel"/>
    <w:lvl w:ilvl="0">
      <w:lvlJc w:val="left"/>
      <w:lvlText w:val="(%1)"/>
      <w:numFmt w:val="lowerRoman"/>
      <w:start w:val="2"/>
    </w:lvl>
  </w:abstractNum>
  <w:abstractNum w:abstractNumId="101">
    <w:nsid w:val="46263DEC"/>
    <w:multiLevelType w:val="hybridMultilevel"/>
    <w:lvl w:ilvl="0">
      <w:lvlJc w:val="left"/>
      <w:lvlText w:val="(%1)"/>
      <w:numFmt w:val="lowerLetter"/>
      <w:start w:val="2"/>
    </w:lvl>
  </w:abstractNum>
  <w:abstractNum w:abstractNumId="102">
    <w:nsid w:val="260D8C4A"/>
    <w:multiLevelType w:val="hybridMultilevel"/>
    <w:lvl w:ilvl="0">
      <w:lvlJc w:val="left"/>
      <w:lvlText w:val="[†]"/>
      <w:numFmt w:val="bullet"/>
      <w:start w:val="1"/>
    </w:lvl>
  </w:abstractNum>
  <w:abstractNum w:abstractNumId="103">
    <w:nsid w:val="73D4D3C4"/>
    <w:multiLevelType w:val="hybridMultilevel"/>
    <w:lvl w:ilvl="0">
      <w:lvlJc w:val="left"/>
      <w:lvlText w:val="[†]"/>
      <w:numFmt w:val="bullet"/>
      <w:start w:val="1"/>
    </w:lvl>
  </w:abstractNum>
  <w:abstractNum w:abstractNumId="104">
    <w:nsid w:val="746F2E30"/>
    <w:multiLevelType w:val="hybridMultilevel"/>
    <w:lvl w:ilvl="0">
      <w:lvlJc w:val="left"/>
      <w:lvlText w:val="(%1)"/>
      <w:numFmt w:val="lowerLetter"/>
      <w:start w:val="1"/>
    </w:lvl>
  </w:abstractNum>
  <w:abstractNum w:abstractNumId="105">
    <w:nsid w:val="6FDE8AF6"/>
    <w:multiLevelType w:val="hybridMultilevel"/>
    <w:lvl w:ilvl="0">
      <w:lvlJc w:val="left"/>
      <w:lvlText w:val="[†]"/>
      <w:numFmt w:val="bullet"/>
      <w:start w:val="1"/>
    </w:lvl>
  </w:abstractNum>
  <w:abstractNum w:abstractNumId="106">
    <w:nsid w:val="3FC32E20"/>
    <w:multiLevelType w:val="hybridMultilevel"/>
    <w:lvl w:ilvl="0">
      <w:lvlJc w:val="left"/>
      <w:lvlText w:val="[†]"/>
      <w:numFmt w:val="bullet"/>
      <w:start w:val="1"/>
    </w:lvl>
  </w:abstractNum>
  <w:abstractNum w:abstractNumId="107">
    <w:nsid w:val="49C0E823"/>
    <w:multiLevelType w:val="hybridMultilevel"/>
    <w:lvl w:ilvl="0">
      <w:lvlJc w:val="left"/>
      <w:lvlText w:val="(%1)"/>
      <w:numFmt w:val="lowerLetter"/>
      <w:start w:val="1"/>
    </w:lvl>
  </w:abstractNum>
  <w:abstractNum w:abstractNumId="108">
    <w:nsid w:val="14D53685"/>
    <w:multiLevelType w:val="hybridMultilevel"/>
    <w:lvl w:ilvl="0">
      <w:lvlJc w:val="left"/>
      <w:lvlText w:val="[†]"/>
      <w:numFmt w:val="bullet"/>
      <w:start w:val="1"/>
    </w:lvl>
  </w:abstractNum>
  <w:abstractNum w:abstractNumId="109">
    <w:nsid w:val="230F856C"/>
    <w:multiLevelType w:val="hybridMultilevel"/>
    <w:lvl w:ilvl="0">
      <w:lvlJc w:val="left"/>
      <w:lvlText w:val="(%1)"/>
      <w:numFmt w:val="lowerLetter"/>
      <w:start w:val="4"/>
    </w:lvl>
  </w:abstractNum>
  <w:abstractNum w:abstractNumId="110">
    <w:nsid w:val="6EAA85FB"/>
    <w:multiLevelType w:val="hybridMultilevel"/>
    <w:lvl w:ilvl="0">
      <w:lvlJc w:val="left"/>
      <w:lvlText w:val="[†]"/>
      <w:numFmt w:val="bullet"/>
      <w:start w:val="1"/>
    </w:lvl>
  </w:abstractNum>
  <w:abstractNum w:abstractNumId="111">
    <w:nsid w:val="3F06ECB2"/>
    <w:multiLevelType w:val="hybridMultilevel"/>
    <w:lvl w:ilvl="0">
      <w:lvlJc w:val="left"/>
      <w:lvlText w:val="[†]"/>
      <w:numFmt w:val="bullet"/>
      <w:start w:val="1"/>
    </w:lvl>
  </w:abstractNum>
  <w:abstractNum w:abstractNumId="112">
    <w:nsid w:val="3B594807"/>
    <w:multiLevelType w:val="hybridMultilevel"/>
    <w:lvl w:ilvl="0">
      <w:lvlJc w:val="left"/>
      <w:lvlText w:val="[†]"/>
      <w:numFmt w:val="bullet"/>
      <w:start w:val="1"/>
    </w:lvl>
  </w:abstractNum>
  <w:abstractNum w:abstractNumId="113">
    <w:nsid w:val="6CAA2304"/>
    <w:multiLevelType w:val="hybridMultilevel"/>
    <w:lvl w:ilvl="0">
      <w:lvlJc w:val="left"/>
      <w:lvlText w:val="[†]"/>
      <w:numFmt w:val="bullet"/>
      <w:start w:val="1"/>
    </w:lvl>
  </w:abstractNum>
  <w:abstractNum w:abstractNumId="114">
    <w:nsid w:val="3F7C2FF4"/>
    <w:multiLevelType w:val="hybridMultilevel"/>
    <w:lvl w:ilvl="0">
      <w:lvlJc w:val="left"/>
      <w:lvlText w:val="%1."/>
      <w:numFmt w:val="upperLetter"/>
      <w:start w:val="1"/>
    </w:lvl>
  </w:abstractNum>
  <w:abstractNum w:abstractNumId="115">
    <w:nsid w:val="25413BEC"/>
    <w:multiLevelType w:val="hybridMultilevel"/>
    <w:lvl w:ilvl="0">
      <w:lvlJc w:val="left"/>
      <w:lvlText w:val="[†]"/>
      <w:numFmt w:val="bullet"/>
      <w:start w:val="1"/>
    </w:lvl>
  </w:abstractNum>
  <w:abstractNum w:abstractNumId="116">
    <w:nsid w:val="17180B0B"/>
    <w:multiLevelType w:val="hybridMultilevel"/>
    <w:lvl w:ilvl="0">
      <w:lvlJc w:val="left"/>
      <w:lvlText w:val="[†]"/>
      <w:numFmt w:val="bullet"/>
      <w:start w:val="1"/>
    </w:lvl>
  </w:abstractNum>
  <w:abstractNum w:abstractNumId="117">
    <w:nsid w:val="579328B9"/>
    <w:multiLevelType w:val="hybridMultilevel"/>
    <w:lvl w:ilvl="0">
      <w:lvlJc w:val="left"/>
      <w:lvlText w:val="(%1)"/>
      <w:numFmt w:val="lowerRoman"/>
      <w:start w:val="3"/>
    </w:lvl>
  </w:abstractNum>
  <w:abstractNum w:abstractNumId="118">
    <w:nsid w:val="5D205E20"/>
    <w:multiLevelType w:val="hybridMultilevel"/>
    <w:lvl w:ilvl="0">
      <w:lvlJc w:val="left"/>
      <w:lvlText w:val="[†]"/>
      <w:numFmt w:val="bullet"/>
      <w:start w:val="1"/>
    </w:lvl>
  </w:abstractNum>
  <w:abstractNum w:abstractNumId="119">
    <w:nsid w:val="11CCA8BA"/>
    <w:multiLevelType w:val="hybridMultilevel"/>
    <w:lvl w:ilvl="0">
      <w:lvlJc w:val="left"/>
      <w:lvlText w:val="[†]"/>
      <w:numFmt w:val="bullet"/>
      <w:start w:val="1"/>
    </w:lvl>
  </w:abstractNum>
  <w:abstractNum w:abstractNumId="120">
    <w:nsid w:val="4D32AB86"/>
    <w:multiLevelType w:val="hybridMultilevel"/>
    <w:lvl w:ilvl="0">
      <w:lvlJc w:val="left"/>
      <w:lvlText w:val="(%1)"/>
      <w:numFmt w:val="lowerLetter"/>
      <w:start w:val="1"/>
    </w:lvl>
    <w:lvl w:ilvl="1">
      <w:lvlJc w:val="left"/>
      <w:lvlText w:val="(%2)"/>
      <w:numFmt w:val="lowerRoman"/>
      <w:start w:val="1"/>
    </w:lvl>
  </w:abstractNum>
  <w:abstractNum w:abstractNumId="121">
    <w:nsid w:val="3F07ACC3"/>
    <w:multiLevelType w:val="hybridMultilevel"/>
    <w:lvl w:ilvl="0">
      <w:lvlJc w:val="left"/>
      <w:lvlText w:val="(%1)"/>
      <w:numFmt w:val="lowerLetter"/>
      <w:start w:val="1"/>
    </w:lvl>
  </w:abstractNum>
  <w:abstractNum w:abstractNumId="122">
    <w:nsid w:val="6B47F63E"/>
    <w:multiLevelType w:val="hybridMultilevel"/>
    <w:lvl w:ilvl="0">
      <w:lvlJc w:val="left"/>
      <w:lvlText w:val="[†]"/>
      <w:numFmt w:val="bullet"/>
      <w:start w:val="1"/>
    </w:lvl>
  </w:abstractNum>
  <w:abstractNum w:abstractNumId="123">
    <w:nsid w:val="5CB44A05"/>
    <w:multiLevelType w:val="hybridMultilevel"/>
    <w:lvl w:ilvl="0">
      <w:lvlJc w:val="left"/>
      <w:lvlText w:val="(%1)"/>
      <w:numFmt w:val="lowerLetter"/>
      <w:start w:val="2"/>
    </w:lvl>
    <w:lvl w:ilvl="1">
      <w:lvlJc w:val="left"/>
      <w:lvlText w:val="(%2)"/>
      <w:numFmt w:val="lowerRoman"/>
      <w:start w:val="1"/>
    </w:lvl>
  </w:abstractNum>
  <w:abstractNum w:abstractNumId="124">
    <w:nsid w:val="16CF80F1"/>
    <w:multiLevelType w:val="hybridMultilevel"/>
    <w:lvl w:ilvl="0">
      <w:lvlJc w:val="left"/>
      <w:lvlText w:val="[†]"/>
      <w:numFmt w:val="bullet"/>
      <w:start w:val="1"/>
    </w:lvl>
  </w:abstractNum>
  <w:abstractNum w:abstractNumId="125">
    <w:nsid w:val="1C695DEC"/>
    <w:multiLevelType w:val="hybridMultilevel"/>
    <w:lvl w:ilvl="0">
      <w:lvlJc w:val="left"/>
      <w:lvlText w:val="(%1)"/>
      <w:numFmt w:val="lowerLetter"/>
      <w:start w:val="1"/>
    </w:lvl>
    <w:lvl w:ilvl="1">
      <w:lvlJc w:val="left"/>
      <w:lvlText w:val="(%2)"/>
      <w:numFmt w:val="lowerRoman"/>
      <w:start w:val="1"/>
    </w:lvl>
  </w:abstractNum>
  <w:abstractNum w:abstractNumId="126">
    <w:nsid w:val="3FCFAED9"/>
    <w:multiLevelType w:val="hybridMultilevel"/>
    <w:lvl w:ilvl="0">
      <w:lvlJc w:val="left"/>
      <w:lvlText w:val="[†]"/>
      <w:numFmt w:val="bullet"/>
      <w:start w:val="1"/>
    </w:lvl>
  </w:abstractNum>
  <w:abstractNum w:abstractNumId="127">
    <w:nsid w:val="F856867"/>
    <w:multiLevelType w:val="hybridMultilevel"/>
    <w:lvl w:ilvl="0">
      <w:lvlJc w:val="left"/>
      <w:lvlText w:val="[†]"/>
      <w:numFmt w:val="bullet"/>
      <w:start w:val="1"/>
    </w:lvl>
  </w:abstractNum>
  <w:abstractNum w:abstractNumId="128">
    <w:nsid w:val="11B1CC33"/>
    <w:multiLevelType w:val="hybridMultilevel"/>
    <w:lvl w:ilvl="0">
      <w:lvlJc w:val="left"/>
      <w:lvlText w:val="(%1)"/>
      <w:numFmt w:val="lowerRoman"/>
      <w:start w:val="1"/>
    </w:lvl>
  </w:abstractNum>
  <w:abstractNum w:abstractNumId="129">
    <w:nsid w:val="2E22FBB7"/>
    <w:multiLevelType w:val="hybridMultilevel"/>
    <w:lvl w:ilvl="0">
      <w:lvlJc w:val="left"/>
      <w:lvlText w:val="[†]"/>
      <w:numFmt w:val="bullet"/>
      <w:start w:val="1"/>
    </w:lvl>
  </w:abstractNum>
  <w:abstractNum w:abstractNumId="130">
    <w:nsid w:val="29934699"/>
    <w:multiLevelType w:val="hybridMultilevel"/>
    <w:lvl w:ilvl="0">
      <w:lvlJc w:val="left"/>
      <w:lvlText w:val="(%1)"/>
      <w:numFmt w:val="lowerRoman"/>
      <w:start w:val="3"/>
    </w:lvl>
  </w:abstractNum>
  <w:abstractNum w:abstractNumId="131">
    <w:nsid w:val="77485850"/>
    <w:multiLevelType w:val="hybridMultilevel"/>
    <w:lvl w:ilvl="0">
      <w:lvlJc w:val="left"/>
      <w:lvlText w:val="(%1)"/>
      <w:numFmt w:val="lowerLetter"/>
      <w:start w:val="1"/>
    </w:lvl>
    <w:lvl w:ilvl="1">
      <w:lvlJc w:val="left"/>
      <w:lvlText w:val="(%2)"/>
      <w:numFmt w:val="lowerRoman"/>
      <w:start w:val="1"/>
    </w:lvl>
  </w:abstractNum>
  <w:abstractNum w:abstractNumId="132">
    <w:nsid w:val="744939A3"/>
    <w:multiLevelType w:val="hybridMultilevel"/>
    <w:lvl w:ilvl="0">
      <w:lvlJc w:val="left"/>
      <w:lvlText w:val="[†]"/>
      <w:numFmt w:val="bullet"/>
      <w:start w:val="1"/>
    </w:lvl>
  </w:abstractNum>
  <w:abstractNum w:abstractNumId="133">
    <w:nsid w:val="4FA0D2E3"/>
    <w:multiLevelType w:val="hybridMultilevel"/>
    <w:lvl w:ilvl="0">
      <w:lvlJc w:val="left"/>
      <w:lvlText w:val="(%1)"/>
      <w:numFmt w:val="lowerLetter"/>
      <w:start w:val="2"/>
    </w:lvl>
  </w:abstractNum>
  <w:abstractNum w:abstractNumId="134">
    <w:nsid w:val="6B1D2C14"/>
    <w:multiLevelType w:val="hybridMultilevel"/>
    <w:lvl w:ilvl="0">
      <w:lvlJc w:val="left"/>
      <w:lvlText w:val="(%1)"/>
      <w:numFmt w:val="lowerLetter"/>
      <w:start w:val="1"/>
    </w:lvl>
  </w:abstractNum>
  <w:abstractNum w:abstractNumId="135">
    <w:nsid w:val="68B867D3"/>
    <w:multiLevelType w:val="hybridMultilevel"/>
    <w:lvl w:ilvl="0">
      <w:lvlJc w:val="left"/>
      <w:lvlText w:val="[†]"/>
      <w:numFmt w:val="bullet"/>
      <w:start w:val="1"/>
    </w:lvl>
  </w:abstractNum>
  <w:abstractNum w:abstractNumId="136">
    <w:nsid w:val="3F7F5DD9"/>
    <w:multiLevelType w:val="hybridMultilevel"/>
    <w:lvl w:ilvl="0">
      <w:lvlJc w:val="left"/>
      <w:lvlText w:val="(%1)"/>
      <w:numFmt w:val="lowerLetter"/>
      <w:start w:val="3"/>
    </w:lvl>
  </w:abstractNum>
  <w:abstractNum w:abstractNumId="137">
    <w:nsid w:val="2AE05A34"/>
    <w:multiLevelType w:val="hybridMultilevel"/>
    <w:lvl w:ilvl="0">
      <w:lvlJc w:val="left"/>
      <w:lvlText w:val="(%1)"/>
      <w:numFmt w:val="lowerLetter"/>
      <w:start w:val="1"/>
    </w:lvl>
  </w:abstractNum>
  <w:abstractNum w:abstractNumId="138">
    <w:nsid w:val="32794FF7"/>
    <w:multiLevelType w:val="hybridMultilevel"/>
    <w:lvl w:ilvl="0">
      <w:lvlJc w:val="left"/>
      <w:lvlText w:val="[†]"/>
      <w:numFmt w:val="bullet"/>
      <w:start w:val="1"/>
    </w:lvl>
  </w:abstractNum>
  <w:abstractNum w:abstractNumId="139">
    <w:nsid w:val="5454945E"/>
    <w:multiLevelType w:val="hybridMultilevel"/>
    <w:lvl w:ilvl="0">
      <w:lvlJc w:val="left"/>
      <w:lvlText w:val="(%1)"/>
      <w:numFmt w:val="lowerLetter"/>
      <w:start w:val="1"/>
    </w:lvl>
  </w:abstractNum>
  <w:abstractNum w:abstractNumId="140">
    <w:nsid w:val="4DEFDFA0"/>
    <w:multiLevelType w:val="hybridMultilevel"/>
    <w:lvl w:ilvl="0">
      <w:lvlJc w:val="left"/>
      <w:lvlText w:val="[†]"/>
      <w:numFmt w:val="bullet"/>
      <w:start w:val="1"/>
    </w:lvl>
  </w:abstractNum>
  <w:abstractNum w:abstractNumId="141">
    <w:nsid w:val="2123D5F2"/>
    <w:multiLevelType w:val="hybridMultilevel"/>
    <w:lvl w:ilvl="0">
      <w:lvlJc w:val="left"/>
      <w:lvlText w:val="(%1)"/>
      <w:numFmt w:val="lowerLetter"/>
      <w:start w:val="1"/>
    </w:lvl>
  </w:abstractNum>
  <w:abstractNum w:abstractNumId="142">
    <w:nsid w:val="135B8110"/>
    <w:multiLevelType w:val="hybridMultilevel"/>
    <w:lvl w:ilvl="0">
      <w:lvlJc w:val="left"/>
      <w:lvlText w:val="[†]"/>
      <w:numFmt w:val="bullet"/>
      <w:start w:val="1"/>
    </w:lvl>
  </w:abstractNum>
  <w:abstractNum w:abstractNumId="143">
    <w:nsid w:val="94927A8"/>
    <w:multiLevelType w:val="hybridMultilevel"/>
    <w:lvl w:ilvl="0">
      <w:lvlJc w:val="left"/>
      <w:lvlText w:val="[†]"/>
      <w:numFmt w:val="bullet"/>
      <w:start w:val="1"/>
    </w:lvl>
  </w:abstractNum>
  <w:abstractNum w:abstractNumId="144">
    <w:nsid w:val="DCDF8F6"/>
    <w:multiLevelType w:val="hybridMultilevel"/>
    <w:lvl w:ilvl="0">
      <w:lvlJc w:val="left"/>
      <w:lvlText w:val="(%1)"/>
      <w:numFmt w:val="lowerLetter"/>
      <w:start w:val="2"/>
    </w:lvl>
  </w:abstractNum>
  <w:abstractNum w:abstractNumId="145">
    <w:nsid w:val="52D7B105"/>
    <w:multiLevelType w:val="hybridMultilevel"/>
    <w:lvl w:ilvl="0">
      <w:lvlJc w:val="left"/>
      <w:lvlText w:val="[†]"/>
      <w:numFmt w:val="bullet"/>
      <w:start w:val="1"/>
    </w:lvl>
  </w:abstractNum>
  <w:abstractNum w:abstractNumId="146">
    <w:nsid w:val="2E8A6394"/>
    <w:multiLevelType w:val="hybridMultilevel"/>
    <w:lvl w:ilvl="0">
      <w:lvlJc w:val="left"/>
      <w:lvlText w:val="(%1)"/>
      <w:numFmt w:val="lowerLetter"/>
      <w:start w:val="35"/>
    </w:lvl>
  </w:abstractNum>
  <w:abstractNum w:abstractNumId="147">
    <w:nsid w:val="24E60401"/>
    <w:multiLevelType w:val="hybridMultilevel"/>
    <w:lvl w:ilvl="0">
      <w:lvlJc w:val="left"/>
      <w:lvlText w:val="(%1)"/>
      <w:numFmt w:val="lowerLetter"/>
      <w:start w:val="2"/>
    </w:lvl>
  </w:abstractNum>
  <w:abstractNum w:abstractNumId="148">
    <w:nsid w:val="2A6AD9BE"/>
    <w:multiLevelType w:val="hybridMultilevel"/>
    <w:lvl w:ilvl="0">
      <w:lvlJc w:val="left"/>
      <w:lvlText w:val="[†]"/>
      <w:numFmt w:val="bullet"/>
      <w:start w:val="1"/>
    </w:lvl>
  </w:abstractNum>
  <w:abstractNum w:abstractNumId="149">
    <w:nsid w:val="BAAC1B4"/>
    <w:multiLevelType w:val="hybridMultilevel"/>
    <w:lvl w:ilvl="0">
      <w:lvlJc w:val="left"/>
      <w:lvlText w:val="(%1)"/>
      <w:numFmt w:val="lowerLetter"/>
      <w:start w:val="1"/>
    </w:lvl>
  </w:abstractNum>
  <w:abstractNum w:abstractNumId="150">
    <w:nsid w:val="36B2ACBC"/>
    <w:multiLevelType w:val="hybridMultilevel"/>
    <w:lvl w:ilvl="0">
      <w:lvlJc w:val="left"/>
      <w:lvlText w:val="(%1)"/>
      <w:numFmt w:val="lowerLetter"/>
      <w:start w:val="1"/>
    </w:lvl>
  </w:abstractNum>
  <w:abstractNum w:abstractNumId="151">
    <w:nsid w:val="779D8544"/>
    <w:multiLevelType w:val="hybridMultilevel"/>
    <w:lvl w:ilvl="0">
      <w:lvlJc w:val="left"/>
      <w:lvlText w:val="[†]"/>
      <w:numFmt w:val="bullet"/>
      <w:start w:val="1"/>
    </w:lvl>
  </w:abstractNum>
  <w:abstractNum w:abstractNumId="152">
    <w:nsid w:val="4AB26E78"/>
    <w:multiLevelType w:val="hybridMultilevel"/>
    <w:lvl w:ilvl="0">
      <w:lvlJc w:val="left"/>
      <w:lvlText w:val="(%1)"/>
      <w:numFmt w:val="lowerLetter"/>
      <w:start w:val="1"/>
    </w:lvl>
  </w:abstractNum>
  <w:abstractNum w:abstractNumId="153">
    <w:nsid w:val="21FAA2FA"/>
    <w:multiLevelType w:val="hybridMultilevel"/>
    <w:lvl w:ilvl="0">
      <w:lvlJc w:val="left"/>
      <w:lvlText w:val="(%1)"/>
      <w:numFmt w:val="lowerLetter"/>
      <w:start w:val="1"/>
    </w:lvl>
    <w:lvl w:ilvl="1">
      <w:lvlJc w:val="left"/>
      <w:lvlText w:val="(%2)"/>
      <w:numFmt w:val="lowerRoman"/>
      <w:start w:val="1"/>
    </w:lvl>
  </w:abstractNum>
  <w:abstractNum w:abstractNumId="154">
    <w:nsid w:val="5451CF49"/>
    <w:multiLevelType w:val="hybridMultilevel"/>
    <w:lvl w:ilvl="0">
      <w:lvlJc w:val="left"/>
      <w:lvlText w:val="(%1)"/>
      <w:numFmt w:val="lowerLetter"/>
      <w:start w:val="1"/>
    </w:lvl>
    <w:lvl w:ilvl="1">
      <w:lvlJc w:val="left"/>
      <w:lvlText w:val="(%2)"/>
      <w:numFmt w:val="lowerRoman"/>
      <w:start w:val="1"/>
    </w:lvl>
  </w:abstractNum>
  <w:abstractNum w:abstractNumId="155">
    <w:nsid w:val="6181EF69"/>
    <w:multiLevelType w:val="hybridMultilevel"/>
    <w:lvl w:ilvl="0">
      <w:lvlJc w:val="left"/>
      <w:lvlText w:val="[†]"/>
      <w:numFmt w:val="bullet"/>
      <w:start w:val="1"/>
    </w:lvl>
  </w:abstractNum>
  <w:abstractNum w:abstractNumId="156">
    <w:nsid w:val="3E6400E6"/>
    <w:multiLevelType w:val="hybridMultilevel"/>
    <w:lvl w:ilvl="0">
      <w:lvlJc w:val="left"/>
      <w:lvlText w:val="(%1)"/>
      <w:numFmt w:val="lowerLetter"/>
      <w:start w:val="3"/>
    </w:lvl>
  </w:abstractNum>
  <w:abstractNum w:abstractNumId="157">
    <w:nsid w:val="14217E23"/>
    <w:multiLevelType w:val="hybridMultilevel"/>
    <w:lvl w:ilvl="0">
      <w:lvlJc w:val="left"/>
      <w:lvlText w:val="[†]"/>
      <w:numFmt w:val="bullet"/>
      <w:start w:val="1"/>
    </w:lvl>
  </w:abstractNum>
  <w:abstractNum w:abstractNumId="158">
    <w:nsid w:val="710757D0"/>
    <w:multiLevelType w:val="hybridMultilevel"/>
    <w:lvl w:ilvl="0">
      <w:lvlJc w:val="left"/>
      <w:lvlText w:val="(%1)"/>
      <w:numFmt w:val="lowerLetter"/>
      <w:start w:val="1"/>
    </w:lvl>
  </w:abstractNum>
  <w:abstractNum w:abstractNumId="159">
    <w:nsid w:val="5015CD1A"/>
    <w:multiLevelType w:val="hybridMultilevel"/>
    <w:lvl w:ilvl="0">
      <w:lvlJc w:val="left"/>
      <w:lvlText w:val="[†]"/>
      <w:numFmt w:val="bullet"/>
      <w:start w:val="1"/>
    </w:lvl>
  </w:abstractNum>
  <w:abstractNum w:abstractNumId="160">
    <w:nsid w:val="424479DA"/>
    <w:multiLevelType w:val="hybridMultilevel"/>
    <w:lvl w:ilvl="0">
      <w:lvlJc w:val="left"/>
      <w:lvlText w:val="[†]."/>
      <w:numFmt w:val="bullet"/>
      <w:start w:val="1"/>
    </w:lvl>
  </w:abstractNum>
  <w:abstractNum w:abstractNumId="161">
    <w:nsid w:val="1A9A9E69"/>
    <w:multiLevelType w:val="hybridMultilevel"/>
    <w:lvl w:ilvl="0">
      <w:lvlJc w:val="left"/>
      <w:lvlText w:val="[†]"/>
      <w:numFmt w:val="bullet"/>
      <w:start w:val="1"/>
    </w:lvl>
  </w:abstractNum>
  <w:abstractNum w:abstractNumId="162">
    <w:nsid w:val="475E256A"/>
    <w:multiLevelType w:val="hybridMultilevel"/>
    <w:lvl w:ilvl="0">
      <w:lvlJc w:val="left"/>
      <w:lvlText w:val="(%1)"/>
      <w:numFmt w:val="lowerLetter"/>
      <w:start w:val="1"/>
    </w:lvl>
  </w:abstractNum>
  <w:abstractNum w:abstractNumId="163">
    <w:nsid w:val="368DB37E"/>
    <w:multiLevelType w:val="hybridMultilevel"/>
    <w:lvl w:ilvl="0">
      <w:lvlJc w:val="left"/>
      <w:lvlText w:val="[†]"/>
      <w:numFmt w:val="bullet"/>
      <w:start w:val="1"/>
    </w:lvl>
  </w:abstractNum>
  <w:abstractNum w:abstractNumId="164">
    <w:nsid w:val="6A3B714C"/>
    <w:multiLevelType w:val="hybridMultilevel"/>
    <w:lvl w:ilvl="0">
      <w:lvlJc w:val="left"/>
      <w:lvlText w:val="(%1)"/>
      <w:numFmt w:val="lowerLetter"/>
      <w:start w:val="7"/>
    </w:lvl>
  </w:abstractNum>
  <w:abstractNum w:abstractNumId="165">
    <w:nsid w:val="327B517E"/>
    <w:multiLevelType w:val="hybridMultilevel"/>
    <w:lvl w:ilvl="0">
      <w:lvlJc w:val="left"/>
      <w:lvlText w:val="[†]"/>
      <w:numFmt w:val="bullet"/>
      <w:start w:val="1"/>
    </w:lvl>
  </w:abstractNum>
  <w:abstractNum w:abstractNumId="166">
    <w:nsid w:val="1F461B51"/>
    <w:multiLevelType w:val="hybridMultilevel"/>
    <w:lvl w:ilvl="0">
      <w:lvlJc w:val="left"/>
      <w:lvlText w:val="[†]"/>
      <w:numFmt w:val="bullet"/>
      <w:start w:val="1"/>
    </w:lvl>
  </w:abstractNum>
  <w:abstractNum w:abstractNumId="167">
    <w:nsid w:val="29BACF25"/>
    <w:multiLevelType w:val="hybridMultilevel"/>
    <w:lvl w:ilvl="0">
      <w:lvlJc w:val="left"/>
      <w:lvlText w:val="[†]"/>
      <w:numFmt w:val="bullet"/>
      <w:start w:val="1"/>
    </w:lvl>
  </w:abstractNum>
  <w:abstractNum w:abstractNumId="168">
    <w:nsid w:val="5D5BABB3"/>
    <w:multiLevelType w:val="hybridMultilevel"/>
    <w:lvl w:ilvl="0">
      <w:lvlJc w:val="left"/>
      <w:lvlText w:val="[†]"/>
      <w:numFmt w:val="bullet"/>
      <w:start w:val="1"/>
    </w:lvl>
  </w:abstractNum>
  <w:abstractNum w:abstractNumId="169">
    <w:nsid w:val="51BF6B48"/>
    <w:multiLevelType w:val="hybridMultilevel"/>
    <w:lvl w:ilvl="0">
      <w:lvlJc w:val="left"/>
      <w:lvlText w:val="[†]"/>
      <w:numFmt w:val="bullet"/>
      <w:start w:val="1"/>
    </w:lvl>
  </w:abstractNum>
  <w:abstractNum w:abstractNumId="170">
    <w:nsid w:val="7E0F6384"/>
    <w:multiLevelType w:val="hybridMultilevel"/>
    <w:lvl w:ilvl="0">
      <w:lvlJc w:val="left"/>
      <w:lvlText w:val="[†]"/>
      <w:numFmt w:val="bullet"/>
      <w:start w:val="1"/>
    </w:lvl>
  </w:abstractNum>
  <w:abstractNum w:abstractNumId="171">
    <w:nsid w:val="2B4B8B53"/>
    <w:multiLevelType w:val="hybridMultilevel"/>
    <w:lvl w:ilvl="0">
      <w:lvlJc w:val="left"/>
      <w:lvlText w:val="[†]"/>
      <w:numFmt w:val="bullet"/>
      <w:start w:val="1"/>
    </w:lvl>
  </w:abstractNum>
  <w:abstractNum w:abstractNumId="172">
    <w:nsid w:val="72E3413A"/>
    <w:multiLevelType w:val="hybridMultilevel"/>
    <w:lvl w:ilvl="0">
      <w:lvlJc w:val="left"/>
      <w:lvlText w:val="[†]"/>
      <w:numFmt w:val="bullet"/>
      <w:start w:val="1"/>
    </w:lvl>
  </w:abstractNum>
  <w:abstractNum w:abstractNumId="173">
    <w:nsid w:val="116AE494"/>
    <w:multiLevelType w:val="hybridMultilevel"/>
    <w:lvl w:ilvl="0">
      <w:lvlJc w:val="left"/>
      <w:lvlText w:val="[†]"/>
      <w:numFmt w:val="bullet"/>
      <w:start w:val="1"/>
    </w:lvl>
  </w:abstractNum>
  <w:abstractNum w:abstractNumId="174">
    <w:nsid w:val="3494B2FB"/>
    <w:multiLevelType w:val="hybridMultilevel"/>
    <w:lvl w:ilvl="0">
      <w:lvlJc w:val="left"/>
      <w:lvlText w:val="[†]"/>
      <w:numFmt w:val="bullet"/>
      <w:start w:val="1"/>
    </w:lvl>
  </w:abstractNum>
  <w:abstractNum w:abstractNumId="175">
    <w:nsid w:val="B13A31"/>
    <w:multiLevelType w:val="hybridMultilevel"/>
    <w:lvl w:ilvl="0">
      <w:lvlJc w:val="left"/>
      <w:lvlText w:val="[†]"/>
      <w:numFmt w:val="bullet"/>
      <w:start w:val="1"/>
    </w:lvl>
  </w:abstractNum>
  <w:abstractNum w:abstractNumId="176">
    <w:nsid w:val="64429599"/>
    <w:multiLevelType w:val="hybridMultilevel"/>
    <w:lvl w:ilvl="0">
      <w:lvlJc w:val="left"/>
      <w:lvlText w:val="[†]"/>
      <w:numFmt w:val="bullet"/>
      <w:start w:val="1"/>
    </w:lvl>
  </w:abstractNum>
  <w:abstractNum w:abstractNumId="177">
    <w:nsid w:val="631F1690"/>
    <w:multiLevelType w:val="hybridMultilevel"/>
    <w:lvl w:ilvl="0">
      <w:lvlJc w:val="left"/>
      <w:lvlText w:val="[†]"/>
      <w:numFmt w:val="bullet"/>
      <w:start w:val="1"/>
    </w:lvl>
  </w:abstractNum>
  <w:abstractNum w:abstractNumId="178">
    <w:nsid w:val="25973E32"/>
    <w:multiLevelType w:val="hybridMultilevel"/>
    <w:lvl w:ilvl="0">
      <w:lvlJc w:val="left"/>
      <w:lvlText w:val="[†]"/>
      <w:numFmt w:val="bullet"/>
      <w:start w:val="1"/>
    </w:lvl>
  </w:abstractNum>
  <w:abstractNum w:abstractNumId="179">
    <w:nsid w:val="EAD6F57"/>
    <w:multiLevelType w:val="hybridMultilevel"/>
    <w:lvl w:ilvl="0">
      <w:lvlJc w:val="left"/>
      <w:lvlText w:val="[†]"/>
      <w:numFmt w:val="bullet"/>
      <w:start w:val="1"/>
    </w:lvl>
  </w:abstractNum>
  <w:abstractNum w:abstractNumId="180">
    <w:nsid w:val="6EC9D844"/>
    <w:multiLevelType w:val="hybridMultilevel"/>
    <w:lvl w:ilvl="0">
      <w:lvlJc w:val="left"/>
      <w:lvlText w:val="(%1)"/>
      <w:numFmt w:val="lowerLetter"/>
      <w:start w:val="3"/>
    </w:lvl>
  </w:abstractNum>
  <w:abstractNum w:abstractNumId="181">
    <w:nsid w:val="5C49EAEE"/>
    <w:multiLevelType w:val="hybridMultilevel"/>
    <w:lvl w:ilvl="0">
      <w:lvlJc w:val="left"/>
      <w:lvlText w:val="[†]"/>
      <w:numFmt w:val="bullet"/>
      <w:start w:val="1"/>
    </w:lvl>
  </w:abstractNum>
  <w:abstractNum w:abstractNumId="182">
    <w:nsid w:val="64AF49B"/>
    <w:multiLevelType w:val="hybridMultilevel"/>
    <w:lvl w:ilvl="0">
      <w:lvlJc w:val="left"/>
      <w:lvlText w:val="[†]"/>
      <w:numFmt w:val="bullet"/>
      <w:start w:val="1"/>
    </w:lvl>
  </w:abstractNum>
  <w:abstractNum w:abstractNumId="183">
    <w:nsid w:val="397C46BC"/>
    <w:multiLevelType w:val="hybridMultilevel"/>
    <w:lvl w:ilvl="0">
      <w:lvlJc w:val="left"/>
      <w:lvlText w:val="[†]"/>
      <w:numFmt w:val="bullet"/>
      <w:start w:val="1"/>
    </w:lvl>
  </w:abstractNum>
  <w:abstractNum w:abstractNumId="184">
    <w:nsid w:val="7E448DE9"/>
    <w:multiLevelType w:val="hybridMultilevel"/>
    <w:lvl w:ilvl="0">
      <w:lvlJc w:val="left"/>
      <w:lvlText w:val="[†]"/>
      <w:numFmt w:val="bullet"/>
      <w:start w:val="1"/>
    </w:lvl>
  </w:abstractNum>
  <w:abstractNum w:abstractNumId="185">
    <w:nsid w:val="5A9CC3E5"/>
    <w:multiLevelType w:val="hybridMultilevel"/>
    <w:lvl w:ilvl="0">
      <w:lvlJc w:val="left"/>
      <w:lvlText w:val="[†]"/>
      <w:numFmt w:val="bullet"/>
      <w:start w:val="1"/>
    </w:lvl>
  </w:abstractNum>
  <w:abstractNum w:abstractNumId="186">
    <w:nsid w:val="1AFE3625"/>
    <w:multiLevelType w:val="hybridMultilevel"/>
    <w:lvl w:ilvl="0">
      <w:lvlJc w:val="left"/>
      <w:lvlText w:val="[†]"/>
      <w:numFmt w:val="bullet"/>
      <w:start w:val="1"/>
    </w:lvl>
  </w:abstractNum>
  <w:abstractNum w:abstractNumId="187">
    <w:nsid w:val="3CA88ECF"/>
    <w:multiLevelType w:val="hybridMultilevel"/>
    <w:lvl w:ilvl="0">
      <w:lvlJc w:val="left"/>
      <w:lvlText w:val="[†]"/>
      <w:numFmt w:val="bullet"/>
      <w:start w:val="1"/>
    </w:lvl>
  </w:abstractNum>
  <w:abstractNum w:abstractNumId="188">
    <w:nsid w:val="6EBE4208"/>
    <w:multiLevelType w:val="hybridMultilevel"/>
    <w:lvl w:ilvl="0">
      <w:lvlJc w:val="left"/>
      <w:lvlText w:val="[†]"/>
      <w:numFmt w:val="bullet"/>
      <w:start w:val="1"/>
    </w:lvl>
  </w:abstractNum>
  <w:abstractNum w:abstractNumId="189">
    <w:nsid w:val="C058DF5"/>
    <w:multiLevelType w:val="hybridMultilevel"/>
    <w:lvl w:ilvl="0">
      <w:lvlJc w:val="left"/>
      <w:lvlText w:val="[†]"/>
      <w:numFmt w:val="bullet"/>
      <w:start w:val="1"/>
    </w:lvl>
  </w:abstractNum>
  <w:abstractNum w:abstractNumId="190">
    <w:nsid w:val="CBE5BE9"/>
    <w:multiLevelType w:val="hybridMultilevel"/>
    <w:lvl w:ilvl="0">
      <w:lvlJc w:val="left"/>
      <w:lvlText w:val="[†]"/>
      <w:numFmt w:val="bullet"/>
      <w:start w:val="1"/>
    </w:lvl>
  </w:abstractNum>
  <w:abstractNum w:abstractNumId="191">
    <w:nsid w:val="3102BBE2"/>
    <w:multiLevelType w:val="hybridMultilevel"/>
    <w:lvl w:ilvl="0">
      <w:lvlJc w:val="left"/>
      <w:lvlText w:val="[†]"/>
      <w:numFmt w:val="bullet"/>
      <w:start w:val="1"/>
    </w:lvl>
  </w:abstractNum>
  <w:abstractNum w:abstractNumId="192">
    <w:nsid w:val="26A02C5E"/>
    <w:multiLevelType w:val="hybridMultilevel"/>
    <w:lvl w:ilvl="0">
      <w:lvlJc w:val="left"/>
      <w:lvlText w:val="[†]"/>
      <w:numFmt w:val="bullet"/>
      <w:start w:val="1"/>
    </w:lvl>
  </w:abstractNum>
  <w:abstractNum w:abstractNumId="193">
    <w:nsid w:val="541C8153"/>
    <w:multiLevelType w:val="hybridMultilevel"/>
    <w:lvl w:ilvl="0">
      <w:lvlJc w:val="left"/>
      <w:lvlText w:val="[†]"/>
      <w:numFmt w:val="bullet"/>
      <w:start w:val="1"/>
    </w:lvl>
  </w:abstractNum>
  <w:abstractNum w:abstractNumId="194">
    <w:nsid w:val="67906F60"/>
    <w:multiLevelType w:val="hybridMultilevel"/>
    <w:lvl w:ilvl="0">
      <w:lvlJc w:val="left"/>
      <w:lvlText w:val="%1."/>
      <w:numFmt w:val="decimal"/>
      <w:start w:val="1"/>
    </w:lvl>
    <w:lvl w:ilvl="1">
      <w:lvlJc w:val="left"/>
      <w:lvlText w:val="%2)"/>
      <w:numFmt w:val="lowerLetter"/>
      <w:start w:val="1"/>
    </w:lvl>
  </w:abstractNum>
  <w:abstractNum w:abstractNumId="195">
    <w:nsid w:val="10DB9DAA"/>
    <w:multiLevelType w:val="hybridMultilevel"/>
    <w:lvl w:ilvl="0">
      <w:lvlJc w:val="left"/>
      <w:lvlText w:val="%1."/>
      <w:numFmt w:val="decimal"/>
      <w:start w:val="1"/>
    </w:lvl>
    <w:lvl w:ilvl="1">
      <w:lvlJc w:val="left"/>
      <w:lvlText w:val="%2)"/>
      <w:numFmt w:val="lowerLetter"/>
      <w:start w:val="1"/>
    </w:lvl>
  </w:abstractNum>
  <w:abstractNum w:abstractNumId="196">
    <w:nsid w:val="697D2D2"/>
    <w:multiLevelType w:val="hybridMultilevel"/>
    <w:lvl w:ilvl="0">
      <w:lvlJc w:val="left"/>
      <w:lvlText w:val="(%1)"/>
      <w:numFmt w:val="decimal"/>
      <w:start w:val="1"/>
    </w:lvl>
  </w:abstractNum>
  <w:abstractNum w:abstractNumId="197">
    <w:nsid w:val="6D68AB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2019-12-29T05:20:58Z</dcterms:created>
  <dcterms:modified xsi:type="dcterms:W3CDTF">2019-12-29T05:20:58Z</dcterms:modified>
</cp:coreProperties>
</file>