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GANNON STEVEN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3650 GILMORE WAY</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BURNABY</w:t>
                  </w:r>
                </w:p>
              </w:tc>
              <w:tc>
                <w:tcPr>
                  <w:tcW w:w="1150"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V5G 4W8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 xml:space="preserve">BRITISH COLUMBIA, CANADA </w:t>
                  </w:r>
                </w:p>
              </w:tc>
            </w:tr>
          </w:tbl>
          <w:p>
            <w:pPr>
              <w:pStyle w:val="HorizontalLine"/>
              <w:pBdr>
                <w:bottom w:val="double" w:sz="2" w:space="0" w:color="808080"/>
              </w:pBdr>
              <w:bidi w:val="0"/>
              <w:spacing w:before="0" w:after="283"/>
              <w:jc w:val="left"/>
              <w:rPr/>
            </w:pPr>
            <w:r>
              <w:rPr/>
            </w:r>
          </w:p>
          <w:p>
            <w:pPr>
              <w:pStyle w:val="TableContents"/>
              <w:bidi w:val="0"/>
              <w:spacing w:before="0" w:after="283"/>
              <w:jc w:val="left"/>
              <w:rPr>
                <w:rFonts w:ascii="arial;helvetica;sans-serif" w:hAnsi="arial;helvetica;sans-serif"/>
                <w:sz w:val="20"/>
              </w:rPr>
            </w:pPr>
            <w:r>
              <w:rPr>
                <w:rFonts w:ascii="arial;helvetica;sans-serif" w:hAnsi="arial;helvetica;sans-serif"/>
                <w:sz w:val="20"/>
              </w:rPr>
              <w:t>(Country)</w:t>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Xenon Pharmaceuticals Inc.</w:t>
              </w:r>
            </w:hyperlink>
            <w:r>
              <w:rPr/>
              <w:t xml:space="preserve"> [ </w:t>
            </w:r>
            <w:r>
              <w:rPr>
                <w:rFonts w:ascii="Times;serif" w:hAnsi="Times;serif"/>
                <w:color w:val="0000FF"/>
                <w:sz w:val="24"/>
                <w:shd w:fill="FFFFFF" w:val="clear"/>
              </w:rPr>
              <w:t>XENE</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95"/>
        <w:gridCol w:w="900"/>
        <w:gridCol w:w="771"/>
        <w:gridCol w:w="598"/>
        <w:gridCol w:w="345"/>
        <w:gridCol w:w="921"/>
        <w:gridCol w:w="446"/>
        <w:gridCol w:w="879"/>
        <w:gridCol w:w="1147"/>
        <w:gridCol w:w="986"/>
        <w:gridCol w:w="91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9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4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4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9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7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4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9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Shares</w:t>
            </w:r>
          </w:p>
        </w:tc>
        <w:tc>
          <w:tcPr>
            <w:tcW w:w="9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10,000</w:t>
            </w:r>
          </w:p>
        </w:tc>
        <w:tc>
          <w:tcPr>
            <w:tcW w:w="44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7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64.055</w:t>
            </w:r>
            <w:r>
              <w:rPr>
                <w:rFonts w:ascii="Times;serif" w:hAnsi="Times;serif"/>
                <w:color w:val="008000"/>
                <w:position w:val="7"/>
                <w:sz w:val="16"/>
                <w:sz w:val="20"/>
                <w:shd w:fill="FFFFFF" w:val="clear"/>
              </w:rPr>
              <w:t>(1)</w:t>
            </w:r>
          </w:p>
        </w:tc>
        <w:tc>
          <w:tcPr>
            <w:tcW w:w="114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1,870</w:t>
            </w:r>
          </w:p>
        </w:tc>
        <w:tc>
          <w:tcPr>
            <w:tcW w:w="98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"Amount" and "Price" reported in this Column 4 reflect the aggregate number and weighted-average price, respectively, of shares sold. These share were sold in multiple transactions at prices ranging from $64.0517 to $64.078, inclusive. The reporting person undertakes to provide to the issuer, any security holder of the issuer, or the SEC staff, upon request, full information regarding the number of shares sold at each separate price within the range set forth herein.</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Nathaniel Adams,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643085" TargetMode="External"/><Relationship Id="rId5" Type="http://schemas.openxmlformats.org/officeDocument/2006/relationships/hyperlink" Target="http://www.sec.gov/cgi-bin/browse-edgar?action=getcompany&amp;CIK=000158231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637</Words>
  <Characters>3489</Characters>
  <CharactersWithSpaces>4060</CharactersWithSpaces>
  <Paragraphs>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