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POST-EFFECTIVE AMENDMENT NO. 1 TO:</w:t>
      </w:r>
    </w:p>
    <w:p>
      <w:pPr>
        <w:spacing w:after="0" w:line="4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333-199860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333-202765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333-210050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333-216543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333-223497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333-230103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333-237036</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333-238895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333-265377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333-279962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98-0661854</w:t>
      </w:r>
    </w:p>
    <w:p>
      <w:pPr>
        <w:spacing w:after="0" w:line="24" w:lineRule="exact"/>
        <w:rPr>
          <w:sz w:val="24"/>
          <w:szCs w:val="24"/>
          <w:color w:val="auto"/>
        </w:rPr>
      </w:pPr>
    </w:p>
    <w:p>
      <w:pPr>
        <w:sectPr>
          <w:pgSz w:w="11900" w:h="16838" w:orient="portrait"/>
          <w:cols w:equalWidth="0" w:num="2">
            <w:col w:w="7280" w:space="720"/>
            <w:col w:w="3240"/>
          </w:cols>
          <w:pgMar w:left="320" w:top="576"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140" w:space="720"/>
            <w:col w:w="3380"/>
          </w:cols>
          <w:pgMar w:left="320" w:top="57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57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P.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(604) 484-3300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649"/>
        </w:trPr>
        <w:tc>
          <w:tcPr>
            <w:tcW w:w="20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437515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133350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150495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600" w:top="531" w:right="63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40" w:firstLine="749"/>
        <w:spacing w:after="0" w:line="261" w:lineRule="auto"/>
        <w:rPr>
          <w:sz w:val="20"/>
          <w:szCs w:val="20"/>
          <w:color w:val="auto"/>
        </w:rPr>
      </w:pPr>
      <w:r>
        <w:rPr>
          <w:rFonts w:ascii="Times New Roman" w:cs="Times New Roman" w:eastAsia="Times New Roman" w:hAnsi="Times New Roman"/>
          <w:sz w:val="18"/>
          <w:szCs w:val="18"/>
          <w:color w:val="auto"/>
        </w:rPr>
        <w:t>Pursuant to Securities Act Forms Corporation Finance Interpretation 126.43 (“CFI 126.43”) published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Xenon Pharmaceuticals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Post-Effective Amendment No. 1 to Registration Statements on Form S-8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filed by the Registrant with the Commission:</w:t>
      </w:r>
    </w:p>
    <w:p>
      <w:pPr>
        <w:spacing w:after="0" w:line="72" w:lineRule="exact"/>
        <w:rPr>
          <w:sz w:val="20"/>
          <w:szCs w:val="20"/>
          <w:color w:val="auto"/>
        </w:rPr>
      </w:pPr>
    </w:p>
    <w:p>
      <w:pPr>
        <w:ind w:left="1020" w:hanging="503"/>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on November 5, 2014 (File No. 333-199860) with respect to 1,762,404 common shares of the Registrant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consisting of (i) 1,350,882 Common Shares, which were subject to then-outstanding stock options under the Registrant’s Amended and Restated Stock Option Plan, as amended; (ii) 36,008 Common Shares, which were subject to outstanding stock options under the Registrant’s 2014 Equity Incentive Plan (as subsequently amended,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2014 Plan</w:t>
      </w:r>
      <w:r>
        <w:rPr>
          <w:rFonts w:ascii="Times New Roman" w:cs="Times New Roman" w:eastAsia="Times New Roman" w:hAnsi="Times New Roman"/>
          <w:sz w:val="18"/>
          <w:szCs w:val="18"/>
          <w:color w:val="auto"/>
        </w:rPr>
        <w:t>”); and (iii) 375,514 Common Shares to be issued under the Amended and Restated 2014 Plan;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16, 2015 (File No. 333-202765) with respect to 150,000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2016 (File No. 333-210050) with respect to 375,000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8, 2017 (File No. 333-216543) with respect to 500,000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7, 2018 (File No. 333-223497) with respect to 700,000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6, 2019 (File No. 333-230103) with respect to 900,000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2020 (File No. 333-237036) with respect to 1,028,806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3, 2020 (File No. 333-238895) with respect to 4,000,000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2, 2022 (File No. 333-265377) with respect to 5,300,000 Common Shares to be issued under the Amended and Restated 2014 Plan;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5, 2024 (File No. 333-279962) with respect to 5,200,000 Common Shares to be issued under the Amended and Restated 2014 Plan.</w:t>
      </w:r>
    </w:p>
    <w:p>
      <w:pPr>
        <w:spacing w:after="0" w:line="158" w:lineRule="exact"/>
        <w:rPr>
          <w:sz w:val="20"/>
          <w:szCs w:val="20"/>
          <w:color w:val="auto"/>
        </w:rPr>
      </w:pPr>
    </w:p>
    <w:p>
      <w:pPr>
        <w:ind w:right="440" w:firstLine="749"/>
        <w:spacing w:after="0" w:line="286" w:lineRule="auto"/>
        <w:rPr>
          <w:sz w:val="20"/>
          <w:szCs w:val="20"/>
          <w:color w:val="auto"/>
        </w:rPr>
      </w:pPr>
      <w:r>
        <w:rPr>
          <w:rFonts w:ascii="Times New Roman" w:cs="Times New Roman" w:eastAsia="Times New Roman" w:hAnsi="Times New Roman"/>
          <w:sz w:val="18"/>
          <w:szCs w:val="18"/>
          <w:color w:val="auto"/>
        </w:rPr>
        <w:t>On June 2, 2026, the Registrant’s shareholders approved the Registrant’s 2026 Equity Incentive Plan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 which replaces the Amended and Restated 2014 Plan. No further awards will be made under the Amended and Restated 2014 Plan.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number of Common Shares initially authorized for issuance pursuant to the awards under the 2026 Plan includes (a) 4,400,000 Common Shares, (b) 2,873,223 Common Shares, which equals the number of shares available for future grant under the Amended and Restated 2014 Plan as of June 2, 2026 and (c) up to 11,788,376 Common Shares, underlying awards outstanding under the Amended and Restated 2014 Plan that, on or after June 2, 2026, terminate, expire or lapse for any reason without the delivery of shares to the holder thereof (such shares under clauses (b) and (c), the “</w:t>
      </w:r>
      <w:r>
        <w:rPr>
          <w:rFonts w:ascii="Times New Roman" w:cs="Times New Roman" w:eastAsia="Times New Roman" w:hAnsi="Times New Roman"/>
          <w:sz w:val="18"/>
          <w:szCs w:val="18"/>
          <w:b w:val="1"/>
          <w:bCs w:val="1"/>
          <w:color w:val="auto"/>
        </w:rPr>
        <w:t>Carryover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the Registrant is filing a Registration Statement on Form S-8 to register the 4,400,000 newly authorized Common Shares that have become available for offer or sale pursuant to the 2026 Plan, which number does not include the Carryover Shares.</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CFI 126.43 and pursuant to the undertaking in Item 512(a)(1)(iii) of Regulation S-K that the Registrant disclose a material change in the plan of distribution as it was originally disclosed in the Registration Statements, this Post-Effective Amendment is filed to indicate that the Registration Statements will also cover the issuance of the Carryover Shares under the 2026 Plan (as such shares would no longer be issuable under the Amended and Restated 2014 Plan as described above). No additional securities are being registered by this Post-Effective Amendment.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Post-Effective Amendment in accordance with the provisions of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equity benefit plans covered by this Post-Effective Amendment as specified by Rule 428(b)1) under the Securities Act.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previously filed with the Commission are hereby incorporated by reference:</w:t>
      </w:r>
    </w:p>
    <w:p>
      <w:pPr>
        <w:spacing w:after="0" w:line="225" w:lineRule="exact"/>
        <w:rPr>
          <w:sz w:val="20"/>
          <w:szCs w:val="20"/>
          <w:color w:val="auto"/>
        </w:rPr>
      </w:pPr>
    </w:p>
    <w:p>
      <w:pPr>
        <w:ind w:left="1500" w:right="1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26, 2026;</w:t>
      </w:r>
    </w:p>
    <w:p>
      <w:pPr>
        <w:spacing w:after="0" w:line="161" w:lineRule="exact"/>
        <w:rPr>
          <w:rFonts w:ascii="Times New Roman" w:cs="Times New Roman" w:eastAsia="Times New Roman" w:hAnsi="Times New Roman"/>
          <w:sz w:val="18"/>
          <w:szCs w:val="18"/>
          <w:color w:val="auto"/>
        </w:rPr>
      </w:pPr>
    </w:p>
    <w:p>
      <w:pPr>
        <w:ind w:left="1500" w:right="2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Securities Exchange Act of 1934,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since the end of the fiscal year covered by the Registrant’s Annual Report referred to in (1) above; and</w:t>
      </w:r>
    </w:p>
    <w:p>
      <w:pPr>
        <w:spacing w:after="0" w:line="161" w:lineRule="exact"/>
        <w:rPr>
          <w:rFonts w:ascii="Times New Roman" w:cs="Times New Roman" w:eastAsia="Times New Roman" w:hAnsi="Times New Roman"/>
          <w:sz w:val="18"/>
          <w:szCs w:val="18"/>
          <w:color w:val="auto"/>
        </w:rPr>
      </w:pPr>
    </w:p>
    <w:p>
      <w:pPr>
        <w:ind w:left="1500" w:hanging="743"/>
        <w:spacing w:after="0" w:line="261"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shares contained in the Registration Statement on </w:t>
      </w:r>
      <w:hyperlink r:id="rId21">
        <w:r>
          <w:rPr>
            <w:rFonts w:ascii="Times New Roman" w:cs="Times New Roman" w:eastAsia="Times New Roman" w:hAnsi="Times New Roman"/>
            <w:sz w:val="18"/>
            <w:szCs w:val="18"/>
            <w:u w:val="single" w:color="auto"/>
            <w:color w:val="0000FF"/>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the Registration Statements. Any statement contained in a document incorporated or deemed to be incorporated by reference herein shall be deemed to be modified or superseded for purposes of the Registration Statements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Statements.</w:t>
      </w:r>
    </w:p>
    <w:p>
      <w:pPr>
        <w:spacing w:after="0" w:line="192"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is prohibited under the CBCA unless the individual:</w:t>
      </w:r>
    </w:p>
    <w:p>
      <w:pPr>
        <w:spacing w:after="0" w:line="117" w:lineRule="exact"/>
        <w:rPr>
          <w:sz w:val="20"/>
          <w:szCs w:val="20"/>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the Registrant’s best interests, or the best interests of the other entity for which the individual acted as director or officer or in a similar capacity at the Registrant’s request;</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the individual had reasonable grounds for believing that his or her conduct was lawful;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judged by the court or other competent authority to have committed any fault or omitted to do anything that the individual ought to have done.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Registrant’s by-laws authorize it, with the approval of its board of directors, to purchase and maintain insurance for the benefit of any person its board of directors may from time to time determine.</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spacing w:after="0" w:line="187"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9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7"/>
                <w:szCs w:val="7"/>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13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60" w:type="dxa"/>
            <w:vAlign w:val="bottom"/>
            <w:tcBorders>
              <w:top w:val="single" w:sz="8" w:color="auto"/>
              <w:bottom w:val="single" w:sz="8" w:color="0000FF"/>
            </w:tcBorders>
            <w:gridSpan w:val="4"/>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Specimen common share certificate of the Registrant.</w:t>
              </w:r>
            </w:hyperlink>
          </w:p>
        </w:tc>
        <w:tc>
          <w:tcPr>
            <w:tcW w:w="80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333-198666</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10/6/2014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Amended and Restated 2014 Equity Incentive Plan and related</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7"/>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agreement.</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2026 Equity Incentive Plan and related form agreements.</w:t>
              </w:r>
            </w:hyperlink>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Opinion of Blake, Cassels &amp; Graydon LLP.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Opinion of McCarthy Tétrault LLP.</w:t>
              </w:r>
            </w:hyperlink>
          </w:p>
        </w:tc>
        <w:tc>
          <w:tcPr>
            <w:tcW w:w="560" w:type="dxa"/>
            <w:vAlign w:val="bottom"/>
            <w:tcBorders>
              <w:top w:val="single" w:sz="8" w:color="0000FF"/>
            </w:tcBorders>
          </w:tcPr>
          <w:p>
            <w:pPr>
              <w:spacing w:after="0"/>
              <w:rPr>
                <w:sz w:val="24"/>
                <w:szCs w:val="24"/>
                <w:color w:val="auto"/>
              </w:rPr>
            </w:pPr>
          </w:p>
        </w:tc>
        <w:tc>
          <w:tcPr>
            <w:tcW w:w="15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tbl>
      <w:tblPr>
        <w:tblLayout w:type="fixed"/>
        <w:tblInd w:w="240" w:type="dxa"/>
        <w:tblCellMar>
          <w:top w:w="0" w:type="dxa"/>
          <w:left w:w="0" w:type="dxa"/>
          <w:bottom w:w="0" w:type="dxa"/>
          <w:right w:w="0" w:type="dxa"/>
        </w:tblCellMar>
      </w:tblP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380" w:type="dxa"/>
            <w:vAlign w:val="bottom"/>
            <w:gridSpan w:val="11"/>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1"/>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c>
          <w:tcPr>
            <w:tcW w:w="6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20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33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Blake, Cassels &amp; Graydon LLP (contained in</w:t>
            </w:r>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Exhibit 5.1 hereto).</w:t>
            </w:r>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Consent of McCarthy Tétrault LLP (contained in Exhibit 5.2</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Consent of McCarthy Tétrault LLP (contained in Exhibit 5.3</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Consent of McCarthy Tétrault LLP (contained in Exhibit 5.4</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Consent of McCarthy Tétrault LLP (contained in Exhibit 5.5</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Consent of McCarthy Tétrault LLP (contained in Exhibit 5.6</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3">
              <w:r>
                <w:rPr>
                  <w:rFonts w:ascii="Times New Roman" w:cs="Times New Roman" w:eastAsia="Times New Roman" w:hAnsi="Times New Roman"/>
                  <w:sz w:val="18"/>
                  <w:szCs w:val="18"/>
                  <w:color w:val="0000FF"/>
                  <w:w w:val="98"/>
                </w:rPr>
                <w:t>Exhibit 5.7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Exhibit 5.8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Exhibit 5.9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Exhibit 5.10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Exhibit 5.11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7" w:name="page8"/>
    <w:bookmarkEnd w:id="7"/>
    <w:p>
      <w:pPr>
        <w:ind w:left="1712" w:hanging="215"/>
        <w:spacing w:after="0"/>
        <w:tabs>
          <w:tab w:leader="none" w:pos="17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752" w:right="100" w:firstLine="745"/>
        <w:spacing w:after="0" w:line="255" w:lineRule="auto"/>
        <w:tabs>
          <w:tab w:leader="none" w:pos="17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752" w:right="60" w:firstLine="745"/>
        <w:spacing w:after="0" w:line="282" w:lineRule="auto"/>
        <w:tabs>
          <w:tab w:leader="none" w:pos="1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752"/>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2" w:lineRule="exact"/>
        <w:rPr>
          <w:sz w:val="20"/>
          <w:szCs w:val="20"/>
          <w:color w:val="auto"/>
        </w:rPr>
      </w:pPr>
    </w:p>
    <w:p>
      <w:pPr>
        <w:ind w:left="-8" w:right="120" w:firstLine="757"/>
        <w:spacing w:after="0" w:line="266"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8" w:right="520" w:firstLine="757"/>
        <w:spacing w:after="0" w:line="282"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 w:right="280" w:firstLine="8"/>
        <w:spacing w:after="0" w:line="258"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8" w:right="20" w:firstLine="8"/>
        <w:spacing w:after="0" w:line="254" w:lineRule="auto"/>
        <w:tabs>
          <w:tab w:leader="none" w:pos="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568325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8" w:name="page9"/>
    <w:bookmarkEnd w:id="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spacing w:after="0" w:line="3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P. Kelly</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9" w:name="page10"/>
    <w:bookmarkEnd w:id="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spacing w:after="0" w:line="30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Ian Mortimer</w:t>
      </w:r>
    </w:p>
    <w:p>
      <w:pPr>
        <w:spacing w:after="0" w:line="200" w:lineRule="exact"/>
        <w:rPr>
          <w:sz w:val="20"/>
          <w:szCs w:val="20"/>
          <w:color w:val="auto"/>
        </w:rPr>
      </w:pPr>
    </w:p>
    <w:p>
      <w:pPr>
        <w:spacing w:after="0" w:line="2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Thomas P. Kelly</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Dawn Svoronos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Dawn Svoronos</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Gillian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Gillian Cannon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Steven Gannon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Elizabeth Garofalo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Elizabeth Garofalo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Justin Gover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Justin Gover</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Patrick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Patrick Machado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Gary Patou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Gary Patou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989965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20" w:space="720"/>
            <w:col w:w="740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June 3,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-1273810</wp:posOffset>
            </wp:positionV>
            <wp:extent cx="236601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191296/1</w:t>
      </w:r>
    </w:p>
    <w:p>
      <w:pPr>
        <w:spacing w:after="0" w:line="200" w:lineRule="exact"/>
        <w:rPr>
          <w:sz w:val="20"/>
          <w:szCs w:val="20"/>
          <w:color w:val="auto"/>
        </w:rPr>
      </w:pPr>
    </w:p>
    <w:p>
      <w:pPr>
        <w:sectPr>
          <w:pgSz w:w="11900" w:h="16838" w:orient="portrait"/>
          <w:cols w:equalWidth="0" w:num="2">
            <w:col w:w="8700" w:space="720"/>
            <w:col w:w="1820"/>
          </w:cols>
          <w:pgMar w:left="320" w:top="1440"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3650 Gilmore Way</w:t>
      </w:r>
    </w:p>
    <w:p>
      <w:pPr>
        <w:spacing w:after="0" w:line="234" w:lineRule="auto"/>
        <w:rPr>
          <w:sz w:val="20"/>
          <w:szCs w:val="20"/>
          <w:color w:val="auto"/>
        </w:rPr>
      </w:pPr>
      <w:r>
        <w:rPr>
          <w:rFonts w:ascii="Arial" w:cs="Arial" w:eastAsia="Arial" w:hAnsi="Arial"/>
          <w:sz w:val="18"/>
          <w:szCs w:val="18"/>
          <w:color w:val="auto"/>
        </w:rPr>
        <w:t>Burnaby, BC V5G 4W8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Post-Effective Amendment to Registration Statements on Form S-8 of Xenon Pharmaceuticals Inc. (the “Company”)</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acted as Canadian counsel to the Company, a corporation continued under the federal laws of Canada, in connection with the Post-Effective Amendment No. 1 to the Registration Statements on Form S-8, Reg. Nos. 333-199860, 333-202765, 333-210050, 333-216543, 333-223497, 333-230103, 333-237036, 333-238895, 333-265377 and 333-279962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xml:space="preserve">) to be filed by the Company with the U.S. Securities and Exchange Commission under the Securities Act of 1933, as amended. On June 2, 2026, the shareholders of the Company approved the Company’s 2026 Equity Incentive Plan (the </w:t>
      </w:r>
      <w:r>
        <w:rPr>
          <w:rFonts w:ascii="Arial" w:cs="Arial" w:eastAsia="Arial" w:hAnsi="Arial"/>
          <w:sz w:val="18"/>
          <w:szCs w:val="18"/>
          <w:b w:val="1"/>
          <w:bCs w:val="1"/>
          <w:color w:val="auto"/>
        </w:rPr>
        <w:t>“2026 Plan”</w:t>
      </w:r>
      <w:r>
        <w:rPr>
          <w:rFonts w:ascii="Arial" w:cs="Arial" w:eastAsia="Arial" w:hAnsi="Arial"/>
          <w:sz w:val="18"/>
          <w:szCs w:val="18"/>
          <w:color w:val="auto"/>
        </w:rPr>
        <w:t xml:space="preserve">). The total number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that may be issued under the 2026 Plan is 19,061,599, which is equal to the sum of (i) 4,400,000 Shares, (ii) 2,873,223 Shares which had been available for issuance under the Company’s Amended and Restated 2014 Equity Incentive Plan (the </w:t>
      </w:r>
      <w:r>
        <w:rPr>
          <w:rFonts w:ascii="Arial" w:cs="Arial" w:eastAsia="Arial" w:hAnsi="Arial"/>
          <w:sz w:val="18"/>
          <w:szCs w:val="18"/>
          <w:b w:val="1"/>
          <w:bCs w:val="1"/>
          <w:color w:val="auto"/>
        </w:rPr>
        <w:t>“2014 Plan”</w:t>
      </w:r>
      <w:r>
        <w:rPr>
          <w:rFonts w:ascii="Arial" w:cs="Arial" w:eastAsia="Arial" w:hAnsi="Arial"/>
          <w:sz w:val="18"/>
          <w:szCs w:val="18"/>
          <w:color w:val="auto"/>
        </w:rPr>
        <w:t xml:space="preserve">) and were not issued or subject to outstanding awards under the 2014 Plan, and (iii) up to 11,788,376 Shares subject to outstanding awards under the 2014 Plan that may expire or terminate, or are otherwise surrendered, cancelled, forfeited or repurchased by the Company at their original issuance price pursuant to a contractual repurchase right and would have become available again for issuance under the terms of the 2014 Plan (the Shares described in clauses (ii) and (iii), the </w:t>
      </w:r>
      <w:r>
        <w:rPr>
          <w:rFonts w:ascii="Arial" w:cs="Arial" w:eastAsia="Arial" w:hAnsi="Arial"/>
          <w:sz w:val="18"/>
          <w:szCs w:val="18"/>
          <w:b w:val="1"/>
          <w:bCs w:val="1"/>
          <w:color w:val="auto"/>
        </w:rPr>
        <w:t>“Carryover Shares”</w:t>
      </w:r>
      <w:r>
        <w:rPr>
          <w:rFonts w:ascii="Arial" w:cs="Arial" w:eastAsia="Arial" w:hAnsi="Arial"/>
          <w:sz w:val="18"/>
          <w:szCs w:val="18"/>
          <w:color w:val="auto"/>
        </w:rPr>
        <w:t>).</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giving this opinion, we have examined the Post-Effective Amendment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opinion expressed herein is limited to matters governed by the laws of the Province of British Columbia and the laws of Canada applicable therein.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and relying upon and subject to the foregoing, we are of the opinion that the Carryover Shares have been duly authorized and, when issued by the Company in accordance with the terms of the 2026 Plan and the agreements contemplated by the 2026 Plan, will be validly issued, fully paid and non-assessable shares in the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252031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drawing>
          <wp:anchor simplePos="0" relativeHeight="251657728" behindDoc="1" locked="0" layoutInCell="0" allowOverlap="1">
            <wp:simplePos x="0" y="0"/>
            <wp:positionH relativeFrom="page">
              <wp:posOffset>4914265</wp:posOffset>
            </wp:positionH>
            <wp:positionV relativeFrom="page">
              <wp:posOffset>629285</wp:posOffset>
            </wp:positionV>
            <wp:extent cx="2366010"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filing of this opinion letter as an exhibit to the Post-Effective Amendment and further consent to the use of our name wherever appearing in the Post-Effective Amendment.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Blake, Cassels &amp; Graydon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252031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hereby consent to the incorporation by reference in this Post-effective Amendment No. 1 to Registration Statement on Form S-8 (Nos. 333-199860, 333-202765, 333-210050, 333-216543, 333-223497, 333-230103, 333-237036, 333-238895, 333-265377, and 333-279962) of Xenon Pharmaceuticals Inc. of our report dated February 26, 2026 relating to the financial statements and the effectiveness of internal control over financial reporting, which appears in Xenon Pharmaceuticals Inc.'s Annual Report on Form 10-K for the year ended December 31, 2025.</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1265555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1527810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31"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pn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png"/><Relationship Id="rId60" Type="http://schemas.openxmlformats.org/officeDocument/2006/relationships/image" Target="media/image38.jpeg"/><Relationship Id="rId61" Type="http://schemas.openxmlformats.org/officeDocument/2006/relationships/image" Target="media/image39.png"/><Relationship Id="rId62" Type="http://schemas.openxmlformats.org/officeDocument/2006/relationships/image" Target="media/image40.png"/><Relationship Id="rId20" Type="http://schemas.openxmlformats.org/officeDocument/2006/relationships/hyperlink" Target="https://www.sec.gov/ix?doc=/Archives/edgar/data/0001582313/000119312526076650/xene-20251231.htm" TargetMode="External"/><Relationship Id="rId21" Type="http://schemas.openxmlformats.org/officeDocument/2006/relationships/hyperlink" Target="https://www.sec.gov/Archives/edgar/data/0001582313/000119312514369146/d803267d8a12b.htm" TargetMode="External"/><Relationship Id="rId24" Type="http://schemas.openxmlformats.org/officeDocument/2006/relationships/hyperlink" Target="https://www.sec.gov/Archives/edgar/data/1582313/000119312514363909/d582812dex41.htm" TargetMode="External"/><Relationship Id="rId25" Type="http://schemas.openxmlformats.org/officeDocument/2006/relationships/hyperlink" Target="https://www.sec.gov/Archives/edgar/data/1582313/000095017024069318/xene-ex10_1.htm" TargetMode="External"/><Relationship Id="rId26" Type="http://schemas.openxmlformats.org/officeDocument/2006/relationships/hyperlink" Target="https://www.sec.gov/ix?doc=/Archives/edgar/data/0001582313/000119312526255396/xene-20260602.htm" TargetMode="External"/><Relationship Id="rId27" Type="http://schemas.openxmlformats.org/officeDocument/2006/relationships/hyperlink" Target="https://www.sec.gov/Archives/edgar/data/1582313/000119312514397217/d806103dex51.htm" TargetMode="External"/><Relationship Id="rId28" Type="http://schemas.openxmlformats.org/officeDocument/2006/relationships/hyperlink" Target="https://www.sec.gov/Archives/edgar/data/1582313/000117184315001400/exh_51.htm" TargetMode="External"/><Relationship Id="rId29" Type="http://schemas.openxmlformats.org/officeDocument/2006/relationships/hyperlink" Target="https://www.sec.gov/Archives/edgar/data/1582313/000156459016014310/xene-ex51_9.htm" TargetMode="External"/><Relationship Id="rId30" Type="http://schemas.openxmlformats.org/officeDocument/2006/relationships/hyperlink" Target="https://www.sec.gov/Archives/edgar/data/1582313/000156459017003725/xene-ex51_42.htm" TargetMode="External"/><Relationship Id="rId32" Type="http://schemas.openxmlformats.org/officeDocument/2006/relationships/hyperlink" Target="https://www.sec.gov/Archives/edgar/data/1582313/000156459018004754/xene-ex51_7.htm" TargetMode="External"/><Relationship Id="rId33" Type="http://schemas.openxmlformats.org/officeDocument/2006/relationships/hyperlink" Target="https://www.sec.gov/Archives/edgar/data/1582313/000156459019006522/xene-ex51_7.htm" TargetMode="External"/><Relationship Id="rId34" Type="http://schemas.openxmlformats.org/officeDocument/2006/relationships/hyperlink" Target="https://www.sec.gov/Archives/edgar/data/1582313/000156459020009391/xene-ex51_6.htm" TargetMode="External"/><Relationship Id="rId35" Type="http://schemas.openxmlformats.org/officeDocument/2006/relationships/hyperlink" Target="https://www.sec.gov/Archives/edgar/data/1582313/000156459020028139/xene-ex51_6.htm" TargetMode="External"/><Relationship Id="rId36" Type="http://schemas.openxmlformats.org/officeDocument/2006/relationships/hyperlink" Target="https://www.sec.gov/Archives/edgar/data/1582313/000156459022022244/xene-ex51_6.htm" TargetMode="External"/><Relationship Id="rId37" Type="http://schemas.openxmlformats.org/officeDocument/2006/relationships/hyperlink" Target="https://www.sec.gov/Archives/edgar/data/1582313/000095017024069340/xene-ex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2026-06-03T15:27:01Z</dcterms:created>
  <dcterms:modified xsi:type="dcterms:W3CDTF">2026-06-03T15:27:01Z</dcterms:modified>
</cp:coreProperties>
</file>