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KENNEY CHRISTOPHER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3650 GILMORE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BURNABY</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V5G 4W8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BRITISH COLUMBIA,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Xenon Pharmaceuticals Inc.</w:t>
              </w:r>
            </w:hyperlink>
            <w:r>
              <w:rPr/>
              <w:t xml:space="preserve"> [ </w:t>
            </w:r>
            <w:r>
              <w:rPr>
                <w:rFonts w:ascii="Times;serif" w:hAnsi="Times;serif"/>
                <w:color w:val="0000FF"/>
                <w:sz w:val="24"/>
                <w:shd w:fill="FFFFFF" w:val="clear"/>
              </w:rPr>
              <w:t>XENE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60.1673</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60.9766</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w:t>
            </w:r>
            <w:r>
              <w:rPr>
                <w:rFonts w:ascii="Times;serif" w:hAnsi="Times;serif"/>
                <w:color w:val="008000"/>
                <w:position w:val="7"/>
                <w:sz w:val="16"/>
                <w:sz w:val="20"/>
                <w:shd w:fill="FFFFFF" w:val="clear"/>
              </w:rPr>
              <w:t>(4)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and "Price" reported in this Column 4 reflect the aggregate number and weighted-average price (rounded to two decimal places), respectively, of shares sold. These share were sold in multiple transactions at prices ranging from $59.79 to $60.68, inclusive. The reporting person undertakes to provide to the issuer, any security holder of the issuer, or the SEC staff,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"Amount" and "Price" reported in this Column 4 reflect the aggregate number and weighted-average price (rounded to two decimal places), respectively, of shares sold. These share were sold in multiple transactions at prices ranging from $60.81 to $61.12, inclusive. The reporting person undertakes to provide to the issuer, any security holder of the issuer, or the SEC staff,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number of shares beneficially owned following the reported transactions reflects an upward adjustment of one share from the reporting person's previous Form 4 filed on March 13, 2026, based on updated tax withholding calculations for the transactions described on the previously filed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Nathaniel Adams,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0129" TargetMode="External"/><Relationship Id="rId5" Type="http://schemas.openxmlformats.org/officeDocument/2006/relationships/hyperlink" Target="http://www.sec.gov/cgi-bin/browse-edgar?action=getcompany&amp;CIK=0001582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807</Words>
  <Characters>4383</Characters>
  <CharactersWithSpaces>5112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