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6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2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2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581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Canada</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98-0661854</w:t>
            </w:r>
          </w:p>
        </w:tc>
      </w:tr>
      <w:tr>
        <w:trPr>
          <w:trHeight w:val="135"/>
        </w:trPr>
        <w:tc>
          <w:tcPr>
            <w:tcW w:w="4680" w:type="dxa"/>
            <w:vAlign w:val="bottom"/>
          </w:tcPr>
          <w:p>
            <w:pPr>
              <w:jc w:val="center"/>
              <w:ind w:right="18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680" w:type="dxa"/>
            <w:vAlign w:val="bottom"/>
          </w:tcPr>
          <w:p>
            <w:pPr>
              <w:jc w:val="center"/>
              <w:ind w:right="184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200-3650 Gilmore Way</w:t>
            </w:r>
          </w:p>
        </w:tc>
        <w:tc>
          <w:tcPr>
            <w:tcW w:w="2900" w:type="dxa"/>
            <w:vAlign w:val="bottom"/>
          </w:tcPr>
          <w:p>
            <w:pPr>
              <w:spacing w:after="0"/>
              <w:rPr>
                <w:sz w:val="18"/>
                <w:szCs w:val="18"/>
                <w:color w:val="auto"/>
              </w:rPr>
            </w:pPr>
          </w:p>
        </w:tc>
      </w:tr>
      <w:tr>
        <w:trPr>
          <w:trHeight w:val="216"/>
        </w:trPr>
        <w:tc>
          <w:tcPr>
            <w:tcW w:w="4680" w:type="dxa"/>
            <w:vAlign w:val="bottom"/>
          </w:tcPr>
          <w:p>
            <w:pPr>
              <w:jc w:val="center"/>
              <w:ind w:right="1823"/>
              <w:spacing w:after="0"/>
              <w:rPr>
                <w:sz w:val="20"/>
                <w:szCs w:val="20"/>
                <w:color w:val="auto"/>
              </w:rPr>
            </w:pPr>
            <w:r>
              <w:rPr>
                <w:rFonts w:ascii="Arial" w:cs="Arial" w:eastAsia="Arial" w:hAnsi="Arial"/>
                <w:sz w:val="18"/>
                <w:szCs w:val="18"/>
                <w:b w:val="1"/>
                <w:bCs w:val="1"/>
                <w:color w:val="auto"/>
                <w:w w:val="92"/>
              </w:rPr>
              <w:t>Burnaby, British Columbia, Canada</w:t>
            </w:r>
          </w:p>
        </w:tc>
        <w:tc>
          <w:tcPr>
            <w:tcW w:w="2900" w:type="dxa"/>
            <w:vAlign w:val="bottom"/>
          </w:tcPr>
          <w:p>
            <w:pPr>
              <w:jc w:val="center"/>
              <w:ind w:left="1846"/>
              <w:spacing w:after="0"/>
              <w:rPr>
                <w:sz w:val="20"/>
                <w:szCs w:val="20"/>
                <w:color w:val="auto"/>
              </w:rPr>
            </w:pPr>
            <w:r>
              <w:rPr>
                <w:rFonts w:ascii="Arial" w:cs="Arial" w:eastAsia="Arial" w:hAnsi="Arial"/>
                <w:sz w:val="18"/>
                <w:szCs w:val="18"/>
                <w:b w:val="1"/>
                <w:bCs w:val="1"/>
                <w:color w:val="auto"/>
                <w:w w:val="99"/>
              </w:rPr>
              <w:t>V5G 4W8</w:t>
            </w:r>
          </w:p>
        </w:tc>
      </w:tr>
      <w:tr>
        <w:trPr>
          <w:trHeight w:val="164"/>
        </w:trPr>
        <w:tc>
          <w:tcPr>
            <w:tcW w:w="4680" w:type="dxa"/>
            <w:vAlign w:val="bottom"/>
          </w:tcPr>
          <w:p>
            <w:pPr>
              <w:jc w:val="center"/>
              <w:ind w:right="18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(604) 484-3300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2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firstLine="518"/>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40" w:firstLine="51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220" w:firstLine="518"/>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2017, the registrant had 17,996,680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892175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25"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MARCH 31, 2017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2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97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2017 and December 31, 2016</w:t>
              </w:r>
            </w:hyperlink>
          </w:p>
        </w:tc>
        <w:tc>
          <w:tcPr>
            <w:tcW w:w="3900" w:type="dxa"/>
            <w:vAlign w:val="bottom"/>
            <w:gridSpan w:val="5"/>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months ended March 31, 2017 and 2016</w:t>
              </w:r>
            </w:hyperlink>
          </w:p>
        </w:tc>
        <w:tc>
          <w:tcPr>
            <w:tcW w:w="7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for the three months ended March 31, 2017</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2017 and 2016</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600" w:type="dxa"/>
            <w:vAlign w:val="bottom"/>
            <w:gridSpan w:val="2"/>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974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6520" w:type="dxa"/>
            <w:vAlign w:val="bottom"/>
            <w:tcBorders>
              <w:top w:val="single" w:sz="8" w:color="0000EE"/>
            </w:tcBorders>
            <w:gridSpan w:val="14"/>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680" w:type="dxa"/>
            <w:vAlign w:val="bottom"/>
            <w:gridSpan w:val="3"/>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4.</w:t>
              </w:r>
            </w:hyperlink>
          </w:p>
        </w:tc>
        <w:tc>
          <w:tcPr>
            <w:tcW w:w="43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820" w:type="dxa"/>
            <w:vAlign w:val="bottom"/>
            <w:gridSpan w:val="6"/>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7600" w:type="dxa"/>
            <w:vAlign w:val="bottom"/>
            <w:gridSpan w:val="10"/>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140" w:type="dxa"/>
            <w:vAlign w:val="bottom"/>
            <w:gridSpan w:val="13"/>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6.</w:t>
              </w:r>
            </w:hyperlink>
          </w:p>
        </w:tc>
        <w:tc>
          <w:tcPr>
            <w:tcW w:w="9200" w:type="dxa"/>
            <w:vAlign w:val="bottom"/>
            <w:gridSpan w:val="17"/>
          </w:tcPr>
          <w:p>
            <w:pPr>
              <w:ind w:left="20"/>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580" w:type="dxa"/>
            <w:vAlign w:val="bottom"/>
            <w:gridSpan w:val="1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40" w:type="dxa"/>
            <w:vAlign w:val="bottom"/>
            <w:gridSpan w:val="15"/>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 INDEX</w:t>
              </w:r>
            </w:hyperlink>
          </w:p>
        </w:tc>
        <w:tc>
          <w:tcPr>
            <w:tcW w:w="8840" w:type="dxa"/>
            <w:vAlign w:val="bottom"/>
            <w:gridSpan w:val="15"/>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and its subsidiary.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59,141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outstanding: 17,996,680 (December 31, 2016 - 17,930,590) (note 7a)</w:t>
            </w:r>
          </w:p>
        </w:tc>
        <w:tc>
          <w:tcPr>
            <w:tcW w:w="1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Accumulated deficit</w:t>
            </w:r>
          </w:p>
        </w:tc>
        <w:tc>
          <w:tcPr>
            <w:tcW w:w="13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(150,201)</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(142,681)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57,195</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60,786</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Collaboration revenue (note 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Royalties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Foreign exchange gain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per common share (note 4):</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(0.42)</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r>
      <w:tr>
        <w:trPr>
          <w:trHeight w:val="270"/>
        </w:trPr>
        <w:tc>
          <w:tcPr>
            <w:tcW w:w="20" w:type="dxa"/>
            <w:vAlign w:val="bottom"/>
          </w:tcPr>
          <w:p>
            <w:pPr>
              <w:spacing w:after="0"/>
              <w:rPr>
                <w:sz w:val="23"/>
                <w:szCs w:val="23"/>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(note 4):</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17,946,209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14,394,000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17,974,469</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14,394,000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4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8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Common shares</w:t>
            </w:r>
          </w:p>
        </w:tc>
        <w:tc>
          <w:tcPr>
            <w:tcW w:w="3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1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 deficit</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80"/>
              <w:spacing w:after="0" w:line="155" w:lineRule="exact"/>
              <w:rPr>
                <w:sz w:val="20"/>
                <w:szCs w:val="20"/>
                <w:color w:val="auto"/>
              </w:rPr>
            </w:pPr>
            <w:r>
              <w:rPr>
                <w:rFonts w:ascii="Arial" w:cs="Arial" w:eastAsia="Arial" w:hAnsi="Arial"/>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i w:val="1"/>
                <w:iCs w:val="1"/>
                <w:color w:val="auto"/>
              </w:rPr>
              <w:t>Amount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14,385,336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148,634</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(119,693)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issuance costs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Stock option compensation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Fair value adjustment upon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reclassification of stock options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17,930,590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(142,681)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 option compensation</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66,090</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March 31, 2017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17,996,680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173,829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34,557</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(150,201)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right="280" w:hanging="512"/>
        <w:spacing w:after="0" w:line="293"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(7,517)</w:t>
            </w:r>
          </w:p>
        </w:tc>
        <w:tc>
          <w:tcPr>
            <w:tcW w:w="118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Unrealized foreign exchange gain</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long term</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(6,460)</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marketable securities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Issuance of common shares pursuant to exercise of stock options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17,095</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58,651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20,160</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56,064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Interest received</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18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90"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w:t>
      </w:r>
    </w:p>
    <w:p>
      <w:pPr>
        <w:spacing w:after="0" w:line="117" w:lineRule="exact"/>
        <w:rPr>
          <w:rFonts w:ascii="Arial" w:cs="Arial" w:eastAsia="Arial" w:hAnsi="Arial"/>
          <w:sz w:val="18"/>
          <w:szCs w:val="18"/>
          <w:b w:val="1"/>
          <w:bCs w:val="1"/>
          <w:color w:val="auto"/>
        </w:rPr>
      </w:pPr>
    </w:p>
    <w:p>
      <w:pPr>
        <w:ind w:left="52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one wholly-owned subsidiary as at March 31, 2017, Xenon Pharmaceuticals USA Inc. which was incorporated in Delaware on December 2, 2016.</w:t>
      </w:r>
    </w:p>
    <w:p>
      <w:pPr>
        <w:spacing w:after="0" w:line="62" w:lineRule="exact"/>
        <w:rPr>
          <w:rFonts w:ascii="Arial" w:cs="Arial" w:eastAsia="Arial" w:hAnsi="Arial"/>
          <w:sz w:val="18"/>
          <w:szCs w:val="18"/>
          <w:b w:val="1"/>
          <w:bCs w:val="1"/>
          <w:color w:val="auto"/>
        </w:rPr>
      </w:pPr>
    </w:p>
    <w:p>
      <w:pPr>
        <w:ind w:left="5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interim consolidated financial statements include the accounts of the Company and its wholly-owned subsidiary. All intercompany transactions and balances have been eliminated on consolidation.</w:t>
      </w:r>
    </w:p>
    <w:p>
      <w:pPr>
        <w:spacing w:after="0" w:line="62" w:lineRule="exact"/>
        <w:rPr>
          <w:rFonts w:ascii="Arial" w:cs="Arial" w:eastAsia="Arial" w:hAnsi="Arial"/>
          <w:sz w:val="18"/>
          <w:szCs w:val="18"/>
          <w:b w:val="1"/>
          <w:bCs w:val="1"/>
          <w:color w:val="auto"/>
        </w:rPr>
      </w:pPr>
    </w:p>
    <w:p>
      <w:pPr>
        <w:ind w:left="52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financial statements have been prepared in accordance with United States generally accepted accounting principles (“U.S. GAAP”) and pursuant to the rules and regulations of the United States Securities and Exchange Commission (“SEC”) for interim financial information. Accordingly, these consolidated financial statements do not include all of the information and footnotes required for complete consolidated financial statements and should be read in conjunction with the audited consolidated financial statements and notes for the year ended December 31, 2016 and included in the Company’s 2016 Annual Report on Form 10-K filed with the SEC and with the securities commissions in British Columbia, Alberta and Ontario on March 8, 2017.</w:t>
      </w:r>
    </w:p>
    <w:p>
      <w:pPr>
        <w:spacing w:after="0" w:line="85" w:lineRule="exact"/>
        <w:rPr>
          <w:rFonts w:ascii="Arial" w:cs="Arial" w:eastAsia="Arial" w:hAnsi="Arial"/>
          <w:sz w:val="18"/>
          <w:szCs w:val="18"/>
          <w:b w:val="1"/>
          <w:bCs w:val="1"/>
          <w:color w:val="auto"/>
        </w:rPr>
      </w:pPr>
    </w:p>
    <w:p>
      <w:pPr>
        <w:ind w:left="52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month periods ended March 31, 2017 and 2016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2016 Annual Report on Form 10-K for the year ended December 31, 2016. Certain comparative figures have been reclassified to conform to the consolidated financial statement presentation adopted for the current period.</w:t>
      </w:r>
    </w:p>
    <w:p>
      <w:pPr>
        <w:spacing w:after="0" w:line="268"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ind w:left="52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The Company has begun its evaluation and identified two significant collaboration agreements with respect to revenue, the collaborative development and license agreements with Teva Pharmaceutical Industries, Ltd. and Genentech, a member of the Roche Group, described in notes 9(a) and (b), respectively, to the audited consolidated financial statements of the Company included in the Company’s 2016 Annual Report on Form 10-K for the year ended December 31, 2016. The Company is evaluating the new guidance as it applies to revenue previously recognized as well as milestone payments the Company is eligible to receive in future periods under these agreements.</w:t>
      </w:r>
    </w:p>
    <w:p>
      <w:pPr>
        <w:spacing w:after="0" w:line="74" w:lineRule="exact"/>
        <w:rPr>
          <w:rFonts w:ascii="Arial" w:cs="Arial" w:eastAsia="Arial" w:hAnsi="Arial"/>
          <w:sz w:val="18"/>
          <w:szCs w:val="18"/>
          <w:b w:val="1"/>
          <w:bCs w:val="1"/>
          <w:color w:val="auto"/>
        </w:rPr>
      </w:pPr>
    </w:p>
    <w:p>
      <w:pPr>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7" w:name="page8"/>
    <w:bookmarkEnd w:id="7"/>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121" w:lineRule="exact"/>
        <w:rPr>
          <w:rFonts w:ascii="Arial" w:cs="Arial" w:eastAsia="Arial" w:hAnsi="Arial"/>
          <w:sz w:val="18"/>
          <w:szCs w:val="18"/>
          <w:b w:val="1"/>
          <w:bCs w:val="1"/>
          <w:color w:val="auto"/>
        </w:rPr>
      </w:pPr>
    </w:p>
    <w:p>
      <w:pPr>
        <w:ind w:left="512"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73" w:lineRule="exact"/>
        <w:rPr>
          <w:rFonts w:ascii="Arial" w:cs="Arial" w:eastAsia="Arial" w:hAnsi="Arial"/>
          <w:sz w:val="18"/>
          <w:szCs w:val="18"/>
          <w:b w:val="1"/>
          <w:bCs w:val="1"/>
          <w:color w:val="auto"/>
        </w:rPr>
      </w:pPr>
    </w:p>
    <w:p>
      <w:pPr>
        <w:ind w:left="512"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2017, 1,943,508 stock options were excluded from the calculation of diluted net income per common share as their inclusion would be anti-dilutive. For the three months ended March 31, 2016, all stock options were anti-dilutive and were excluded from the diluted weighted average common shares outstanding for the period.</w:t>
      </w:r>
    </w:p>
    <w:p>
      <w:pPr>
        <w:spacing w:after="0" w:line="7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numerators and denominators of basic and diluted net loss per common share:</w:t>
      </w:r>
    </w:p>
    <w:p>
      <w:pPr>
        <w:spacing w:after="0" w:line="200" w:lineRule="exact"/>
        <w:rPr>
          <w:sz w:val="20"/>
          <w:szCs w:val="20"/>
          <w:color w:val="auto"/>
        </w:rPr>
      </w:pPr>
    </w:p>
    <w:p>
      <w:pPr>
        <w:spacing w:after="0" w:line="206"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3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Net loss used to compute net loss per common share:</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(7,517)</w:t>
            </w: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Adjustment for change in fair value of liability classified stock options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17,946,209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dilutive effect of stock options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17,974,469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w:t>
            </w:r>
          </w:p>
        </w:tc>
        <w:tc>
          <w:tcPr>
            <w:tcW w:w="10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 diluted</w:t>
            </w:r>
          </w:p>
        </w:tc>
        <w:tc>
          <w:tcPr>
            <w:tcW w:w="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12" w:hanging="512"/>
        <w:spacing w:after="0"/>
        <w:tabs>
          <w:tab w:leader="none" w:pos="5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We measure certain financial instruments and other items at fair value.</w:t>
      </w:r>
    </w:p>
    <w:p>
      <w:pPr>
        <w:spacing w:after="0" w:line="117" w:lineRule="exact"/>
        <w:rPr>
          <w:rFonts w:ascii="Arial" w:cs="Arial" w:eastAsia="Arial" w:hAnsi="Arial"/>
          <w:sz w:val="18"/>
          <w:szCs w:val="18"/>
          <w:b w:val="1"/>
          <w:bCs w:val="1"/>
          <w:color w:val="auto"/>
        </w:rPr>
      </w:pPr>
    </w:p>
    <w:p>
      <w:pPr>
        <w:jc w:val="both"/>
        <w:ind w:left="512"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892" w:hanging="379"/>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ind w:left="892" w:right="60" w:hanging="379"/>
        <w:spacing w:after="0" w:line="302"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892" w:hanging="379"/>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ind w:left="512" w:right="4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ind w:left="512" w:right="60"/>
        <w:spacing w:after="0" w:line="302" w:lineRule="auto"/>
        <w:rPr>
          <w:sz w:val="20"/>
          <w:szCs w:val="20"/>
          <w:color w:val="auto"/>
        </w:rPr>
      </w:pPr>
      <w:r>
        <w:rPr>
          <w:rFonts w:ascii="Arial" w:cs="Arial" w:eastAsia="Arial" w:hAnsi="Arial"/>
          <w:sz w:val="16"/>
          <w:szCs w:val="16"/>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As quoted prices for the liability classified stock options, included in the consolidated balance sheet as accounts payable and accrued expenses, are not readily available, the Company has used a Black-Scholes pricing model to estimate fair value using Level 3 inputs as defined above.</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459"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Financing:</w:t>
      </w:r>
    </w:p>
    <w:p>
      <w:pPr>
        <w:spacing w:after="0" w:line="117" w:lineRule="exact"/>
        <w:rPr>
          <w:rFonts w:ascii="Arial" w:cs="Arial" w:eastAsia="Arial" w:hAnsi="Arial"/>
          <w:sz w:val="18"/>
          <w:szCs w:val="18"/>
          <w:color w:val="auto"/>
        </w:rPr>
      </w:pPr>
    </w:p>
    <w:p>
      <w:pPr>
        <w:ind w:left="900" w:right="80"/>
        <w:spacing w:after="0" w:line="264" w:lineRule="auto"/>
        <w:rPr>
          <w:rFonts w:ascii="Arial" w:cs="Arial" w:eastAsia="Arial" w:hAnsi="Arial"/>
          <w:sz w:val="18"/>
          <w:szCs w:val="18"/>
          <w:color w:val="auto"/>
        </w:rPr>
      </w:pPr>
      <w:r>
        <w:rPr>
          <w:rFonts w:ascii="Arial" w:cs="Arial" w:eastAsia="Arial" w:hAnsi="Arial"/>
          <w:sz w:val="18"/>
          <w:szCs w:val="18"/>
          <w:color w:val="auto"/>
        </w:rPr>
        <w:t>On September 13, 2016, the Company completed an underwritten public offering of 3,450,000 of its common shares at a public offering price of $7.50 per common share. The Company received approximately $24.3 million of proceeds, net of underwriting discounts and commissions but before offering expenses.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option activity for the period: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1,910,823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1,721,472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416,750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233,950</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(67,921)</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(16,246)</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Forfeited and expired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(1,415)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(4,442)</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2,258,237</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1,293,367</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1,151,853</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519"/>
        <w:spacing w:after="0" w:line="264" w:lineRule="auto"/>
        <w:tabs>
          <w:tab w:leader="none" w:pos="1040" w:val="left"/>
        </w:tabs>
        <w:numPr>
          <w:ilvl w:val="0"/>
          <w:numId w:val="8"/>
        </w:numPr>
        <w:rPr>
          <w:rFonts w:ascii="Arial" w:cs="Arial" w:eastAsia="Arial" w:hAnsi="Arial"/>
          <w:sz w:val="15"/>
          <w:szCs w:val="15"/>
          <w:color w:val="auto"/>
        </w:rPr>
      </w:pPr>
      <w:r>
        <w:rPr>
          <w:rFonts w:ascii="Arial" w:cs="Arial" w:eastAsia="Arial" w:hAnsi="Arial"/>
          <w:sz w:val="18"/>
          <w:szCs w:val="18"/>
          <w:color w:val="auto"/>
        </w:rPr>
        <w:t>During the three months ended March 31, 2017, 62,397 stock options were exercised for the same number of common shares for cash (three months ended March 31, 2016 – 16,246). In the same period, the Company issued 3,693 common shares (three months ended March 31, 2016 – nil) for the cashless exercise of 5,524 stock options (three months ended March 31, 2016 – nil).</w:t>
      </w:r>
    </w:p>
    <w:p>
      <w:pPr>
        <w:spacing w:after="0" w:line="7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fair value of each option granted to employees and non-employees is estimated using the Black-Scholes option-pricing model with the following weighted-average assumptions:</w:t>
      </w:r>
    </w:p>
    <w:p>
      <w:pPr>
        <w:spacing w:after="0" w:line="243"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2.44%</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expected term (in years)</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1"/>
              </w:rPr>
              <w:t>7.47</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0.00%</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The weighted-average fair value of options granted during the three months ended March 31, 2017 was $6.34 (three months ended March 31, 2016 – $4.95) per option</w:t>
      </w:r>
      <w:r>
        <w:rPr>
          <w:rFonts w:ascii="Arial" w:cs="Arial" w:eastAsia="Arial" w:hAnsi="Arial"/>
          <w:sz w:val="14"/>
          <w:szCs w:val="14"/>
          <w:color w:val="auto"/>
        </w:rPr>
        <w:t>.</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rFonts w:ascii="Arial" w:cs="Arial" w:eastAsia="Arial" w:hAnsi="Arial"/>
          <w:sz w:val="18"/>
          <w:szCs w:val="18"/>
          <w:b w:val="1"/>
          <w:bCs w:val="1"/>
          <w:color w:val="auto"/>
        </w:rPr>
      </w:pPr>
    </w:p>
    <w:p>
      <w:pPr>
        <w:ind w:left="52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a number of collaboration agreements with multiple deliverables under which it may have received non-refundable upfront payments. The Company generally recognizes revenue from non-refundable upfront payments ratably over the term of its estimated period of performance of research under its collaboration agreements in the event that such arrangements represent a single unit of accounting.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9" w:name="page10"/>
    <w:bookmarkEnd w:id="9"/>
    <w:p>
      <w:pPr>
        <w:ind w:left="512"/>
        <w:spacing w:after="0" w:line="276" w:lineRule="auto"/>
        <w:rPr>
          <w:sz w:val="20"/>
          <w:szCs w:val="20"/>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64" w:lineRule="exact"/>
        <w:rPr>
          <w:sz w:val="20"/>
          <w:szCs w:val="20"/>
          <w:color w:val="auto"/>
        </w:rPr>
      </w:pPr>
    </w:p>
    <w:p>
      <w:pPr>
        <w:ind w:left="512"/>
        <w:spacing w:after="0"/>
        <w:rPr>
          <w:sz w:val="20"/>
          <w:szCs w:val="20"/>
          <w:color w:val="auto"/>
        </w:rPr>
      </w:pPr>
      <w:r>
        <w:rPr>
          <w:rFonts w:ascii="Arial" w:cs="Arial" w:eastAsia="Arial" w:hAnsi="Arial"/>
          <w:sz w:val="16"/>
          <w:szCs w:val="16"/>
          <w:color w:val="auto"/>
        </w:rPr>
        <w:t>The following table is a summary of the revenue recognized from the Company’s collaborations for the three months ended March 31, 2017 and 2016:</w:t>
      </w:r>
    </w:p>
    <w:p>
      <w:pPr>
        <w:spacing w:after="0" w:line="321"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52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82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892" w:hanging="379"/>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ind w:left="892" w:right="20"/>
        <w:spacing w:after="0" w:line="272" w:lineRule="auto"/>
        <w:rPr>
          <w:rFonts w:ascii="Arial" w:cs="Arial" w:eastAsia="Arial" w:hAnsi="Arial"/>
          <w:sz w:val="18"/>
          <w:szCs w:val="18"/>
          <w:color w:val="auto"/>
        </w:rPr>
      </w:pPr>
      <w:r>
        <w:rPr>
          <w:rFonts w:ascii="Arial" w:cs="Arial" w:eastAsia="Arial" w:hAnsi="Arial"/>
          <w:sz w:val="17"/>
          <w:szCs w:val="17"/>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$2,608 has been recorded as expenses to date for services rendered, $123 has been recorded as current prepaid expenses (December 31, 2016 – $392) and $269 as long-term prepaid expenses (December 31, 2016 – $408) for the provision of future services as at March 31, 2017.</w:t>
      </w:r>
    </w:p>
    <w:p>
      <w:pPr>
        <w:spacing w:after="0" w:line="177" w:lineRule="exact"/>
        <w:rPr>
          <w:rFonts w:ascii="Arial" w:cs="Arial" w:eastAsia="Arial" w:hAnsi="Arial"/>
          <w:sz w:val="18"/>
          <w:szCs w:val="18"/>
          <w:color w:val="auto"/>
        </w:rPr>
      </w:pPr>
    </w:p>
    <w:p>
      <w:pPr>
        <w:ind w:left="892" w:hanging="379"/>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License, manufacture and supply agreement:</w:t>
      </w:r>
    </w:p>
    <w:p>
      <w:pPr>
        <w:spacing w:after="0" w:line="117" w:lineRule="exact"/>
        <w:rPr>
          <w:rFonts w:ascii="Arial" w:cs="Arial" w:eastAsia="Arial" w:hAnsi="Arial"/>
          <w:sz w:val="18"/>
          <w:szCs w:val="18"/>
          <w:color w:val="auto"/>
        </w:rPr>
      </w:pPr>
    </w:p>
    <w:p>
      <w:pPr>
        <w:ind w:left="892" w:right="20"/>
        <w:spacing w:after="0" w:line="279" w:lineRule="auto"/>
        <w:rPr>
          <w:rFonts w:ascii="Arial" w:cs="Arial" w:eastAsia="Arial" w:hAnsi="Arial"/>
          <w:sz w:val="18"/>
          <w:szCs w:val="18"/>
          <w:color w:val="auto"/>
        </w:rPr>
      </w:pPr>
      <w:r>
        <w:rPr>
          <w:rFonts w:ascii="Arial" w:cs="Arial" w:eastAsia="Arial" w:hAnsi="Arial"/>
          <w:sz w:val="17"/>
          <w:szCs w:val="17"/>
          <w:color w:val="auto"/>
        </w:rPr>
        <w:t>In March 2017, the Company entered into a license, manufacture and supply agreement with a pharmaceutical contract manufacturing organization for the access and use of certain regulatory documents as well as for the manufacture and supply of clinical and commercial drug product. Under the terms of the agreement, the Company was required to pay an upfront payment of $500 CAD and will be required to pay a low single-digit percentage royalty on net sales of any products developed and commercialized under the agreement.</w:t>
      </w:r>
    </w:p>
    <w:p>
      <w:pPr>
        <w:spacing w:after="0" w:line="171" w:lineRule="exact"/>
        <w:rPr>
          <w:rFonts w:ascii="Arial" w:cs="Arial" w:eastAsia="Arial" w:hAnsi="Arial"/>
          <w:sz w:val="18"/>
          <w:szCs w:val="18"/>
          <w:color w:val="auto"/>
        </w:rPr>
      </w:pPr>
    </w:p>
    <w:p>
      <w:pPr>
        <w:ind w:left="892" w:hanging="379"/>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ind w:left="892" w:right="22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ind w:left="892" w:right="140"/>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92" w:lineRule="exact"/>
        <w:rPr>
          <w:rFonts w:ascii="Arial" w:cs="Arial" w:eastAsia="Arial" w:hAnsi="Arial"/>
          <w:sz w:val="18"/>
          <w:szCs w:val="18"/>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512"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Dr. August J. Troendle, an officer and director of Medpace, which provides clinical development services to the Company, was a beneficial owner of more than 5% of the Company’s common shares during 2016. The Company incurred $432 of clinical development service fees under its priority access agreement and a master services agreement with Medpace for the three months ended March 31, 2017 (three months ended March 31, 2016 – $373).</w:t>
      </w:r>
    </w:p>
    <w:p>
      <w:pPr>
        <w:spacing w:after="0" w:line="200" w:lineRule="exact"/>
        <w:rPr>
          <w:sz w:val="20"/>
          <w:szCs w:val="20"/>
          <w:color w:val="auto"/>
        </w:rPr>
      </w:pPr>
    </w:p>
    <w:p>
      <w:pPr>
        <w:spacing w:after="0" w:line="2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247" w:right="259" w:bottom="1440" w:gutter="0" w:footer="0" w:header="0"/>
        </w:sectPr>
      </w:pPr>
    </w:p>
    <w:bookmarkStart w:id="10" w:name="page11"/>
    <w:bookmarkEnd w:id="10"/>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51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April 2017, the Company acquired XEN1101 (previously known as 1OP2198) from 1st Order Pharmaceuticals, Inc. (“1st Order”) pursuant to an asset purchase agreement. 1st Order previously acquired 1OP2198 from an affiliate of Valeant Pharmaceuticals International, Inc. (“Valeant”), and the Company will assume certain financial responsibilities under that agreement. Near term upfront and milestone consideration to be paid in 2017 is expected to total approximately $1,100. Future potential payments to both 1st Order and Valeant include $1,000 in clinical development milestones, up to $13,000 in regulatory milestones, and up to approximately $33,600 in sales-based and other milestones, which includes a $1,500 milestone that may be payable pre-commercially, plus a mid-to-high single digit percentage royalty on commercial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45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This section should be read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2016 included in our Annual Report on Form 10-K filed with the U.S. Securities and Exchange Commission on March 8, 2017 and with the securities commissions in British Columbia, Alberta and Ontario on March 8,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Arial" w:cs="Arial" w:eastAsia="Arial" w:hAnsi="Arial"/>
          <w:sz w:val="17"/>
          <w:szCs w:val="17"/>
          <w:color w:val="auto"/>
        </w:rPr>
        <w:t>:</w:t>
      </w:r>
    </w:p>
    <w:p>
      <w:pPr>
        <w:spacing w:after="0" w:line="70" w:lineRule="exact"/>
        <w:rPr>
          <w:sz w:val="20"/>
          <w:szCs w:val="20"/>
          <w:color w:val="auto"/>
        </w:rPr>
      </w:pPr>
    </w:p>
    <w:p>
      <w:pPr>
        <w:ind w:left="1040" w:right="3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either from our internal research efforts or though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current and future clinical trials for orphan or more common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in-licensing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12" w:name="page13"/>
    <w:bookmarkEnd w:id="12"/>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are a clinical stage biopharmaceutical company focused on developing innovative therapeutics to improve the lives of patients with neurological disorders. Building upon our vast knowledge of human genetics and diseases caused by mutations in ion channels, known as channelopathies, we are advancing a novel neurology-focused product pipeline of ion channel modulators to address therapeutic areas of high unmet medical need, such as pain and epilepsy.</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development pipeline and pharmaceutical partnerships include:</w:t>
      </w:r>
    </w:p>
    <w:p>
      <w:pPr>
        <w:spacing w:after="0" w:line="117" w:lineRule="exact"/>
        <w:rPr>
          <w:sz w:val="20"/>
          <w:szCs w:val="20"/>
          <w:color w:val="auto"/>
        </w:rPr>
      </w:pPr>
    </w:p>
    <w:p>
      <w:pPr>
        <w:ind w:left="1040" w:right="50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collaborator Teva is developing TV-45070, which is a topical sodium channel inhibitor for the treatment of neuropathic pain. Teva is currently conducting a randomized, double-blind, placebo-controlled Phase 2b clinical trial of TV-45070 in patients with post-herpetic neuralgia. Enrollment is complete with topline results expected in mid-2017;</w:t>
      </w:r>
    </w:p>
    <w:p>
      <w:pPr>
        <w:spacing w:after="0" w:line="73" w:lineRule="exact"/>
        <w:rPr>
          <w:rFonts w:ascii="Arial" w:cs="Arial" w:eastAsia="Arial" w:hAnsi="Arial"/>
          <w:sz w:val="18"/>
          <w:szCs w:val="18"/>
          <w:color w:val="auto"/>
        </w:rPr>
      </w:pPr>
    </w:p>
    <w:p>
      <w:pPr>
        <w:jc w:val="both"/>
        <w:ind w:left="1040" w:right="1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collaborator Genentech has completed a Phase 1 clinical trial for GDC-0310, which is an oral, selective Nav1.7 small-molecule inhibitor. Pending a full assessment of the Phase 1 clinical results and ongoing in vivo studies, Genentech anticipates initiating a Phase 2 clinical trial in 2017 for the potential treatment of pain;</w:t>
      </w:r>
    </w:p>
    <w:p>
      <w:pPr>
        <w:spacing w:after="0" w:line="73" w:lineRule="exact"/>
        <w:rPr>
          <w:rFonts w:ascii="Arial" w:cs="Arial" w:eastAsia="Arial" w:hAnsi="Arial"/>
          <w:sz w:val="18"/>
          <w:szCs w:val="18"/>
          <w:color w:val="auto"/>
        </w:rPr>
      </w:pPr>
    </w:p>
    <w:p>
      <w:pPr>
        <w:ind w:left="1040" w:right="100" w:hanging="519"/>
        <w:spacing w:after="0" w:line="25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April 2017, we acquired worldwide development and commercialization rights to XEN1101 from 1st Order Pharmaceuticals, Inc., or 1st Order, for the potential treatment of epilepsy. XEN1101 is a next-generation Kv7 potassium channel opener that preclinically demonstrated improved pharmacokinetics, selectivity, and pharmacology from a new chemical platform over first-generation potassium channel modulators, such as ezogabine. Xenon anticipates filing an investigational new drug, or IND, or IND equivalent, application to initiate a Phase 1 first-in-man clinical trial in the fourth quarter of 2017;</w:t>
      </w:r>
    </w:p>
    <w:p>
      <w:pPr>
        <w:spacing w:after="0" w:line="80"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XEN901 is a potent, selective Nav1.6 inhibitor being developed for the treatment of rare infantile epileptic encephalopathies and other forms of epilepsy. We expect to file an IND, or IND equivalent, application in the fourth quarter of 2017; and</w:t>
      </w:r>
    </w:p>
    <w:p>
      <w:pPr>
        <w:spacing w:after="0" w:line="62"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licensee uniQure Biopharma B.V., or uniQure, has developed Glybera for the treatment of the orphan disorder lipoprotein lipase deficiency. Glybera was the first gene therapy product approved in the European Union, or the EU. In November 2015, the first patient treated with Glybera as a commercially available gene therapy was announced by uniQure and enabled by its commercialization partner in the EU, Chiesi Farmaceutici S.p.A. which has sole control over commercialization in the EU. In April 2017, uniQure announced that it will not pursue the renewal of the Glybera marketing authorization in Europe, which is scheduled to expire on October 25, 2017.</w:t>
      </w:r>
    </w:p>
    <w:p>
      <w:pPr>
        <w:spacing w:after="0" w:line="173"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We have funded our operations through the sale of equity securities, funding received from our licensees and collaborators and, to a lesser extent, government funding. For the three months ended March 31, 2017, we recognized revenue, consisting primarily of funding from our collaborators of approximately $0.02 million. This compares to $0.6 million for the three months ended March 31,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3" w:name="page14"/>
    <w:bookmarkEnd w:id="13"/>
    <w:p>
      <w:pPr>
        <w:jc w:val="both"/>
        <w:ind w:right="60" w:firstLine="518"/>
        <w:spacing w:after="0" w:line="264" w:lineRule="auto"/>
        <w:rPr>
          <w:sz w:val="20"/>
          <w:szCs w:val="20"/>
          <w:color w:val="auto"/>
        </w:rPr>
      </w:pPr>
      <w:r>
        <w:rPr>
          <w:rFonts w:ascii="Arial" w:cs="Arial" w:eastAsia="Arial" w:hAnsi="Arial"/>
          <w:sz w:val="18"/>
          <w:szCs w:val="18"/>
          <w:color w:val="auto"/>
        </w:rPr>
        <w:t>We had a net loss of $7.5 million for the three months ended March 31, 2017 and an accumulated deficit of $150.2 million as of March 31, 2017, from expenses incurred in connection with our research programs and from general and administrative costs associated with our operations and we do not expect to have sustained profitability for the foreseeable future.</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6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as we:</w:t>
      </w:r>
    </w:p>
    <w:p>
      <w:pPr>
        <w:spacing w:after="0" w:line="62" w:lineRule="exact"/>
        <w:rPr>
          <w:sz w:val="20"/>
          <w:szCs w:val="20"/>
          <w:color w:val="auto"/>
        </w:rPr>
      </w:pPr>
    </w:p>
    <w:p>
      <w:pPr>
        <w:ind w:left="1040" w:right="3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and other payments under our product acquisition and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April 2017, we acquired XEN1101 (previously known as 1OP2198) from 1st Order pursuant to an asset purchase agreement. 1st Order previously acquired 1OP2198 (previously known as VRX621698) from an affiliate of Valeant Pharmaceuticals International, Inc., or Valeant, and we will assume certain financial responsibilities under that agreement. Near term upfront and milestone consideration to be paid in 2017 is expected to total approximately $1.1 million. Future potential payments to both 1st Order and Valeant include $1 million in clinical development milestones, up to $13 million in regulatory milestones, and up to approximately $33.6 million in sales-based and other milestones, which includes a $1.5 million milestone that may be payable pre-commercially, plus a mid-to-high single digit percentage royalty on commercial sales.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In addition, we have received nominal royalties from a diagnostic license and from sales of Glybera. 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w:t>
      </w:r>
    </w:p>
    <w:p>
      <w:pPr>
        <w:spacing w:after="0" w:line="18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is a summary of revenue recognized from our current collaboration agreements for the three months ended March 31, 2017 and 2016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2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1140" w:type="dxa"/>
            <w:vAlign w:val="bottom"/>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Teva:</w:t>
            </w:r>
          </w:p>
        </w:tc>
        <w:tc>
          <w:tcPr>
            <w:tcW w:w="28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372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28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28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140"/>
              <w:spacing w:after="0"/>
              <w:rPr>
                <w:sz w:val="20"/>
                <w:szCs w:val="20"/>
                <w:color w:val="auto"/>
              </w:rPr>
            </w:pPr>
            <w:r>
              <w:rPr>
                <w:rFonts w:ascii="Arial" w:cs="Arial" w:eastAsia="Arial" w:hAnsi="Arial"/>
                <w:sz w:val="18"/>
                <w:szCs w:val="18"/>
                <w:color w:val="auto"/>
              </w:rPr>
              <w:t>Total collaboration revenue</w:t>
            </w:r>
          </w:p>
        </w:tc>
        <w:tc>
          <w:tcPr>
            <w:tcW w:w="2800" w:type="dxa"/>
            <w:vAlign w:val="bottom"/>
          </w:tcPr>
          <w:p>
            <w:pPr>
              <w:spacing w:after="0"/>
              <w:rPr>
                <w:sz w:val="19"/>
                <w:szCs w:val="19"/>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0" w:type="dxa"/>
            <w:vAlign w:val="bottom"/>
            <w:vMerge w:val="restart"/>
          </w:tcPr>
          <w:p>
            <w:pPr>
              <w:jc w:val="right"/>
              <w:ind w:right="149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4" w:name="page15"/>
    <w:bookmarkEnd w:id="14"/>
    <w:p>
      <w:pPr>
        <w:jc w:val="both"/>
        <w:ind w:right="120" w:firstLine="518"/>
        <w:spacing w:after="0" w:line="286" w:lineRule="auto"/>
        <w:rPr>
          <w:sz w:val="20"/>
          <w:szCs w:val="20"/>
          <w:color w:val="auto"/>
        </w:rPr>
      </w:pPr>
      <w:r>
        <w:rPr>
          <w:rFonts w:ascii="Arial" w:cs="Arial" w:eastAsia="Arial" w:hAnsi="Arial"/>
          <w:sz w:val="17"/>
          <w:szCs w:val="17"/>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As our other internal and partnered products are in various stages of clinical and preclinical development, we do not expect to generate any revenue from product sales other than from our share of revenue related to our agreement with uniQure, which have not been significant to date and which we expect will cease in October 2017 following expiration of Glybera’s marketing authorization, for at least the next several years. We expect that revenue for the next several years will be derived from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As of March 31, 2017, we have recognized all deferred revenue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months ended March 31, 2017 and 2016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5,903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2,100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8,003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proprietary product candidates including any acquired or in-licensed product candidates or technology, as well as to support research and development of our product candidates in collaboration with Teva and Genentech.</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acquisition, license and collaboration fees, laboratory consumables and allocated facility-related and information technology costs.</w:t>
      </w:r>
    </w:p>
    <w:p>
      <w:pPr>
        <w:spacing w:after="0" w:line="18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our preclinical candidates once nominated and selected for further development including preclinical and discovery costs supporting a development candidate.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93"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5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and information technology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Foreign Exchange Gain (Loss). </w:t>
      </w:r>
      <w:r>
        <w:rPr>
          <w:rFonts w:ascii="Arial" w:cs="Arial" w:eastAsia="Arial" w:hAnsi="Arial"/>
          <w:sz w:val="18"/>
          <w:szCs w:val="18"/>
          <w:color w:val="auto"/>
        </w:rPr>
        <w:t>Net foreign exchange gains and losses consist of gains and losses from the impact of foreign exchange fluctuations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have been no material changes in our critical accounting policies and significant judgements and estimates during the three months ended March 31, 2017, as compared to those disclosed in “Management’s Discussion and Analysis of Financial Conditions and Results of Operations - Critical Accounting Policies and Significant Judgments and Estimates” included in our 2016 Annual Report on Form 10-K filed with the U.S. Securities and Exchange Commission, or SEC, and with the securities commissions in British Columbia, Alberta and Ontario, or the Canadian Securities Commissions, on March 8, 2017. We believe that the accounting policies discussed in the Annual Report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2017 and 2016</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months ended March 31,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44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Royalties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(7,517)</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(3,263)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recognized revenue of $0.02 million for the three months ended March 31, 2017 compared to $0.6 million for the three months ended March 31, 2016, a decrease of $0.6 million. For the three months ended March 31, 2016, we recognized revenue relating to the upfront payment from the March 2014 collaborative agreement with Genentech which was fully recognized by March 2016. The remaining decrease as compared to the same period in 2016 was mainly due to the expiration of FTE funding from Genentech in 2017 as we shifted resources from supporting our collaborations to our proprietary programs.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summarizes research and development expenses for the three months ended March 31,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8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13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XEN801 expenses</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1,160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XEN901 and Nav1.6 preclinical and discovery expenses</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Preclinical and discovery program expenses</w:t>
            </w:r>
          </w:p>
        </w:tc>
        <w:tc>
          <w:tcPr>
            <w:tcW w:w="1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4,364</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Research and development expenses were $5.9 million for the three months ended March 31, 2017 compared to $4.4 million for the three months ended March 31, 2016. The increase of $1.5 million was primarily attributable to increased spending on our internal preclinical and discovery programs, our XEN901 product candidate and our XEN801 product candidate, which is no longer being developed. The increase was partially offset by a decrease in collaboration expenses.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months ended March 31,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were $2.1 million for the three months ended March 31, 2017 compared to $1.9 million for the three months ended March 31, 2016. The increase of $0.2 million was primarily attributable to increased costs for business development and salaries and benefits, partially offset by the fair value adjustment on our liability classified stock options.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our other income for the three months ended March 31,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0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6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28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income was $0.5 million for the three months ended March 31, 2017, compared to $2.4 million for the three months ended March 31, 2016. The change of $1.9 million was primarily driven by the change in foreign exchange gains arising largely from the translation of cash and cash equivalents and marketable securities denominated in Canadian dollars to U.S. dollars. We recorded a foreign exchange gain of $0.3 million for the three months ended March 31, 2017, compared to $2.3 million foreign exchange gain for the comparative period, largely due to a 1% and 7% increase in the value of the Canadian dollar for the three months ended March 31, 2017 and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and public offerings of our common shares and, to a lesser extent, through the receipt of government funding. As of March 31, 2017, we had cash and cash equivalents and marketable securities of $58.0 million. In September 2016, we completed an underwritten public offering of 3,450,000 of our common shares at a public offering price of $7.50 per common share. We received approximately $24.3 million of proceeds, net of underwriting discounts and commissions but before offering expenses.</w:t>
      </w:r>
    </w:p>
    <w:p>
      <w:pPr>
        <w:spacing w:after="0" w:line="18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have incurred significant operating losses since inception. We had a $7.5 million net loss for the three months ended March 31, 2017 and an accumulated deficit of $150.2 million from inception through March 31, 2017.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product acquisition and in-license agreements including, without limitation, our agreements with the University of British Columbia, the Memorial University of Newfoundland, 1st Order, Valeant and other third parties;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and our product development and planned future commercialization efforts; and experience any delays or encounter issues with any of the above.</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right="2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8" w:name="page19"/>
    <w:bookmarkEnd w:id="18"/>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future commercialization activities, if any,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receipt and amount of sales of, or royalties on, Glybera or our collaborators’ product candidates, and our future products, if any.</w:t>
      </w:r>
    </w:p>
    <w:p>
      <w:pPr>
        <w:spacing w:after="0" w:line="24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2017 and 2016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6"/>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(4,944)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9,247</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three months ended March 31, 2017, net cash used in operating activities totaled $6.5 million, compared to $4.9 million for the same period in 2016. The change was primarily related to a $1.4 million increase in research and development expenses and a $0.6 million decrease in revenue, partially offset by working capital changes.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the three months ended March 31, 2017, net cash provided by investing activities totaled $9.2 million, compared to net cash used in investing activities of $0.1 million for the same period in 2016. The change was driven primarily by the redemption of marketable securities in the three months ended March 31, 2017.</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For the three months ended March 31, 2017, net cash provided by financing activities did not change significantly as compared to the same period in 2016 and consisted exclusively of proceeds from the issuance of common shares from the exercise of stock options for both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2016 were reported in our Annual Report on Form 10-K, filed with the SEC and the Canadian Securities Commissions on March 8,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9" w:name="page20"/>
    <w:bookmarkEnd w:id="19"/>
    <w:p>
      <w:pPr>
        <w:ind w:right="20" w:firstLine="518"/>
        <w:spacing w:after="0" w:line="257" w:lineRule="auto"/>
        <w:rPr>
          <w:sz w:val="20"/>
          <w:szCs w:val="20"/>
          <w:color w:val="auto"/>
        </w:rPr>
      </w:pPr>
      <w:r>
        <w:rPr>
          <w:rFonts w:ascii="Arial" w:cs="Arial" w:eastAsia="Arial" w:hAnsi="Arial"/>
          <w:sz w:val="18"/>
          <w:szCs w:val="18"/>
          <w:color w:val="auto"/>
        </w:rPr>
        <w:t>As of March 31, 2017, there have been no material changes from the contractual commitments previously disclosed in the Annual Report on Form 10-K other than entering into a license, manufacture and supply agreement with a pharmaceutical contract manufacturing organization for the access and use of certain regulatory documents as well as for the manufacture and supply of clinical and commercial drug product. Under the terms of the agreement, we were required to pay an upfront payment of $500 CAD and will be required to pay a low single-digit percentage royalty on net sales of any products developed and commercialized under the agreement.</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April 2017, we acquired XEN1101 (previously known as 1OP2198) from 1st Order pursuant to an asset purchase agreement. For additional information regarding potential milestone payments and royalties we may be obligated to pay pursuant to the terms of the 1</w:t>
      </w:r>
      <w:r>
        <w:rPr>
          <w:rFonts w:ascii="Arial" w:cs="Arial" w:eastAsia="Arial" w:hAnsi="Arial"/>
          <w:sz w:val="15"/>
          <w:szCs w:val="15"/>
          <w:color w:val="auto"/>
        </w:rPr>
        <w:t>st</w:t>
      </w:r>
      <w:r>
        <w:rPr>
          <w:rFonts w:ascii="Arial" w:cs="Arial" w:eastAsia="Arial" w:hAnsi="Arial"/>
          <w:sz w:val="18"/>
          <w:szCs w:val="18"/>
          <w:color w:val="auto"/>
        </w:rPr>
        <w:t xml:space="preserve"> Order asset purchase agreement, see “—Recent Developments”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May 5, 2017, we had 17,996,680 common shares issued and outstanding and outstanding stock options to purchase an additional 2,258,737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May 2014, the Financial Accounting Standards Board, or FASB, issued Accounting Standards Update, or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We have begun our evaluation and identified two significant collaboration agreements with respect to revenue, the collaborative development and license agreements with Teva and Genentech, described in notes 9(a) and (b), respectively, to our audited consolidated financial statements included in our 2016 Annual Report on Form 10-K for the year ended December 31, 2016. We are evaluating the new guidance as it applies to revenue previously recognized as well as milestone payments we are eligible to receive in future periods under these agreements.</w:t>
      </w:r>
    </w:p>
    <w:p>
      <w:pPr>
        <w:spacing w:after="0" w:line="70"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0" w:name="page21"/>
    <w:bookmarkEnd w:id="20"/>
    <w:p>
      <w:pPr>
        <w:ind w:right="8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a significant portion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March 31, 2017, we held cash and cash equivalents and marketable securities of $24.7 million denominated in Canadian dollars. A hypothetical 10% increase (decrease) in the value of the Canadian dollar would result in a foreign exchange gain (loss) of $2.5 million being recorded in the Statement of Operations on the translation of these Canadian dollar cash and cash equivalent balances into the U.S. dollar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additional market risk we face is interest rate risk. We had cash and cash equivalents and marketable securities of $58.0 million as of March 31, 2017.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March 31,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60" w:firstLine="526"/>
        <w:spacing w:after="0" w:line="257" w:lineRule="auto"/>
        <w:tabs>
          <w:tab w:leader="none" w:pos="7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spacing w:after="0" w:line="188" w:lineRule="exact"/>
        <w:rPr>
          <w:rFonts w:ascii="Arial" w:cs="Arial" w:eastAsia="Arial" w:hAnsi="Arial"/>
          <w:sz w:val="18"/>
          <w:szCs w:val="18"/>
          <w:color w:val="auto"/>
        </w:rPr>
      </w:pPr>
    </w:p>
    <w:p>
      <w:pPr>
        <w:ind w:right="40" w:firstLine="526"/>
        <w:spacing w:after="0" w:line="308" w:lineRule="auto"/>
        <w:tabs>
          <w:tab w:leader="none" w:pos="7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March 31, 2017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$7.5 million for the three months ended March 31, 2017 and an accumulated deficit of $150.2 million as of March 31, 2017, which were driven by expenses incurred in connection with our research programs and from general and administrative costs associated with our operations.</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which have not been significant to date, we have not generated any royalty revenue from product sales and our product candidates will require substantial additional investment before they will provide us with any product royalty revenue. In April 2017, uniQure announced that it will not seek marketing authorization renewal for Glybera in Europe, which authorization is scheduled to expire in October 2017. As a result, we expect Glybera royalties to cease following the expiration of such marketing authorization.</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the Memorial University of Newfoundland, 1st Order Pharmaceuticals, Inc., an affiliate of Valeant Pharmaceuticals International, Inc. and other third parties;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ind w:right="320" w:firstLine="259"/>
        <w:spacing w:after="0" w:line="277" w:lineRule="auto"/>
        <w:rPr>
          <w:sz w:val="20"/>
          <w:szCs w:val="20"/>
          <w:color w:val="auto"/>
        </w:rPr>
      </w:pPr>
      <w:r>
        <w:rPr>
          <w:rFonts w:ascii="Arial" w:cs="Arial" w:eastAsia="Arial" w:hAnsi="Arial"/>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6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 If any of our product candidates fail in clinical trials or do not gain regulatory approval, or if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future products, if any. If we are unable to achieve sufficient revenue to become profitable and remain so, our financial condition and operating results will be negatively impacted, and the market price of our common shares might be adversely impacted.</w:t>
      </w:r>
    </w:p>
    <w:p>
      <w:pPr>
        <w:spacing w:after="0" w:line="29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potential milestone payments to third parties, manufacturing of product candidates and products approved for sale, conducting preclinical experiments and clinical trials and obtaining and maintaining regulatory approvals, as well as commercializing any products later approved for sale. During the three months ended March 31, 2017, we incurred approximately $5.8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4" w:name="page25"/>
    <w:bookmarkEnd w:id="24"/>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in-license agreements;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66"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For example, in September 2016, we sold 3,450,000 of our common shares at a price to the public of $7.50 per common share pursuant to our existing shelf registration statement on Form S-3 and corresponding Canadian base shelf prospectus.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common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2017, approximately 43% of our cash and cash equivalents and marketable securities was denominated in Canadian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market price of our common shares could be adversely affected.</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market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clinical product candidates, which include TV-45070, GDC-0310, along with XEN1101, XEN901, and other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March 2017, we announced topline results from a Phase 2 study designed to evaluate the efficacy, safety, tolerability and systemic exposure of XEN801 for the treatment of moderate to severe facial acne. Results from this trial showed that XEN801 did not demonstrate a statistically significant difference from vehicle placebo in its primary endpoint of the percent change in total (inflammatory and non-inflammatory) lesion count from baseline to week 12. The results also showed that XEN801 did not demonstrate statistical significance relative to key secondary efficacy endpoints and we have no plans for further development of XEN801.</w:t>
      </w:r>
    </w:p>
    <w:p>
      <w:pPr>
        <w:spacing w:after="0" w:line="290"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ind w:right="4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or Amgen, AstraZeneca PLC, Biogen Inc., Dainippon Sumitomo Co., Ltd., Eli Lilly and Company, or Lilly, Merck &amp; Co., Inc., or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16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If XEN901 or XEN1101 were approved for the treatment of epilepsy, we anticipate that they could compete with other anti-epileptic drugs, or AEDs, which typically can be categorized into four classes by AED mechanism: modulation of voltage-gated ion channels, enhancement of GABA-mediated inhibitory neurotransmission, reduction of glutamate-mediated excitatory neurotransmission, and SV2A modulation. Commonly used AEDs to treat focal seizures include carbamazepine, lamotrigine, valproate, oxcarbazepine, gabapentin and topiramate. There are currently no FDA-approved treatments indicated for the early infantile epileptic encephalopathies EIEE7 or EIEE13. We are not aware of other companies that are developing selective Nav1.6 inhibitors for the treatment of epilepsy. There may be other potassium channel modulators in development that could potentially compete with XEN1101, including products in development from SciFluor Lifesciences, Inc., Knopp Biosciences LLC, and Upsher-Smith Laboratories, Inc.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7" w:name="page28"/>
    <w:bookmarkEnd w:id="27"/>
    <w:p>
      <w:pPr>
        <w:ind w:right="240" w:firstLine="259"/>
        <w:spacing w:after="0" w:line="308" w:lineRule="auto"/>
        <w:rPr>
          <w:sz w:val="20"/>
          <w:szCs w:val="20"/>
          <w:color w:val="auto"/>
        </w:rPr>
      </w:pPr>
      <w:r>
        <w:rPr>
          <w:rFonts w:ascii="Arial" w:cs="Arial" w:eastAsia="Arial" w:hAnsi="Arial"/>
          <w:sz w:val="17"/>
          <w:szCs w:val="17"/>
          <w:b w:val="1"/>
          <w:bCs w:val="1"/>
          <w:i w:val="1"/>
          <w:iCs w:val="1"/>
          <w:color w:val="auto"/>
        </w:rPr>
        <w:t>We have no marketed proprietary products and have not yet advanced a product candidate beyond Phase 2 clinical trials, which makes it difficult to assess our ability to develop our future product candidates and commercialize any resulting products independently.</w:t>
      </w:r>
    </w:p>
    <w:p>
      <w:pPr>
        <w:spacing w:after="0" w:line="3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no experience in Phase 3 and later stage clinical development, and related regulatory requirements or the commercialization of products. Teva Pharmaceutical Industries Ltd., or Teva, is responsible for the on-going clinical development of TV-45070; Genentech, a member of the Roche Group, is responsible for the on-going clinical development of GDC-0310; and uniQure controls and has been responsible for the development and commercialization of Glybera.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81"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540" w:firstLine="259"/>
        <w:spacing w:after="0" w:line="308" w:lineRule="auto"/>
        <w:rPr>
          <w:sz w:val="20"/>
          <w:szCs w:val="20"/>
          <w:color w:val="auto"/>
        </w:rPr>
      </w:pPr>
      <w:r>
        <w:rPr>
          <w:rFonts w:ascii="Arial" w:cs="Arial" w:eastAsia="Arial" w:hAnsi="Arial"/>
          <w:sz w:val="17"/>
          <w:szCs w:val="17"/>
          <w:b w:val="1"/>
          <w:bCs w:val="1"/>
          <w:i w:val="1"/>
          <w:iCs w:val="1"/>
          <w:color w:val="auto"/>
        </w:rPr>
        <w:t>If we are not successful in discovering product candidates in addition to TV-45070, GDC-0310, and XEN901, or unable to acquire or in-license additional product candidates, our ability to expand our business and achieve our strategic objectives may be impaired.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use our discovery platform to identify validated drug targets and develop new product candidates. To date, our discovery platform has yielded one approved product, Glybera, and multiple development candidates, including TV-45070, GDC-0310 and XEN901. Use of our discovery platform requires substantial technical, financial and human resources, regardless of whether we identify any novel drug targets. Our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78"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If we are unable to identify additional product candidates suitable for clinical development and commercialization either from our internal research efforts or though acquiring or in-licensing other product candidates or technologies, we may not be able to obtain product revenue in future periods, which likely would result in significant harm to our financial position and adversely impact the market price of our common shares.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discovery platform may not reproducibly or cost-effectively result in the discovery of product candidates and development of commercially viable products that safely and effectively treat human disease.</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There are various challenges in utilizing our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To date, only Glybera has been both developed using our discovery platform and approved for commercial sale. If the use of our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business strategy involves continued development and, where development is successful, commercialization of select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w:t>
      </w:r>
    </w:p>
    <w:p>
      <w:pPr>
        <w:spacing w:after="0" w:line="17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on average.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8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and Mr. Ian Mortimer, our Chief Financial Officer and Chief Operating Officer, as well as other employees. The loss of services of any of these individuals or one or more of our other members of senior management could materially delay or even prevent the successful development of our product candidates.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9" w:name="page30"/>
    <w:bookmarkEnd w:id="29"/>
    <w:p>
      <w:pPr>
        <w:ind w:right="40" w:firstLine="518"/>
        <w:spacing w:after="0" w:line="291"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cybersecurity breach nor experienced a material system failure, our internal computer systems and those of our contractors and consultants remain potentially vulnerable to damage from these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collaborator for TV-45070, Teva, is based in Israel and a significant portion of the research and development activities under our collaboration with Teva are performed outside of North America. Glybera has been approved for commercial sale in the EU by the EMA, subject to uniQure’s compliance with certain post-approval reporting and monitoring obligations; however, uniQure announced in April 2017 that it will not pursue the renewal of marketing authorization in Europe when it is scheduled to expire in October 2017. If we continue to engage in significant cross-border activities, we will be subject to risks related to international operations, including:</w:t>
      </w:r>
    </w:p>
    <w:p>
      <w:pPr>
        <w:spacing w:after="0" w:line="80"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2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2016, 2015 and 2014, although we could be a PFIC for the calendar year ending December 31, 2017 or in subsequent years. Our status as a PFIC is a fact-intensive determination made on an annual basis and we cannot provide any assurance regarding our PFIC status for the taxable year ending December 31, 2017 or for future taxable years.</w:t>
      </w:r>
    </w:p>
    <w:p>
      <w:pPr>
        <w:spacing w:after="0" w:line="189"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become subject to income tax in jurisdictions in which we are organized or operate, which would reduce our future earnings.</w:t>
      </w:r>
    </w:p>
    <w:p>
      <w:pPr>
        <w:spacing w:after="0" w:line="12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and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requirement to undertake and complete additional preclinical studies to generate data required to support the submission of an NDA;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33" w:name="page34"/>
    <w:bookmarkEnd w:id="33"/>
    <w:p>
      <w:pPr>
        <w:ind w:right="120"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9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 candidates – including TV-45070 and GDC-0310 for the treatment of pain, as well as XEN1101 and XEN901 for the treatment of epilepsy</w:t>
      </w:r>
    </w:p>
    <w:p>
      <w:pPr>
        <w:spacing w:after="0" w:line="46"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47"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March 2017, we announced topline results from a Phase 2 study designed to evaluate the efficacy, safety, tolerability and systemic exposure of XEN801 for the treatment of moderate to severe facial acne. Results from this trial showed that XEN801 did not demonstrate a statistically significant difference from vehicle placebo in its primary endpoint of the percent change in total (inflammatory and non-inflammatory) lesion count from baseline to week 12. The results also showed that XEN801 did not demonstrate statistical significance relative to key secondary efficacy endpoints and we have no plans for further development of XEN801.</w:t>
      </w:r>
    </w:p>
    <w:p>
      <w:pPr>
        <w:spacing w:after="0" w:line="179"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and GDC-0310 are being developed, are inherently difficult to conduct. The primary measure of pain is based on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7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4" w:name="page35"/>
    <w:bookmarkEnd w:id="34"/>
    <w:p>
      <w:pPr>
        <w:ind w:right="46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limited patient populations in orphan and niche indications present significant recruitment challenges for clinical trials. As an example of a rare childhood epilepsy disorder, the prevalence of Dravet Syndrome is estimated to be 7,500-15,000 patients in the U.S. It is estimated that the population of SCN8A epilepsy represents an even smaller subset amongst rare, childhood epilepsies when compared to Dravet Syndrome; however a full understanding of this population size is still unknown.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86"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from the FDA, and flunarizine, for the potential treatment of hemiplegic migraine, has received orphan drug designation from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8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8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6" w:name="page37"/>
    <w:bookmarkEnd w:id="36"/>
    <w:p>
      <w:pPr>
        <w:ind w:right="340" w:firstLine="259"/>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discovery platform. These scientists may have other commitments or conflicts of interest, which could limit our access to their expertise and harm our ability to leverage our discovery platform.</w:t>
      </w:r>
    </w:p>
    <w:p>
      <w:pPr>
        <w:spacing w:after="0" w:line="7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discovery platform. These scientific advisors serve as our link to the various families with extreme phenotypes in that these advisors may:</w:t>
      </w:r>
    </w:p>
    <w:p>
      <w:pPr>
        <w:spacing w:after="0" w:line="62"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7"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7" w:name="page38"/>
    <w:bookmarkEnd w:id="37"/>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8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8" w:name="page39"/>
    <w:bookmarkEnd w:id="38"/>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8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PPACA, was enacted in 2010 and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57" w:lineRule="exact"/>
        <w:rPr>
          <w:sz w:val="20"/>
          <w:szCs w:val="20"/>
          <w:color w:val="auto"/>
        </w:rPr>
      </w:pPr>
    </w:p>
    <w:p>
      <w:pPr>
        <w:ind w:left="1040" w:right="28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3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62"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ind w:left="1040" w:right="60" w:hanging="519"/>
        <w:spacing w:after="0" w:line="25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9"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Trump administration and Congress are also expected to attempt broad sweeping changes to the current health care laws, including PPACA. The impact of those changes on us and the pharmaceutical industry as a whole is currently unknown. Any changes to the PPACA are likely to have an impact on our results of operations, and may have a material adverse effect on our result of operations.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40" w:name="page41"/>
    <w:bookmarkEnd w:id="40"/>
    <w:p>
      <w:pPr>
        <w:ind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0" w:firstLine="259"/>
        <w:spacing w:after="0" w:line="381" w:lineRule="auto"/>
        <w:rPr>
          <w:sz w:val="20"/>
          <w:szCs w:val="20"/>
          <w:color w:val="auto"/>
        </w:rPr>
      </w:pPr>
      <w:r>
        <w:rPr>
          <w:rFonts w:ascii="Arial" w:cs="Arial" w:eastAsia="Arial" w:hAnsi="Arial"/>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10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46"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possible disagreements as to the timing, nature and extent of our development plans, including clinical trials or regulatory approval strategy;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2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41" w:name="page42"/>
    <w:bookmarkEnd w:id="41"/>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have no control over the resources, time and effort that our collaborators may devote to our programs and limited access to information regarding or resulting from such programs. We are dependent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2" w:name="page43"/>
    <w:bookmarkEnd w:id="42"/>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9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3" w:name="page44"/>
    <w:bookmarkEnd w:id="43"/>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TV-45070, GDC-0310, Glybera and some of our earlier stage product candidates are held by our collaborators.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6" w:name="page47"/>
    <w:bookmarkEnd w:id="46"/>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market price of our common shares.</w:t>
      </w:r>
    </w:p>
    <w:p>
      <w:pPr>
        <w:spacing w:after="0" w:line="266"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7" w:name="page48"/>
    <w:bookmarkEnd w:id="47"/>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9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our existing license agreements, including those associated with our XEN1101 program,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 w:name="page49"/>
    <w:bookmarkEnd w:id="48"/>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developed and implemented regulations and procedures to govern administration of the Leahy-Smith Act, and substantive changes to patent law associated with the Leahy-Smith Act. The full effect of these changes is currently unclear as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7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9" w:name="page50"/>
    <w:bookmarkEnd w:id="49"/>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5"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the market price of our common shares.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currently carry product liability insurance of $10,000,000 per occurrence and $10,000,000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0" w:name="page51"/>
    <w:bookmarkEnd w:id="50"/>
    <w:p>
      <w:pPr>
        <w:ind w:right="20" w:firstLine="518"/>
        <w:spacing w:after="0" w:line="253" w:lineRule="auto"/>
        <w:rPr>
          <w:sz w:val="20"/>
          <w:szCs w:val="20"/>
          <w:color w:val="auto"/>
        </w:rPr>
      </w:pPr>
      <w:r>
        <w:rPr>
          <w:rFonts w:ascii="Arial" w:cs="Arial" w:eastAsia="Arial" w:hAnsi="Arial"/>
          <w:sz w:val="18"/>
          <w:szCs w:val="18"/>
          <w:color w:val="auto"/>
        </w:rPr>
        <w:t>Patients with certain of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1" w:name="page52"/>
    <w:bookmarkEnd w:id="51"/>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117" w:lineRule="exact"/>
        <w:rPr>
          <w:rFonts w:ascii="Arial" w:cs="Arial" w:eastAsia="Arial" w:hAnsi="Arial"/>
          <w:sz w:val="18"/>
          <w:szCs w:val="18"/>
          <w:color w:val="auto"/>
        </w:rPr>
      </w:pPr>
    </w:p>
    <w:p>
      <w:pPr>
        <w:ind w:left="1040" w:right="60" w:hanging="519"/>
        <w:spacing w:after="0" w:line="271"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currently are limited and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shares may be volatile, and purchasers of our common shares could incur substantial losses.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73" w:lineRule="exact"/>
        <w:rPr>
          <w:sz w:val="20"/>
          <w:szCs w:val="20"/>
          <w:color w:val="auto"/>
        </w:rPr>
      </w:pPr>
    </w:p>
    <w:p>
      <w:pPr>
        <w:ind w:left="1040" w:right="4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right="72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the market price of our common shares to fall.</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the market price of our common shares to decline.</w:t>
      </w:r>
    </w:p>
    <w:p>
      <w:pPr>
        <w:spacing w:after="0" w:line="28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7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6"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8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5" w:name="page56"/>
    <w:bookmarkEnd w:id="55"/>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the market price of our common shares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market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market price of our common shares.</w:t>
      </w:r>
    </w:p>
    <w:p>
      <w:pPr>
        <w:spacing w:after="0" w:line="17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86"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the market price of our common shares to fall.</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As of March 31, 2017, options to purchase 2,258,237 of our common shares with a weighted-average exercise price of $7.67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or delegate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6" w:name="page57"/>
    <w:bookmarkEnd w:id="56"/>
    <w:p>
      <w:pPr>
        <w:ind w:right="100" w:firstLine="518"/>
        <w:spacing w:after="0" w:line="264"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market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the market price of our common shares and the trading volume of our common shares could decline.</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trading market for our common shares is influenced by the research and reports that securities or industry analysts publish about us or our business. If too few securities or industry analysts cover our company, the market price of our common shares would likely be negatively impacted. If securities and industry analysts who cover us downgrade our common shares or publish inaccurate or unfavorable research about our business, the market price of our common shares would likely decline. If one or more of these analysts cease coverage of our company or fail to publish reports on us regularly, demand for our common shares could decrease, which might cause the market price of our common shares and the trading volume of our common shares to decline.</w:t>
      </w:r>
    </w:p>
    <w:p>
      <w:pPr>
        <w:spacing w:after="0" w:line="301" w:lineRule="exact"/>
        <w:rPr>
          <w:sz w:val="20"/>
          <w:szCs w:val="20"/>
          <w:color w:val="auto"/>
        </w:rPr>
      </w:pPr>
    </w:p>
    <w:p>
      <w:pPr>
        <w:ind w:right="380" w:firstLine="259"/>
        <w:spacing w:after="0" w:line="375" w:lineRule="auto"/>
        <w:rPr>
          <w:sz w:val="20"/>
          <w:szCs w:val="20"/>
          <w:color w:val="auto"/>
        </w:rPr>
      </w:pPr>
      <w:r>
        <w:rPr>
          <w:rFonts w:ascii="Arial" w:cs="Arial" w:eastAsia="Arial" w:hAnsi="Arial"/>
          <w:sz w:val="15"/>
          <w:szCs w:val="15"/>
          <w:b w:val="1"/>
          <w:bCs w:val="1"/>
          <w:i w:val="1"/>
          <w:iCs w:val="1"/>
          <w:color w:val="auto"/>
        </w:rPr>
        <w:t>Our management team has broad discretion as to the use of the net proceeds from our September 2016 public offering of common shares and the investment of these proceeds may not yield a favorable return. We may invest the proceeds in ways with which our shareholders disagree.</w:t>
      </w:r>
    </w:p>
    <w:p>
      <w:pPr>
        <w:spacing w:after="0" w:line="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have broad discretion in the application of the net proceeds to us from our September 2016 public offering of common shares.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market price of our common shares to decline. In addition, until the net proceeds are used, they may be placed in investments that do not produce significant income or that may lose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63"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209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63" w:lineRule="exact"/>
        <w:rPr>
          <w:sz w:val="20"/>
          <w:szCs w:val="20"/>
          <w:color w:val="auto"/>
        </w:rPr>
      </w:pPr>
    </w:p>
    <w:p>
      <w:pPr>
        <w:ind w:left="520" w:right="40" w:hanging="512"/>
        <w:spacing w:after="0" w:line="259"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Chief Financial Officer, Chief Operating Officer and Corporate Secretary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49" w:lineRule="exact"/>
        <w:rPr>
          <w:sz w:val="20"/>
          <w:szCs w:val="20"/>
          <w:color w:val="auto"/>
        </w:rPr>
      </w:pPr>
    </w:p>
    <w:p>
      <w:pPr>
        <w:ind w:left="520" w:right="40" w:hanging="512"/>
        <w:spacing w:after="0" w:line="25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33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33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March 31, 2017,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187" w:lineRule="exact"/>
        <w:rPr>
          <w:sz w:val="20"/>
          <w:szCs w:val="20"/>
          <w:color w:val="auto"/>
        </w:rPr>
      </w:pPr>
    </w:p>
    <w:p>
      <w:pPr>
        <w:ind w:left="720" w:hanging="36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March 31, 2017,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Accounting Officer) </w:t>
      </w:r>
      <w:r>
        <w:rPr>
          <w:rFonts w:ascii="Arial" w:cs="Arial" w:eastAsia="Arial" w:hAnsi="Arial"/>
          <w:sz w:val="18"/>
          <w:szCs w:val="18"/>
          <w:color w:val="auto"/>
        </w:rPr>
        <w:t>of the Company, certify, pursuant to 18 U.S.C. Section 1350, as adopted pursuant to Section 906 of the Sarbanes-Oxley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2002, that to my knowledge:</w:t>
      </w:r>
    </w:p>
    <w:p>
      <w:pPr>
        <w:spacing w:after="0" w:line="200" w:lineRule="exact"/>
        <w:rPr>
          <w:sz w:val="20"/>
          <w:szCs w:val="20"/>
          <w:color w:val="auto"/>
        </w:rPr>
      </w:pPr>
    </w:p>
    <w:p>
      <w:pPr>
        <w:spacing w:after="0" w:line="203" w:lineRule="exact"/>
        <w:rPr>
          <w:sz w:val="20"/>
          <w:szCs w:val="20"/>
          <w:color w:val="auto"/>
        </w:rPr>
      </w:pPr>
    </w:p>
    <w:p>
      <w:pPr>
        <w:ind w:left="720" w:hanging="361"/>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5715</wp:posOffset>
            </wp:positionV>
            <wp:extent cx="3361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4"/>
    </w:lvl>
  </w:abstractNum>
  <w:abstractNum w:abstractNumId="5">
    <w:nsid w:val="2CA88611"/>
    <w:multiLevelType w:val="hybridMultilevel"/>
    <w:lvl w:ilvl="0">
      <w:lvlJc w:val="left"/>
      <w:lvlText w:val="%1."/>
      <w:numFmt w:val="decimal"/>
      <w:start w:val="5"/>
    </w:lvl>
    <w:lvl w:ilvl="1">
      <w:lvlJc w:val="left"/>
      <w:lvlText w:val="•"/>
      <w:numFmt w:val="bullet"/>
      <w:start w:val="1"/>
    </w:lvl>
  </w:abstractNum>
  <w:abstractNum w:abstractNumId="6">
    <w:nsid w:val="836C40E"/>
    <w:multiLevelType w:val="hybridMultilevel"/>
    <w:lvl w:ilvl="0">
      <w:lvlJc w:val="left"/>
      <w:lvlText w:val="%1."/>
      <w:numFmt w:val="decimal"/>
      <w:start w:val="7"/>
    </w:lvl>
    <w:lvl w:ilvl="1">
      <w:lvlJc w:val="left"/>
      <w:lvlText w:val="(%2)"/>
      <w:numFmt w:val="lowerLetter"/>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8"/>
    </w:lvl>
  </w:abstractNum>
  <w:abstractNum w:abstractNumId="9">
    <w:nsid w:val="8138641"/>
    <w:multiLevelType w:val="hybridMultilevel"/>
    <w:lvl w:ilvl="0">
      <w:lvlJc w:val="left"/>
      <w:lvlText w:val="%1."/>
      <w:numFmt w:val="decimal"/>
      <w:start w:val="9"/>
    </w:lvl>
    <w:lvl w:ilvl="1">
      <w:lvlJc w:val="left"/>
      <w:lvlText w:val="(%2)"/>
      <w:numFmt w:val="lowerLetter"/>
      <w:start w:val="1"/>
    </w:lvl>
  </w:abstractNum>
  <w:abstractNum w:abstractNumId="10">
    <w:nsid w:val="1E7FF521"/>
    <w:multiLevelType w:val="hybridMultilevel"/>
    <w:lvl w:ilvl="0">
      <w:lvlJc w:val="left"/>
      <w:lvlText w:val="%1."/>
      <w:numFmt w:val="decimal"/>
      <w:start w:val="1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endash "/>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2019-12-29T07:04:19Z</dcterms:created>
  <dcterms:modified xsi:type="dcterms:W3CDTF">2019-12-29T07:04:19Z</dcterms:modified>
</cp:coreProperties>
</file>