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gif" ContentType="image/gif"/>
  <Override PartName="/word/media/image2.gif" ContentType="image/gif"/>
  <Override PartName="/word/media/image3.gif" ContentType="image/gif"/>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xene-2026-s-8_pos_14_pla.htm"/>
      <w:bookmarkStart w:id="1" w:name="ksxene2026s8_pos_14_pla"/>
      <w:bookmarkEnd w:id="0"/>
      <w:bookmarkEnd w:id="1"/>
      <w:r>
        <w:rPr/>
        <w:t> </w:t>
      </w:r>
    </w:p>
    <w:p>
      <w:pPr>
        <w:pStyle w:val="TextBody"/>
        <w:bidi w:val="0"/>
        <w:jc w:val="center"/>
        <w:rPr>
          <w:rFonts w:ascii="Times New Roman" w:hAnsi="Times New Roman"/>
          <w:b/>
          <w:color w:val="000000"/>
          <w:sz w:val="20"/>
        </w:rPr>
      </w:pPr>
      <w:r>
        <w:rPr>
          <w:rFonts w:ascii="Times New Roman" w:hAnsi="Times New Roman"/>
          <w:b/>
          <w:color w:val="000000"/>
          <w:sz w:val="20"/>
        </w:rPr>
        <w:t>As filed with the Securities and Exchange Commission on June 3, 2026</w:t>
      </w:r>
    </w:p>
    <w:p>
      <w:pPr>
        <w:pStyle w:val="TextBody"/>
        <w:bidi w:val="0"/>
        <w:spacing w:before="60" w:after="283"/>
        <w:jc w:val="right"/>
        <w:rPr>
          <w:rFonts w:ascii="Times New Roman" w:hAnsi="Times New Roman"/>
          <w:b/>
          <w:color w:val="000000"/>
          <w:sz w:val="20"/>
        </w:rPr>
      </w:pPr>
      <w:r>
        <w:rPr>
          <w:rFonts w:ascii="Times New Roman" w:hAnsi="Times New Roman"/>
          <w:b/>
          <w:color w:val="000000"/>
          <w:sz w:val="20"/>
        </w:rPr>
        <w:t>Registration Statement No. 333-</w:t>
      </w:r>
    </w:p>
    <w:p>
      <w:pPr>
        <w:pStyle w:val="TextBody"/>
        <w:pBdr>
          <w:bottom w:val="double" w:sz="6" w:space="1" w:color="000000"/>
        </w:pBdr>
        <w:bidi w:val="0"/>
        <w:jc w:val="left"/>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4" w:space="1" w:color="000000"/>
        </w:pBdr>
        <w:bidi w:val="0"/>
        <w:spacing w:before="0" w:after="100"/>
        <w:jc w:val="center"/>
        <w:rPr/>
      </w:pPr>
      <w:r>
        <w:rPr/>
        <w:t> </w:t>
      </w:r>
    </w:p>
    <w:p>
      <w:pPr>
        <w:pStyle w:val="TextBody"/>
        <w:bidi w:val="0"/>
        <w:jc w:val="center"/>
        <w:rPr>
          <w:rFonts w:ascii="Times New Roman" w:hAnsi="Times New Roman"/>
          <w:b/>
          <w:color w:val="000000"/>
          <w:sz w:val="28"/>
        </w:rPr>
      </w:pPr>
      <w:r>
        <w:rPr>
          <w:rFonts w:ascii="Times New Roman" w:hAnsi="Times New Roman"/>
          <w:b/>
          <w:color w:val="000000"/>
          <w:sz w:val="28"/>
        </w:rPr>
        <w:t>POST-EFFECTIVE AMENDMENT NO. 1 TO:</w:t>
      </w:r>
    </w:p>
    <w:p>
      <w:pPr>
        <w:pStyle w:val="TextBody"/>
        <w:bidi w:val="0"/>
        <w:jc w:val="center"/>
        <w:rPr>
          <w:rFonts w:ascii="Times New Roman" w:hAnsi="Times New Roman"/>
          <w:b/>
          <w:color w:val="000000"/>
          <w:sz w:val="28"/>
        </w:rPr>
      </w:pPr>
      <w:r>
        <w:rPr>
          <w:rFonts w:ascii="Times New Roman" w:hAnsi="Times New Roman"/>
          <w:b/>
          <w:color w:val="000000"/>
          <w:sz w:val="28"/>
        </w:rPr>
        <w:t>FORM S-8 REGISTRATION STATEMENT NO. 333-199860</w:t>
      </w:r>
    </w:p>
    <w:p>
      <w:pPr>
        <w:pStyle w:val="TextBody"/>
        <w:bidi w:val="0"/>
        <w:jc w:val="center"/>
        <w:rPr>
          <w:rFonts w:ascii="Times New Roman" w:hAnsi="Times New Roman"/>
          <w:b/>
          <w:color w:val="000000"/>
          <w:sz w:val="28"/>
        </w:rPr>
      </w:pPr>
      <w:r>
        <w:rPr>
          <w:rFonts w:ascii="Times New Roman" w:hAnsi="Times New Roman"/>
          <w:b/>
          <w:color w:val="000000"/>
          <w:sz w:val="28"/>
        </w:rPr>
        <w:t>FORM S-8 REGISTRATION STATEMENT NO. 333-202765</w:t>
      </w:r>
    </w:p>
    <w:p>
      <w:pPr>
        <w:pStyle w:val="TextBody"/>
        <w:bidi w:val="0"/>
        <w:jc w:val="center"/>
        <w:rPr>
          <w:rFonts w:ascii="Times New Roman" w:hAnsi="Times New Roman"/>
          <w:b/>
          <w:color w:val="000000"/>
          <w:sz w:val="28"/>
        </w:rPr>
      </w:pPr>
      <w:r>
        <w:rPr>
          <w:rFonts w:ascii="Times New Roman" w:hAnsi="Times New Roman"/>
          <w:b/>
          <w:color w:val="000000"/>
          <w:sz w:val="28"/>
        </w:rPr>
        <w:t>FORM S-8 REGISTRATION STATEMENT NO. 333-210050</w:t>
      </w:r>
    </w:p>
    <w:p>
      <w:pPr>
        <w:pStyle w:val="TextBody"/>
        <w:bidi w:val="0"/>
        <w:jc w:val="center"/>
        <w:rPr>
          <w:rFonts w:ascii="Times New Roman" w:hAnsi="Times New Roman"/>
          <w:b/>
          <w:color w:val="000000"/>
          <w:sz w:val="28"/>
        </w:rPr>
      </w:pPr>
      <w:r>
        <w:rPr>
          <w:rFonts w:ascii="Times New Roman" w:hAnsi="Times New Roman"/>
          <w:b/>
          <w:color w:val="000000"/>
          <w:sz w:val="28"/>
        </w:rPr>
        <w:t>FORM S-8 REGISTRATION STATEMENT NO. 333-216543</w:t>
      </w:r>
    </w:p>
    <w:p>
      <w:pPr>
        <w:pStyle w:val="TextBody"/>
        <w:bidi w:val="0"/>
        <w:jc w:val="center"/>
        <w:rPr>
          <w:rFonts w:ascii="Times New Roman" w:hAnsi="Times New Roman"/>
          <w:b/>
          <w:color w:val="000000"/>
          <w:sz w:val="28"/>
        </w:rPr>
      </w:pPr>
      <w:r>
        <w:rPr>
          <w:rFonts w:ascii="Times New Roman" w:hAnsi="Times New Roman"/>
          <w:b/>
          <w:color w:val="000000"/>
          <w:sz w:val="28"/>
        </w:rPr>
        <w:t>FORM S-8 REGISTRATION STATEMENT NO. 333-223497</w:t>
      </w:r>
    </w:p>
    <w:p>
      <w:pPr>
        <w:pStyle w:val="TextBody"/>
        <w:bidi w:val="0"/>
        <w:jc w:val="center"/>
        <w:rPr>
          <w:rFonts w:ascii="Times New Roman" w:hAnsi="Times New Roman"/>
          <w:b/>
          <w:color w:val="000000"/>
          <w:sz w:val="28"/>
        </w:rPr>
      </w:pPr>
      <w:r>
        <w:rPr>
          <w:rFonts w:ascii="Times New Roman" w:hAnsi="Times New Roman"/>
          <w:b/>
          <w:color w:val="000000"/>
          <w:sz w:val="28"/>
        </w:rPr>
        <w:t>FORM S-8 REGISTRATION STATEMENT NO. 333-230103</w:t>
      </w:r>
    </w:p>
    <w:p>
      <w:pPr>
        <w:pStyle w:val="TextBody"/>
        <w:bidi w:val="0"/>
        <w:jc w:val="center"/>
        <w:rPr>
          <w:rFonts w:ascii="Times New Roman" w:hAnsi="Times New Roman"/>
          <w:b/>
          <w:color w:val="000000"/>
          <w:sz w:val="28"/>
        </w:rPr>
      </w:pPr>
      <w:r>
        <w:rPr>
          <w:rFonts w:ascii="Times New Roman" w:hAnsi="Times New Roman"/>
          <w:b/>
          <w:color w:val="000000"/>
          <w:sz w:val="28"/>
        </w:rPr>
        <w:t>FORM S-8 REGISTRATION STATEMENT NO. 333-237036</w:t>
      </w:r>
    </w:p>
    <w:p>
      <w:pPr>
        <w:pStyle w:val="TextBody"/>
        <w:bidi w:val="0"/>
        <w:jc w:val="center"/>
        <w:rPr>
          <w:rFonts w:ascii="Times New Roman" w:hAnsi="Times New Roman"/>
          <w:b/>
          <w:color w:val="000000"/>
          <w:sz w:val="28"/>
        </w:rPr>
      </w:pPr>
      <w:r>
        <w:rPr>
          <w:rFonts w:ascii="Times New Roman" w:hAnsi="Times New Roman"/>
          <w:b/>
          <w:color w:val="000000"/>
          <w:sz w:val="28"/>
        </w:rPr>
        <w:t>FORM S-8 REGISTRATION STATEMENT NO. 333-238895</w:t>
      </w:r>
    </w:p>
    <w:p>
      <w:pPr>
        <w:pStyle w:val="TextBody"/>
        <w:bidi w:val="0"/>
        <w:jc w:val="center"/>
        <w:rPr>
          <w:rFonts w:ascii="Times New Roman" w:hAnsi="Times New Roman"/>
          <w:b/>
          <w:color w:val="000000"/>
          <w:sz w:val="28"/>
        </w:rPr>
      </w:pPr>
      <w:r>
        <w:rPr>
          <w:rFonts w:ascii="Times New Roman" w:hAnsi="Times New Roman"/>
          <w:b/>
          <w:color w:val="000000"/>
          <w:sz w:val="28"/>
        </w:rPr>
        <w:t>FORM S-8 REGISTRATION STATEMENT NO. 333-265377</w:t>
      </w:r>
    </w:p>
    <w:p>
      <w:pPr>
        <w:pStyle w:val="TextBody"/>
        <w:bidi w:val="0"/>
        <w:jc w:val="center"/>
        <w:rPr>
          <w:rFonts w:ascii="Times New Roman" w:hAnsi="Times New Roman"/>
          <w:b/>
          <w:color w:val="000000"/>
          <w:sz w:val="28"/>
        </w:rPr>
      </w:pPr>
      <w:r>
        <w:rPr>
          <w:rFonts w:ascii="Times New Roman" w:hAnsi="Times New Roman"/>
          <w:b/>
          <w:color w:val="000000"/>
          <w:sz w:val="28"/>
        </w:rPr>
        <w:t>FORM S-8 REGISTRATION STATEMENT NO. 333-279962</w:t>
      </w:r>
    </w:p>
    <w:p>
      <w:pPr>
        <w:pStyle w:val="TextBody"/>
        <w:bidi w:val="0"/>
        <w:jc w:val="center"/>
        <w:rPr/>
      </w:pPr>
      <w:r>
        <w:rPr/>
        <w:t> </w:t>
      </w:r>
    </w:p>
    <w:p>
      <w:pPr>
        <w:pStyle w:val="TextBody"/>
        <w:bidi w:val="0"/>
        <w:jc w:val="center"/>
        <w:rPr>
          <w:rFonts w:ascii="Times New Roman" w:hAnsi="Times New Roman"/>
          <w:b/>
          <w:i/>
          <w:color w:val="000000"/>
          <w:sz w:val="24"/>
        </w:rPr>
      </w:pPr>
      <w:r>
        <w:rPr>
          <w:rFonts w:ascii="Times New Roman" w:hAnsi="Times New Roman"/>
          <w:b/>
          <w:i/>
          <w:color w:val="000000"/>
          <w:sz w:val="24"/>
        </w:rPr>
        <w:t>REGISTRATION STATEMENT</w:t>
      </w:r>
    </w:p>
    <w:p>
      <w:pPr>
        <w:pStyle w:val="TextBody"/>
        <w:bidi w:val="0"/>
        <w:jc w:val="center"/>
        <w:rPr>
          <w:rFonts w:ascii="Times New Roman" w:hAnsi="Times New Roman"/>
          <w:b/>
          <w:i/>
          <w:color w:val="000000"/>
          <w:sz w:val="24"/>
        </w:rPr>
      </w:pPr>
      <w:r>
        <w:rPr>
          <w:rFonts w:ascii="Times New Roman" w:hAnsi="Times New Roman"/>
          <w:b/>
          <w:i/>
          <w:color w:val="000000"/>
          <w:sz w:val="24"/>
        </w:rPr>
        <w:t>Under</w:t>
      </w:r>
    </w:p>
    <w:p>
      <w:pPr>
        <w:pStyle w:val="TextBody"/>
        <w:bidi w:val="0"/>
        <w:jc w:val="center"/>
        <w:rPr>
          <w:rFonts w:ascii="Times New Roman" w:hAnsi="Times New Roman"/>
          <w:b/>
          <w:i/>
          <w:color w:val="000000"/>
          <w:sz w:val="24"/>
        </w:rPr>
      </w:pPr>
      <w:r>
        <w:rPr>
          <w:rFonts w:ascii="Times New Roman" w:hAnsi="Times New Roman"/>
          <w:b/>
          <w:i/>
          <w:color w:val="000000"/>
          <w:sz w:val="24"/>
        </w:rPr>
        <w:t>THE SECURITIES ACT OF 1933</w:t>
      </w:r>
    </w:p>
    <w:p>
      <w:pPr>
        <w:pStyle w:val="TextBody"/>
        <w:pBdr>
          <w:bottom w:val="single" w:sz="4" w:space="1" w:color="000000"/>
        </w:pBdr>
        <w:bidi w:val="0"/>
        <w:spacing w:before="0" w:after="100"/>
        <w:jc w:val="center"/>
        <w:rPr/>
      </w:pPr>
      <w:r>
        <w:rPr/>
        <w:t> </w:t>
      </w:r>
    </w:p>
    <w:p>
      <w:pPr>
        <w:pStyle w:val="TextBody"/>
        <w:bidi w:val="0"/>
        <w:jc w:val="center"/>
        <w:rPr>
          <w:rFonts w:ascii="Times New Roman" w:hAnsi="Times New Roman"/>
          <w:b/>
          <w:color w:val="000000"/>
          <w:sz w:val="48"/>
        </w:rPr>
      </w:pPr>
      <w:r>
        <w:rPr>
          <w:rFonts w:ascii="Times New Roman" w:hAnsi="Times New Roman"/>
          <w:b/>
          <w:color w:val="000000"/>
          <w:sz w:val="48"/>
        </w:rPr>
        <w:t>XENON PHARMACEUTICALS INC.</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pBdr>
          <w:bottom w:val="single" w:sz="4" w:space="1" w:color="000000"/>
        </w:pBdr>
        <w:bidi w:val="0"/>
        <w:spacing w:before="0" w:after="100"/>
        <w:jc w:val="center"/>
        <w:rPr/>
      </w:pPr>
      <w:r>
        <w:rPr/>
        <w:t> </w:t>
      </w:r>
    </w:p>
    <w:tbl>
      <w:tblPr>
        <w:tblW w:w="3857" w:type="dxa"/>
        <w:jc w:val="left"/>
        <w:tblInd w:w="0" w:type="dxa"/>
        <w:tblLayout w:type="fixed"/>
        <w:tblCellMar>
          <w:top w:w="28" w:type="dxa"/>
          <w:left w:w="28" w:type="dxa"/>
          <w:bottom w:w="28" w:type="dxa"/>
          <w:right w:w="28" w:type="dxa"/>
        </w:tblCellMar>
      </w:tblPr>
      <w:tblGrid>
        <w:gridCol w:w="2371"/>
        <w:gridCol w:w="1486"/>
      </w:tblGrid>
      <w:tr>
        <w:trPr/>
        <w:tc>
          <w:tcPr>
            <w:tcW w:w="2371"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Canada</w:t>
            </w:r>
          </w:p>
        </w:tc>
        <w:tc>
          <w:tcPr>
            <w:tcW w:w="14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98-0661854</w:t>
            </w:r>
          </w:p>
        </w:tc>
      </w:tr>
      <w:tr>
        <w:trPr/>
        <w:tc>
          <w:tcPr>
            <w:tcW w:w="2371"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(State or other jurisdiction of</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incorporation or organization)</w:t>
            </w:r>
          </w:p>
        </w:tc>
        <w:tc>
          <w:tcPr>
            <w:tcW w:w="148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(I.R.S. Employer</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Identification No.)</w:t>
            </w:r>
          </w:p>
        </w:tc>
      </w:tr>
    </w:tbl>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3650 Gilmore Way</w:t>
      </w:r>
    </w:p>
    <w:p>
      <w:pPr>
        <w:pStyle w:val="TextBody"/>
        <w:bidi w:val="0"/>
        <w:jc w:val="center"/>
        <w:rPr>
          <w:rFonts w:ascii="Times New Roman" w:hAnsi="Times New Roman"/>
          <w:b/>
          <w:color w:val="000000"/>
          <w:sz w:val="20"/>
        </w:rPr>
      </w:pPr>
      <w:r>
        <w:rPr>
          <w:rFonts w:ascii="Times New Roman" w:hAnsi="Times New Roman"/>
          <w:b/>
          <w:color w:val="000000"/>
          <w:sz w:val="20"/>
        </w:rPr>
        <w:t>Burnaby, British Columbia V5G 4W8</w:t>
        <w:br/>
        <w:t>Canada</w:t>
      </w:r>
    </w:p>
    <w:p>
      <w:pPr>
        <w:pStyle w:val="TextBody"/>
        <w:bidi w:val="0"/>
        <w:jc w:val="center"/>
        <w:rPr>
          <w:rFonts w:ascii="Times New Roman" w:hAnsi="Times New Roman"/>
          <w:b/>
          <w:color w:val="000000"/>
          <w:sz w:val="16"/>
        </w:rPr>
      </w:pPr>
      <w:r>
        <w:rPr>
          <w:rFonts w:ascii="Times New Roman" w:hAnsi="Times New Roman"/>
          <w:b/>
          <w:color w:val="000000"/>
          <w:sz w:val="16"/>
        </w:rPr>
        <w:t>(Address of principal executive offices, including zip code)</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2026 Equity Incentive Plan</w:t>
        <w:br/>
        <w:t>Amended and Restated 2014 Equity Incentive Plan</w:t>
      </w:r>
    </w:p>
    <w:p>
      <w:pPr>
        <w:pStyle w:val="TextBody"/>
        <w:bidi w:val="0"/>
        <w:jc w:val="center"/>
        <w:rPr>
          <w:rFonts w:ascii="Times New Roman" w:hAnsi="Times New Roman"/>
          <w:b/>
          <w:color w:val="000000"/>
          <w:sz w:val="16"/>
        </w:rPr>
      </w:pPr>
      <w:r>
        <w:rPr>
          <w:rFonts w:ascii="Times New Roman" w:hAnsi="Times New Roman"/>
          <w:b/>
          <w:color w:val="000000"/>
          <w:sz w:val="16"/>
        </w:rPr>
        <w:t>(Full title of the plan)</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Thomas P. Kelly</w:t>
      </w:r>
    </w:p>
    <w:p>
      <w:pPr>
        <w:pStyle w:val="TextBody"/>
        <w:bidi w:val="0"/>
        <w:jc w:val="center"/>
        <w:rPr>
          <w:rFonts w:ascii="Times New Roman" w:hAnsi="Times New Roman"/>
          <w:b/>
          <w:color w:val="000000"/>
          <w:sz w:val="20"/>
        </w:rPr>
      </w:pPr>
      <w:r>
        <w:rPr>
          <w:rFonts w:ascii="Times New Roman" w:hAnsi="Times New Roman"/>
          <w:b/>
          <w:color w:val="000000"/>
          <w:sz w:val="20"/>
        </w:rPr>
        <w:t>Chief Financial Officer</w:t>
      </w:r>
    </w:p>
    <w:p>
      <w:pPr>
        <w:pStyle w:val="TextBody"/>
        <w:bidi w:val="0"/>
        <w:jc w:val="center"/>
        <w:rPr>
          <w:rFonts w:ascii="Times New Roman" w:hAnsi="Times New Roman"/>
          <w:b/>
          <w:color w:val="000000"/>
          <w:sz w:val="20"/>
        </w:rPr>
      </w:pPr>
      <w:r>
        <w:rPr>
          <w:rFonts w:ascii="Times New Roman" w:hAnsi="Times New Roman"/>
          <w:b/>
          <w:color w:val="000000"/>
          <w:sz w:val="20"/>
        </w:rPr>
        <w:t>Xenon Pharmaceuticals Inc.</w:t>
      </w:r>
    </w:p>
    <w:p>
      <w:pPr>
        <w:pStyle w:val="TextBody"/>
        <w:bidi w:val="0"/>
        <w:jc w:val="center"/>
        <w:rPr>
          <w:rFonts w:ascii="Times New Roman" w:hAnsi="Times New Roman"/>
          <w:b/>
          <w:color w:val="000000"/>
          <w:sz w:val="20"/>
        </w:rPr>
      </w:pPr>
      <w:r>
        <w:rPr>
          <w:rFonts w:ascii="Times New Roman" w:hAnsi="Times New Roman"/>
          <w:b/>
          <w:color w:val="000000"/>
          <w:sz w:val="20"/>
        </w:rPr>
        <w:t>3650 Gilmore Way</w:t>
      </w:r>
    </w:p>
    <w:p>
      <w:pPr>
        <w:pStyle w:val="TextBody"/>
        <w:bidi w:val="0"/>
        <w:jc w:val="center"/>
        <w:rPr>
          <w:rFonts w:ascii="Times New Roman" w:hAnsi="Times New Roman"/>
          <w:b/>
          <w:color w:val="000000"/>
          <w:sz w:val="20"/>
        </w:rPr>
      </w:pPr>
      <w:r>
        <w:rPr>
          <w:rFonts w:ascii="Times New Roman" w:hAnsi="Times New Roman"/>
          <w:b/>
          <w:color w:val="000000"/>
          <w:sz w:val="20"/>
        </w:rPr>
        <w:t>Burnaby, British Columbia V5G 4W8</w:t>
      </w:r>
    </w:p>
    <w:p>
      <w:pPr>
        <w:pStyle w:val="TextBody"/>
        <w:bidi w:val="0"/>
        <w:jc w:val="center"/>
        <w:rPr>
          <w:rFonts w:ascii="Times New Roman" w:hAnsi="Times New Roman"/>
          <w:sz w:val="20"/>
        </w:rPr>
      </w:pPr>
      <w:r>
        <w:rPr>
          <w:rFonts w:ascii="Times New Roman" w:hAnsi="Times New Roman"/>
          <w:b/>
          <w:color w:val="000000"/>
          <w:sz w:val="20"/>
        </w:rPr>
        <w:t>Canada</w:t>
        <w:br/>
      </w:r>
      <w:r>
        <w:rPr>
          <w:rFonts w:ascii="Times New Roman" w:hAnsi="Times New Roman"/>
          <w:b/>
          <w:color w:val="000000"/>
          <w:sz w:val="16"/>
        </w:rPr>
        <w:t>(Name and address of agent for service)</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(604) 484-3300</w:t>
      </w:r>
    </w:p>
    <w:p>
      <w:pPr>
        <w:pStyle w:val="TextBody"/>
        <w:bidi w:val="0"/>
        <w:jc w:val="center"/>
        <w:rPr>
          <w:rFonts w:ascii="Times New Roman" w:hAnsi="Times New Roman"/>
          <w:b/>
          <w:color w:val="000000"/>
          <w:sz w:val="16"/>
        </w:rPr>
      </w:pPr>
      <w:r>
        <w:rPr>
          <w:rFonts w:ascii="Times New Roman" w:hAnsi="Times New Roman"/>
          <w:b/>
          <w:color w:val="000000"/>
          <w:sz w:val="16"/>
        </w:rPr>
        <w:t>(Telephone number, including area code, of agent for service)</w:t>
      </w:r>
    </w:p>
    <w:p>
      <w:pPr>
        <w:pStyle w:val="TextBody"/>
        <w:pBdr>
          <w:bottom w:val="single" w:sz="4" w:space="1" w:color="000000"/>
        </w:pBdr>
        <w:bidi w:val="0"/>
        <w:spacing w:before="0" w:after="100"/>
        <w:jc w:val="center"/>
        <w:rPr/>
      </w:pPr>
      <w:r>
        <w:rPr/>
        <w:t> </w:t>
      </w:r>
    </w:p>
    <w:p>
      <w:pPr>
        <w:pStyle w:val="TextBody"/>
        <w:bidi w:val="0"/>
        <w:jc w:val="left"/>
        <w:rPr>
          <w:rFonts w:ascii="Times New Roman" w:hAnsi="Times New Roman"/>
          <w:color w:val="000000"/>
          <w:sz w:val="18"/>
        </w:rPr>
      </w:pPr>
      <w:r>
        <w:rPr>
          <w:rFonts w:ascii="Times New Roman" w:hAnsi="Times New Roman"/>
          <w:color w:val="000000"/>
          <w:sz w:val="18"/>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5197" w:type="dxa"/>
        <w:jc w:val="left"/>
        <w:tblInd w:w="0" w:type="dxa"/>
        <w:tblLayout w:type="fixed"/>
        <w:tblCellMar>
          <w:top w:w="28" w:type="dxa"/>
          <w:left w:w="28" w:type="dxa"/>
          <w:bottom w:w="28" w:type="dxa"/>
          <w:right w:w="28" w:type="dxa"/>
        </w:tblCellMar>
      </w:tblPr>
      <w:tblGrid>
        <w:gridCol w:w="2056"/>
        <w:gridCol w:w="146"/>
        <w:gridCol w:w="316"/>
        <w:gridCol w:w="146"/>
        <w:gridCol w:w="2026"/>
        <w:gridCol w:w="146"/>
        <w:gridCol w:w="361"/>
      </w:tblGrid>
      <w:tr>
        <w:trPr/>
        <w:tc>
          <w:tcPr>
            <w:tcW w:w="20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56" w:type="dxa"/>
            <w:tcBorders/>
            <w:tcMar>
              <w:top w:w="0" w:type="dxa"/>
              <w:left w:w="0" w:type="dxa"/>
              <w:bottom w:w="0" w:type="dxa"/>
              <w:right w:w="0" w:type="dxa"/>
            </w:tcMar>
            <w:vAlign w:val="center"/>
          </w:tcPr>
          <w:p>
            <w:pPr>
              <w:pStyle w:val="TableContents"/>
              <w:bidi w:val="0"/>
              <w:spacing w:before="0" w:after="283"/>
              <w:jc w:val="left"/>
              <w:rPr/>
            </w:pPr>
            <w:r>
              <w:rPr/>
              <w:t> </w:t>
            </w:r>
          </w:p>
        </w:tc>
        <w:tc>
          <w:tcPr>
            <w:tcW w:w="46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17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50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60" w:after="283"/>
        <w:jc w:val="center"/>
        <w:rPr>
          <w:rFonts w:ascii="Times New Roman" w:hAnsi="Times New Roman"/>
          <w:sz w:val="20"/>
        </w:rPr>
      </w:pPr>
      <w:r>
        <w:rPr>
          <w:rFonts w:ascii="Times New Roman" w:hAnsi="Times New Roman"/>
          <w:color w:val="000000"/>
          <w:sz w:val="18"/>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Times New Roman" w:hAnsi="Times New Roman"/>
          <w:color w:val="000000"/>
          <w:sz w:val="20"/>
        </w:rPr>
        <w:t>☐</w:t>
      </w:r>
    </w:p>
    <w:p>
      <w:pPr>
        <w:pStyle w:val="TextBody"/>
        <w:pBdr>
          <w:bottom w:val="double" w:sz="6" w:space="1" w:color="000000"/>
        </w:pBdr>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EXPLANATORY NOTE</w:t>
      </w:r>
    </w:p>
    <w:p>
      <w:pPr>
        <w:pStyle w:val="TextBody"/>
        <w:bidi w:val="0"/>
        <w:spacing w:before="240" w:after="283"/>
        <w:jc w:val="left"/>
        <w:rPr>
          <w:rFonts w:ascii="Times New Roman" w:hAnsi="Times New Roman"/>
          <w:sz w:val="20"/>
        </w:rPr>
      </w:pPr>
      <w:r>
        <w:rPr>
          <w:rFonts w:ascii="Times New Roman" w:hAnsi="Times New Roman"/>
          <w:color w:val="000000"/>
          <w:sz w:val="20"/>
        </w:rPr>
        <w:t>Pursuant to Securities Act Forms Corporation Finance Interpretation 126.43 (“CFI 126.43”) published by the Securities and Exchange Commission (the “</w:t>
      </w:r>
      <w:r>
        <w:rPr>
          <w:rFonts w:ascii="Times New Roman" w:hAnsi="Times New Roman"/>
          <w:b/>
          <w:color w:val="000000"/>
          <w:sz w:val="20"/>
        </w:rPr>
        <w:t>Commission</w:t>
      </w:r>
      <w:r>
        <w:rPr>
          <w:rFonts w:ascii="Times New Roman" w:hAnsi="Times New Roman"/>
          <w:color w:val="000000"/>
          <w:sz w:val="20"/>
        </w:rPr>
        <w:t>”), Xenon Pharmaceuticals Inc. (the “</w:t>
      </w:r>
      <w:r>
        <w:rPr>
          <w:rFonts w:ascii="Times New Roman" w:hAnsi="Times New Roman"/>
          <w:b/>
          <w:color w:val="000000"/>
          <w:sz w:val="20"/>
        </w:rPr>
        <w:t>Registrant</w:t>
      </w:r>
      <w:r>
        <w:rPr>
          <w:rFonts w:ascii="Times New Roman" w:hAnsi="Times New Roman"/>
          <w:color w:val="000000"/>
          <w:sz w:val="20"/>
        </w:rPr>
        <w:t>”) is filing this Post-Effective Amendment No. 1 to Registration Statements on Form S-8 (this “</w:t>
      </w:r>
      <w:r>
        <w:rPr>
          <w:rFonts w:ascii="Times New Roman" w:hAnsi="Times New Roman"/>
          <w:b/>
          <w:color w:val="000000"/>
          <w:sz w:val="20"/>
        </w:rPr>
        <w:t>Post-Effective Amendment</w:t>
      </w:r>
      <w:r>
        <w:rPr>
          <w:rFonts w:ascii="Times New Roman" w:hAnsi="Times New Roman"/>
          <w:color w:val="000000"/>
          <w:sz w:val="20"/>
        </w:rPr>
        <w:t>”) to the following registration statements on Form S-8 (collectively, the “</w:t>
      </w:r>
      <w:r>
        <w:rPr>
          <w:rFonts w:ascii="Times New Roman" w:hAnsi="Times New Roman"/>
          <w:b/>
          <w:color w:val="000000"/>
          <w:sz w:val="20"/>
        </w:rPr>
        <w:t>Registration Statements</w:t>
      </w:r>
      <w:r>
        <w:rPr>
          <w:rFonts w:ascii="Times New Roman" w:hAnsi="Times New Roman"/>
          <w:color w:val="000000"/>
          <w:sz w:val="20"/>
        </w:rPr>
        <w:t>”) filed by the Registrant with the Commission: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w:t>
      </w:r>
    </w:p>
    <w:p>
      <w:pPr>
        <w:pStyle w:val="TextBody"/>
        <w:bidi w:val="0"/>
        <w:spacing w:before="120" w:after="283"/>
        <w:jc w:val="left"/>
        <w:rPr/>
      </w:pPr>
      <w:r>
        <w:rPr>
          <w:rFonts w:ascii="Times New Roman" w:hAnsi="Times New Roman"/>
          <w:color w:val="000000"/>
          <w:sz w:val="20"/>
        </w:rPr>
        <w:t>Registration Statement on Form S-8 filed by the Registrant with the Commission on November 5, 2014 (File No. 333-199860) with respect to 1,762,404 common shares of the Registrant (“</w:t>
      </w:r>
      <w:r>
        <w:rPr>
          <w:rFonts w:ascii="Times New Roman" w:hAnsi="Times New Roman"/>
          <w:b/>
          <w:color w:val="000000"/>
          <w:sz w:val="20"/>
        </w:rPr>
        <w:t>Common Shares</w:t>
      </w:r>
      <w:r>
        <w:rPr>
          <w:color w:val="000000"/>
        </w:rPr>
        <w:t>”</w:t>
      </w:r>
      <w:r>
        <w:rPr>
          <w:rFonts w:ascii="Times New Roman" w:hAnsi="Times New Roman"/>
          <w:color w:val="000000"/>
          <w:sz w:val="20"/>
        </w:rPr>
        <w:t>), consisting of (i) 1,350,882 Common Shares, which were subject to then-outstanding stock options under the Registrant’s Amended and Restated Stock Option Plan, as amended; (ii) 36,008 Common Shares, which were subject to outstanding stock options under the Registrant’s 2014 Equity Incentive Plan (as subsequently amended, the “</w:t>
      </w:r>
      <w:r>
        <w:rPr>
          <w:rFonts w:ascii="Times New Roman" w:hAnsi="Times New Roman"/>
          <w:b/>
          <w:color w:val="000000"/>
          <w:sz w:val="20"/>
        </w:rPr>
        <w:t>Amended and Restated</w:t>
      </w:r>
      <w:r>
        <w:rPr>
          <w:color w:val="000000"/>
        </w:rPr>
        <w:t xml:space="preserve"> </w:t>
      </w:r>
      <w:r>
        <w:rPr>
          <w:rFonts w:ascii="Times New Roman" w:hAnsi="Times New Roman"/>
          <w:b/>
          <w:color w:val="000000"/>
          <w:sz w:val="20"/>
        </w:rPr>
        <w:t>2014 Plan</w:t>
      </w:r>
      <w:r>
        <w:rPr>
          <w:color w:val="000000"/>
        </w:rPr>
        <w:t>”</w:t>
      </w:r>
      <w:r>
        <w:rPr>
          <w:rFonts w:ascii="Times New Roman" w:hAnsi="Times New Roman"/>
          <w:color w:val="000000"/>
          <w:sz w:val="20"/>
        </w:rPr>
        <w:t>); and (iii) 375,514 Common Shares to be issued under the Amended and Restated 2014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(ii)</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Registration Statement on Form S-8 filed by the Registrant with the Commission pursuant to General Instruction E on March 16, 2015 (File No. 333-202765) with respect to 150,000 Common Shares to be issued under the Amended and Restated 2014 Plan;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(iii)</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Registration Statement on Form S-8 filed by the Registrant with the Commission pursuant to General Instruction E on March 9, 2016 (File No. 333-210050) with respect to 375,000 Common Shares to be issued under the Amended and Restated 2014 Plan;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(iv)</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Registration Statement on Form S-8 filed by the Registrant with the Commission pursuant to General Instruction E on March 8, 2017 (File No. 333-216543) with respect to 500,000 Common Shares to be issued under the Amended and Restated 2014 Plan;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(v)</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Registration Statement on Form S-8 filed by the Registrant with the Commission pursuant to General Instruction E on March 7, 2018 (File No. 333-223497) with respect to 700,000 Common Shares to be issued under the Amended and Restated 2014 Plan;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(vi)</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Registration Statement on Form S-8 filed by the Registrant with the Commission pursuant to General Instruction E on March 6, 2019 (File No. 333-230103) with respect to 900,000 Common Shares to be issued under the Amended and Restated 2014 Plan;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(vii)</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Registration Statement on Form S-8 filed by the Registrant with the Commission pursuant to General Instruction E on March 9, 2020 (File No. 333-237036) with respect to 1,028,806 Common Shares to be issued under the Amended and Restated 2014 Plan;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(viii)</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Registration Statement on Form S-8 filed by the Registrant with the Commission pursuant to General Instruction E on June 3, 2020 (File No. 333-238895) with respect to 4,000,000 Common Shares to be issued under the Amended and Restated 2014 Plan;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(ix)</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Registration Statement on Form S-8 filed by the Registrant with the Commission pursuant to General Instruction E on June 2, 2022 (File No. 333-265377) with respect to 5,300,000 Common Shares to be issued under the Amended and Restated 2014 Plan;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(x)</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Registration Statement on Form S-8 filed by the Registrant with the Commission pursuant to General Instruction E on June 5, 2024 (File No. 333-279962) with respect to 5,200,000 Common Shares to be issued under the Amended and Restated 2014 Plan.</w:t>
      </w:r>
    </w:p>
    <w:p>
      <w:pPr>
        <w:pStyle w:val="TextBody"/>
        <w:bidi w:val="0"/>
        <w:spacing w:before="240" w:after="283"/>
        <w:jc w:val="left"/>
        <w:rPr>
          <w:rFonts w:ascii="Times New Roman" w:hAnsi="Times New Roman"/>
          <w:sz w:val="20"/>
        </w:rPr>
      </w:pPr>
      <w:r>
        <w:rPr>
          <w:rFonts w:ascii="Times New Roman" w:hAnsi="Times New Roman"/>
          <w:color w:val="000000"/>
          <w:sz w:val="20"/>
        </w:rPr>
        <w:t>On June 2, 2026, the Registrant’s shareholders approved the Registrant’s 2026 Equity Incentive Plan (the “</w:t>
      </w:r>
      <w:r>
        <w:rPr>
          <w:rFonts w:ascii="Times New Roman" w:hAnsi="Times New Roman"/>
          <w:b/>
          <w:color w:val="000000"/>
          <w:sz w:val="20"/>
        </w:rPr>
        <w:t>2026 Plan</w:t>
      </w:r>
      <w:r>
        <w:rPr>
          <w:rFonts w:ascii="Times New Roman" w:hAnsi="Times New Roman"/>
          <w:color w:val="000000"/>
          <w:sz w:val="20"/>
        </w:rPr>
        <w:t xml:space="preserve">”), which replaces the Amended and Restated 2014 Plan. No further awards will be made under the Amended and Restated 2014 Plan. </w:t>
      </w:r>
    </w:p>
    <w:p>
      <w:pPr>
        <w:pStyle w:val="TextBody"/>
        <w:bidi w:val="0"/>
        <w:jc w:val="center"/>
        <w:rPr>
          <w:rFonts w:ascii="Times New Roman" w:hAnsi="Times New Roman"/>
          <w:color w:val="000000"/>
          <w:sz w:val="21"/>
        </w:rPr>
      </w:pPr>
      <w:r>
        <w:rPr>
          <w:rFonts w:ascii="Times New Roman" w:hAnsi="Times New Roman"/>
          <w:color w:val="000000"/>
          <w:sz w:val="21"/>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20"/>
        </w:rPr>
        <w:t>The number of Common Shares initially authorized for issuance pursuant to the awards under the 2026 Plan includes (a) 4,400,000 Common Shares, (b) 2,873,223 Common Shares, which equals the number of shares available for future grant under the Amended and Restated 2014 Plan as of June 2, 2026 and (c) up to 11,788,376 Common Shares, underlying awards outstanding under the Amended and Restated 2014 Plan that, on or after June 2, 2026, terminate, expire or lapse for any reason without the delivery of shares to the holder thereof (such shares under clauses (b) and (c), the “</w:t>
      </w:r>
      <w:r>
        <w:rPr>
          <w:rFonts w:ascii="Times New Roman" w:hAnsi="Times New Roman"/>
          <w:b/>
          <w:color w:val="000000"/>
          <w:sz w:val="20"/>
        </w:rPr>
        <w:t>Carryover Shares</w:t>
      </w:r>
      <w:r>
        <w:rPr>
          <w:rFonts w:ascii="Times New Roman" w:hAnsi="Times New Roman"/>
          <w:color w:val="000000"/>
          <w:sz w:val="2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Contemporaneously with the filing of this Post-Effective Amendment, the Registrant is filing a Registration Statement on Form S-8 to register the 4,400,000 newly authorized Common Shares that have become available for offer or sale pursuant to the 2026 Plan, which number does not include the Carryover Shares.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accordance with CFI 126.43 and pursuant to the undertaking in Item 512(a)(1)(iii) of Regulation S-K that the Registrant disclose a material change in the plan of distribution as it was originally disclosed in the Registration Statements, this Post-Effective Amendment is filed to indicate that the Registration Statements will also cover the issuance of the Carryover Shares under the 2026 Plan (as such shares would no longer be issuable under the Amended and Restated 2014 Plan as described above). No additional securities are being registered by this Post-Effective Amendment.</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PART I</w:t>
      </w:r>
    </w:p>
    <w:p>
      <w:pPr>
        <w:pStyle w:val="TextBody"/>
        <w:bidi w:val="0"/>
        <w:spacing w:before="240" w:after="240"/>
        <w:jc w:val="center"/>
        <w:rPr>
          <w:rFonts w:ascii="Times New Roman" w:hAnsi="Times New Roman"/>
          <w:b/>
          <w:color w:val="000000"/>
          <w:sz w:val="20"/>
        </w:rPr>
      </w:pPr>
      <w:r>
        <w:rPr>
          <w:rFonts w:ascii="Times New Roman" w:hAnsi="Times New Roman"/>
          <w:b/>
          <w:color w:val="000000"/>
          <w:sz w:val="20"/>
        </w:rPr>
        <w:t>INFORMATION REQUIRED IN THE PROSPECTUS</w:t>
      </w:r>
    </w:p>
    <w:p>
      <w:pPr>
        <w:pStyle w:val="TextBody"/>
        <w:bidi w:val="0"/>
        <w:jc w:val="left"/>
        <w:rPr>
          <w:rFonts w:ascii="Times New Roman" w:hAnsi="Times New Roman"/>
          <w:sz w:val="20"/>
        </w:rPr>
      </w:pPr>
      <w:r>
        <w:rPr>
          <w:rFonts w:ascii="Times New Roman" w:hAnsi="Times New Roman"/>
          <w:color w:val="000000"/>
          <w:sz w:val="20"/>
        </w:rPr>
        <w:t>The information specified in Item 1 and Item 2 of Part I of Form S-8 is omitted from this Post-Effective Amendment in accordance with the provisions of Rule 428 under the Securities Act of 1933, as amended (the "</w:t>
      </w:r>
      <w:r>
        <w:rPr>
          <w:rFonts w:ascii="Times New Roman" w:hAnsi="Times New Roman"/>
          <w:b/>
          <w:color w:val="000000"/>
          <w:sz w:val="20"/>
        </w:rPr>
        <w:t>Securities Act</w:t>
      </w:r>
      <w:r>
        <w:rPr>
          <w:rFonts w:ascii="Times New Roman" w:hAnsi="Times New Roman"/>
          <w:color w:val="000000"/>
          <w:sz w:val="20"/>
        </w:rPr>
        <w:t>"), and the introductory note to Part I of Form S-8. The documents containing the information specified in Part I of Form S-8 will be delivered to the participants in the equity benefit plans covered by this Post-Effective Amendment as specified by Rule 428(b)1) under the Securities Act.</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PART II</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INFORMATION REQUIRED IN THE REGISTRATION STATEMENT</w:t>
      </w:r>
    </w:p>
    <w:p>
      <w:pPr>
        <w:pStyle w:val="TextBody"/>
        <w:bidi w:val="0"/>
        <w:spacing w:before="240" w:after="283"/>
        <w:jc w:val="left"/>
        <w:rPr>
          <w:rFonts w:ascii="Times New Roman" w:hAnsi="Times New Roman"/>
          <w:sz w:val="20"/>
        </w:rPr>
      </w:pPr>
      <w:bookmarkStart w:id="2" w:name="incorporation"/>
      <w:bookmarkEnd w:id="2"/>
      <w:r>
        <w:rPr>
          <w:rFonts w:ascii="Times New Roman" w:hAnsi="Times New Roman"/>
          <w:b/>
          <w:color w:val="000000"/>
          <w:sz w:val="20"/>
        </w:rPr>
        <w:t>Item 3. Incorporation</w:t>
      </w:r>
      <w:r>
        <w:rPr>
          <w:rFonts w:ascii="Times New Roman" w:hAnsi="Times New Roman"/>
          <w:color w:val="000000"/>
          <w:sz w:val="20"/>
        </w:rPr>
        <w:t xml:space="preserve"> </w:t>
      </w:r>
      <w:r>
        <w:rPr>
          <w:rFonts w:ascii="Times New Roman" w:hAnsi="Times New Roman"/>
          <w:b/>
          <w:color w:val="000000"/>
          <w:sz w:val="20"/>
        </w:rPr>
        <w:t>of Documents by Reference</w:t>
      </w:r>
      <w:r>
        <w:rPr>
          <w:rFonts w:ascii="Times New Roman" w:hAnsi="Times New Roman"/>
          <w:color w:val="000000"/>
          <w:sz w:val="20"/>
        </w:rPr>
        <w:t xml:space="preserve">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The following documents previously filed with the Commission are hereby incorporated by reference: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240"/>
        <w:jc w:val="left"/>
        <w:rPr/>
      </w:pPr>
      <w:r>
        <w:rPr>
          <w:rFonts w:ascii="Times New Roman" w:hAnsi="Times New Roman"/>
          <w:color w:val="000000"/>
          <w:sz w:val="20"/>
        </w:rPr>
        <w:t xml:space="preserve">The Registrant’s Annual Report on </w:t>
      </w:r>
      <w:hyperlink r:id="rId2">
        <w:r>
          <w:rPr>
            <w:rStyle w:val="InternetLink"/>
            <w:rFonts w:ascii="Times New Roman" w:hAnsi="Times New Roman"/>
            <w:color w:val="0000FF"/>
            <w:sz w:val="20"/>
            <w:u w:val="single"/>
          </w:rPr>
          <w:t>Form 10-K</w:t>
        </w:r>
      </w:hyperlink>
      <w:r>
        <w:rPr>
          <w:color w:val="000000"/>
        </w:rPr>
        <w:t xml:space="preserve"> </w:t>
      </w:r>
      <w:r>
        <w:rPr>
          <w:rFonts w:ascii="Times New Roman" w:hAnsi="Times New Roman"/>
          <w:color w:val="000000"/>
          <w:sz w:val="20"/>
        </w:rPr>
        <w:t xml:space="preserve">for the fiscal year ended December 31, 2025, filed with the Commission on February 26, 2026;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(2)</w:t>
      </w:r>
    </w:p>
    <w:p>
      <w:pPr>
        <w:pStyle w:val="TextBody"/>
        <w:bidi w:val="0"/>
        <w:spacing w:before="0" w:after="240"/>
        <w:jc w:val="left"/>
        <w:rPr/>
      </w:pPr>
      <w:r>
        <w:rPr>
          <w:rFonts w:ascii="Times New Roman" w:hAnsi="Times New Roman"/>
          <w:color w:val="000000"/>
          <w:sz w:val="20"/>
        </w:rPr>
        <w:t>All other reports filed with the Commission pursuant to Section 13(a) or 15(d) of the Securities Exchange Act of 1934, as amended (the “</w:t>
      </w:r>
      <w:r>
        <w:rPr>
          <w:rFonts w:ascii="Times New Roman" w:hAnsi="Times New Roman"/>
          <w:b/>
          <w:color w:val="000000"/>
          <w:sz w:val="20"/>
        </w:rPr>
        <w:t>Act</w:t>
      </w:r>
      <w:r>
        <w:rPr>
          <w:color w:val="000000"/>
        </w:rPr>
        <w:t>”</w:t>
      </w:r>
      <w:r>
        <w:rPr>
          <w:rFonts w:ascii="Times New Roman" w:hAnsi="Times New Roman"/>
          <w:color w:val="000000"/>
          <w:sz w:val="20"/>
        </w:rPr>
        <w:t xml:space="preserve">), since the end of the fiscal year covered by the Registrant’s Annual Report referred to in (1) above; and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(3)</w:t>
      </w:r>
    </w:p>
    <w:p>
      <w:pPr>
        <w:pStyle w:val="TextBody"/>
        <w:bidi w:val="0"/>
        <w:spacing w:before="0" w:after="240"/>
        <w:jc w:val="left"/>
        <w:rPr/>
      </w:pPr>
      <w:r>
        <w:rPr>
          <w:rFonts w:ascii="Times New Roman" w:hAnsi="Times New Roman"/>
          <w:color w:val="000000"/>
          <w:sz w:val="20"/>
        </w:rPr>
        <w:t xml:space="preserve">The description of the Registrant’s common shares contained in the Registration Statement on </w:t>
      </w:r>
      <w:hyperlink r:id="rId3">
        <w:r>
          <w:rPr>
            <w:rStyle w:val="InternetLink"/>
            <w:rFonts w:ascii="Times New Roman" w:hAnsi="Times New Roman"/>
            <w:color w:val="0000FF"/>
            <w:sz w:val="20"/>
            <w:u w:val="single"/>
          </w:rPr>
          <w:t>Form 8-A12B</w:t>
        </w:r>
      </w:hyperlink>
      <w:r>
        <w:rPr>
          <w:color w:val="000000"/>
        </w:rPr>
        <w:t xml:space="preserve"> </w:t>
      </w:r>
      <w:r>
        <w:rPr>
          <w:rFonts w:ascii="Times New Roman" w:hAnsi="Times New Roman"/>
          <w:color w:val="000000"/>
          <w:sz w:val="20"/>
        </w:rPr>
        <w:t xml:space="preserve">(File No. 001-36687) filed with the Commission on October 10, 2014, pursuant to Section 12(b) of the Act, as updated by any amendment or report filed for the purpose of updating such description, including the description of the Registrant’s Common Shares contained in Exhibit 4.3 to its Annual Report on Form 10-K for the fiscal year ended December 31, 2025, filed with the Commission on February 26, 2026. </w:t>
      </w:r>
    </w:p>
    <w:p>
      <w:pPr>
        <w:pStyle w:val="TextBody"/>
        <w:bidi w:val="0"/>
        <w:jc w:val="center"/>
        <w:rPr>
          <w:rFonts w:ascii="Times New Roman" w:hAnsi="Times New Roman"/>
          <w:color w:val="000000"/>
          <w:sz w:val="21"/>
        </w:rPr>
      </w:pPr>
      <w:r>
        <w:rPr>
          <w:rFonts w:ascii="Times New Roman" w:hAnsi="Times New Roman"/>
          <w:color w:val="000000"/>
          <w:sz w:val="21"/>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documents subsequently filed by the Registrant pursuant to Sections 13(a), 13(c), 14 and 15(d) of the Act, prior to the filing of a post-effective amendment which indicates that all securities registered have been sold or which deregisters all securities then remaining unsold, shall be deemed to be incorporated by reference in this Registration Statement and to be part hereof from the date of filing of such documents; provided, however, that documents or information deemed to have been furnished and not filed in accordance with the rules of the Commission shall not be deemed incorporated by reference into the Registration Statements. Any statement contained in a document incorporated or deemed to be incorporated by reference herein shall be deemed to be modified or superseded for purposes of the Registration Statements to the extent that a statement contained herein or in any subsequently filed document which also is deemed to be incorporated by reference herein modifies or supersedes such statement. Any such statement so modified or superseded shall not be deemed, except as so modified or superseded, to constitute a part of the Registration Statements.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Under no circumstances will any information furnished under current items 2.02 or 7.01 of Form 8-K be deemed incorporated herein by reference unless such Form 8-K expressly provides to the contrary.</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Item 4. Description of Securities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Item 5. Interests of Named Experts and Counsel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Item 6. Indemnification of Directors and Officers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Under the Canada Business Corporations Act (the “CBCA”), the Registrant may indemnify its current or former directors or officers or any other individuals who act or have acted at its request as a director or officer, or an individual acting in a similar capacity, of another entity, against all costs, charges, and expenses, including an amount paid to settle an action or satisfy a judgment, reasonably incurred by the individual in respect of any civil, criminal, administrative, investigative or other proceeding in which the individual is involved because of his or her association with the Registrant or the other entity. The CBCA also provides that the Registrant may advance moneys to a director, officer or other individual for costs, charges and expenses reasonably incurred in connection with such a proceeding. The individual shall repay the moneys to the Registrant if indemnification of the individual is ultimately prohibited under the CBCA, as described below.</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Indemnification is prohibited under the CBCA unless the individual: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acted honestly and in good faith with a view to the Registrant’s best interests, or the best interests of the other entity for which the individual acted as director or officer or in a similar capacity at the Registrant’s request;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case of a criminal or administrative action or proceeding that is enforced by a monetary penalty, the individual had reasonable grounds for believing that his or her conduct was lawful;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was not judged by the court or other competent authority to have committed any fault or omitted to do anything that the individual ought to have done.</w:t>
      </w:r>
    </w:p>
    <w:p>
      <w:pPr>
        <w:pStyle w:val="TextBody"/>
        <w:bidi w:val="0"/>
        <w:jc w:val="center"/>
        <w:rPr>
          <w:rFonts w:ascii="Times New Roman" w:hAnsi="Times New Roman"/>
          <w:color w:val="000000"/>
          <w:sz w:val="21"/>
        </w:rPr>
      </w:pPr>
      <w:r>
        <w:rPr>
          <w:rFonts w:ascii="Times New Roman" w:hAnsi="Times New Roman"/>
          <w:color w:val="000000"/>
          <w:sz w:val="21"/>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by-laws require it to indemnify each of its directors, officers, former directors and officers and persons who act or acted at its request as a director or officer, or in a similar capacity, of a body corporate to the fullest extent permitted under the CBCA. The Registrant will indemnify such individual against all costs, charges and expenses, including an amount paid to settle an action or proceeding to which the individual is made a party by reason of being or having been a director or officer of the Registrant or such body corporate. The Registrant’s by-laws also require it to, with the approval of a court, indemnify such individual referred to above, in respect of an action by or on behalf of it or such body corporate to procure a judgment in its favor, to which the individual is made a party by reason of being or having been a director or an officer of the Registrant or such body corporate, against all costs, charges and expenses reasonably incurred by him in connection with such action. However, the Registrant shall not indemnify such individual if the individual did not act honestly and in good faith with a view to the Registrant’s best interests or, in the case of a criminal or administrative action or proceeding that is enforced by a monetary penalty, the individual did not have reasonable grounds for believing that his or her conduct was lawful.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by-laws authorize it, with the approval of its board of directors, to purchase and maintain insurance for the benefit of any person its board of directors may from time to time determine.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 has entered into indemnification agreements with each of its directors and certain officers. As provided by its by-laws, these agreements, among other things, require the Registrant to indemnify each director and officer to the fullest extent permitted by Canadian law, including indemnification of all costs, charges and expenses reasonably incurred by such person in any action or proceeding, including, with the approval of a court, any action or proceeding by or in right of it, arising out of the person’s services as a director or officer; provided that, the Registrant will not indemnify such individual if, among other things, he or she did not act honestly and in good faith with a view to its best interests and, in the case of a criminal or penal action, the individual did not have reasonable grounds for believing that his or her conduct was lawful.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Insofar as indemnification of liabilities arising under the Securities Act may be permitted to members of the Registrant’s board of directors, officers or persons controlling it pursuant to the foregoing provisions, the Registrant has been informed that, in the opinion of the SEC, such indemnification is against public policy as expressed in the Securities Act and is therefore unenforceable.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See also the undertakings set out in response to Item 9 herein.</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Item 7. Exemption from Registration Claimed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240" w:after="283"/>
        <w:jc w:val="left"/>
        <w:rPr>
          <w:rFonts w:ascii="Times New Roman" w:hAnsi="Times New Roman"/>
          <w:sz w:val="20"/>
        </w:rPr>
      </w:pPr>
      <w:bookmarkStart w:id="3" w:name="item8"/>
      <w:bookmarkEnd w:id="3"/>
      <w:r>
        <w:rPr>
          <w:rFonts w:ascii="Times New Roman" w:hAnsi="Times New Roman"/>
          <w:b/>
          <w:color w:val="000000"/>
          <w:sz w:val="20"/>
        </w:rPr>
        <w:t>Item 8. Exhibits</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66"/>
        <w:gridCol w:w="146"/>
        <w:gridCol w:w="4632"/>
        <w:gridCol w:w="146"/>
        <w:gridCol w:w="465"/>
        <w:gridCol w:w="146"/>
        <w:gridCol w:w="979"/>
        <w:gridCol w:w="146"/>
        <w:gridCol w:w="660"/>
        <w:gridCol w:w="146"/>
        <w:gridCol w:w="881"/>
        <w:gridCol w:w="146"/>
        <w:gridCol w:w="946"/>
      </w:tblGrid>
      <w:tr>
        <w:trPr/>
        <w:tc>
          <w:tcPr>
            <w:tcW w:w="76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4632"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465"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979"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60"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88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tcPr>
          <w:p>
            <w:pPr>
              <w:pStyle w:val="TableContents"/>
              <w:bidi w:val="0"/>
              <w:spacing w:before="0" w:after="283"/>
              <w:jc w:val="left"/>
              <w:rPr>
                <w:sz w:val="4"/>
                <w:szCs w:val="4"/>
              </w:rPr>
            </w:pPr>
            <w:r>
              <w:rPr>
                <w:sz w:val="4"/>
                <w:szCs w:val="4"/>
              </w:rPr>
            </w:r>
          </w:p>
        </w:tc>
        <w:tc>
          <w:tcPr>
            <w:tcW w:w="946" w:type="dxa"/>
            <w:tcBorders/>
            <w:shd w:fill="FFFFFF" w:val="clear"/>
          </w:tcPr>
          <w:p>
            <w:pPr>
              <w:pStyle w:val="TableContents"/>
              <w:bidi w:val="0"/>
              <w:spacing w:before="0" w:after="283"/>
              <w:jc w:val="left"/>
              <w:rPr>
                <w:sz w:val="4"/>
                <w:szCs w:val="4"/>
              </w:rPr>
            </w:pPr>
            <w:r>
              <w:rPr>
                <w:sz w:val="4"/>
                <w:szCs w:val="4"/>
              </w:rPr>
            </w:r>
          </w:p>
        </w:tc>
      </w:tr>
      <w:tr>
        <w:trPr/>
        <w:tc>
          <w:tcPr>
            <w:tcW w:w="766" w:type="dxa"/>
            <w:vMerge w:val="restart"/>
            <w:tcBorders>
              <w:bottom w:val="single" w:sz="4" w:space="0" w:color="000000"/>
            </w:tcBorders>
            <w:tcMar>
              <w:top w:w="0" w:type="dxa"/>
              <w:left w:w="0" w:type="dxa"/>
              <w:right w:w="0" w:type="dxa"/>
            </w:tcMar>
            <w:vAlign w:val="center"/>
          </w:tcPr>
          <w:p>
            <w:pPr>
              <w:pStyle w:val="TableContents"/>
              <w:bidi w:val="0"/>
              <w:spacing w:before="240" w:after="283"/>
              <w:jc w:val="left"/>
              <w:rPr>
                <w:rFonts w:ascii="Times New Roman" w:hAnsi="Times New Roman"/>
                <w:color w:val="000000"/>
                <w:sz w:val="20"/>
              </w:rPr>
            </w:pPr>
            <w:r>
              <w:rPr>
                <w:rFonts w:ascii="Times New Roman" w:hAnsi="Times New Roman"/>
                <w:color w:val="000000"/>
                <w:sz w:val="20"/>
              </w:rPr>
              <w:t>Exhibit</w:t>
              <w:br/>
              <w:t>Number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4632" w:type="dxa"/>
            <w:vMerge w:val="restart"/>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Description of Document</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423" w:type="dxa"/>
            <w:gridSpan w:val="7"/>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Incorporated by Reference</w:t>
            </w:r>
          </w:p>
        </w:tc>
        <w:tc>
          <w:tcPr>
            <w:tcW w:w="146" w:type="dxa"/>
            <w:tcBorders/>
          </w:tcPr>
          <w:p>
            <w:pPr>
              <w:pStyle w:val="TableContents"/>
              <w:bidi w:val="0"/>
              <w:spacing w:before="0" w:after="283"/>
              <w:jc w:val="left"/>
              <w:rPr>
                <w:sz w:val="4"/>
                <w:szCs w:val="4"/>
              </w:rPr>
            </w:pPr>
            <w:r>
              <w:rPr>
                <w:sz w:val="4"/>
                <w:szCs w:val="4"/>
              </w:rPr>
            </w:r>
          </w:p>
        </w:tc>
        <w:tc>
          <w:tcPr>
            <w:tcW w:w="946" w:type="dxa"/>
            <w:tcBorders/>
          </w:tcPr>
          <w:p>
            <w:pPr>
              <w:pStyle w:val="TableContents"/>
              <w:bidi w:val="0"/>
              <w:spacing w:before="0" w:after="283"/>
              <w:jc w:val="left"/>
              <w:rPr>
                <w:sz w:val="4"/>
                <w:szCs w:val="4"/>
              </w:rPr>
            </w:pPr>
            <w:r>
              <w:rPr>
                <w:sz w:val="4"/>
                <w:szCs w:val="4"/>
              </w:rPr>
            </w:r>
          </w:p>
        </w:tc>
      </w:tr>
      <w:tr>
        <w:trPr/>
        <w:tc>
          <w:tcPr>
            <w:tcW w:w="766" w:type="dxa"/>
            <w:vMerge w:val="continue"/>
            <w:tcBorders>
              <w:bottom w:val="single" w:sz="4" w:space="0" w:color="000000"/>
            </w:tcBorders>
            <w:tcMar>
              <w:top w:w="0" w:type="dxa"/>
              <w:left w:w="0" w:type="dxa"/>
              <w:right w:w="0" w:type="dxa"/>
            </w:tcMar>
            <w:vAlign w:val="center"/>
          </w:tcPr>
          <w:p>
            <w:pPr>
              <w:pStyle w:val="Normal"/>
              <w:bidi w:val="0"/>
              <w:jc w:val="left"/>
              <w:rPr/>
            </w:pPr>
            <w:r>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632" w:type="dxa"/>
            <w:vMerge w:val="continue"/>
            <w:tcBorders>
              <w:bottom w:val="single" w:sz="4" w:space="0" w:color="000000"/>
            </w:tcBorders>
            <w:tcMar>
              <w:top w:w="0" w:type="dxa"/>
              <w:left w:w="0" w:type="dxa"/>
              <w:right w:w="0" w:type="dxa"/>
            </w:tcMar>
            <w:vAlign w:val="center"/>
          </w:tcPr>
          <w:p>
            <w:pPr>
              <w:pStyle w:val="Normal"/>
              <w:bidi w:val="0"/>
              <w:jc w:val="left"/>
              <w:rPr/>
            </w:pPr>
            <w:r>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465"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979" w:type="dxa"/>
            <w:tcBorders>
              <w:top w:val="single" w:sz="4" w:space="0" w:color="000000"/>
              <w:bottom w:val="single" w:sz="4" w:space="0" w:color="000000"/>
            </w:tcBorders>
            <w:tcMar>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Form</w:t>
            </w:r>
          </w:p>
        </w:tc>
        <w:tc>
          <w:tcPr>
            <w:tcW w:w="146" w:type="dxa"/>
            <w:tcBorders>
              <w:top w:val="single" w:sz="4" w:space="0" w:color="000000"/>
              <w:bottom w:val="single" w:sz="4" w:space="0" w:color="000000"/>
            </w:tcBorders>
            <w:tcMar>
              <w:left w:w="0" w:type="dxa"/>
              <w:right w:w="0" w:type="dxa"/>
            </w:tcMar>
            <w:vAlign w:val="center"/>
          </w:tcPr>
          <w:p>
            <w:pPr>
              <w:pStyle w:val="TableContents"/>
              <w:bidi w:val="0"/>
              <w:spacing w:before="0" w:after="283"/>
              <w:jc w:val="center"/>
              <w:rPr/>
            </w:pPr>
            <w:r>
              <w:rPr/>
              <w:t> </w:t>
            </w:r>
          </w:p>
        </w:tc>
        <w:tc>
          <w:tcPr>
            <w:tcW w:w="660" w:type="dxa"/>
            <w:tcBorders>
              <w:top w:val="single" w:sz="4" w:space="0" w:color="000000"/>
              <w:bottom w:val="single" w:sz="4" w:space="0" w:color="000000"/>
            </w:tcBorders>
            <w:tcMar>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File No.</w:t>
            </w:r>
          </w:p>
        </w:tc>
        <w:tc>
          <w:tcPr>
            <w:tcW w:w="146" w:type="dxa"/>
            <w:tcBorders>
              <w:top w:val="single" w:sz="4" w:space="0" w:color="000000"/>
              <w:bottom w:val="single" w:sz="4" w:space="0" w:color="000000"/>
            </w:tcBorders>
            <w:tcMar>
              <w:left w:w="0" w:type="dxa"/>
              <w:right w:w="0" w:type="dxa"/>
            </w:tcMar>
            <w:vAlign w:val="center"/>
          </w:tcPr>
          <w:p>
            <w:pPr>
              <w:pStyle w:val="TableContents"/>
              <w:bidi w:val="0"/>
              <w:spacing w:before="0" w:after="283"/>
              <w:jc w:val="center"/>
              <w:rPr/>
            </w:pPr>
            <w:r>
              <w:rPr/>
              <w:t> </w:t>
            </w:r>
          </w:p>
        </w:tc>
        <w:tc>
          <w:tcPr>
            <w:tcW w:w="881" w:type="dxa"/>
            <w:tcBorders>
              <w:top w:val="single" w:sz="4" w:space="0" w:color="000000"/>
              <w:bottom w:val="single" w:sz="4" w:space="0" w:color="000000"/>
            </w:tcBorders>
            <w:tcMar>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Exhibit</w:t>
            </w:r>
          </w:p>
        </w:tc>
        <w:tc>
          <w:tcPr>
            <w:tcW w:w="146" w:type="dxa"/>
            <w:tcBorders>
              <w:top w:val="single" w:sz="4" w:space="0" w:color="000000"/>
              <w:bottom w:val="single" w:sz="4" w:space="0" w:color="000000"/>
            </w:tcBorders>
            <w:tcMar>
              <w:left w:w="0" w:type="dxa"/>
              <w:right w:w="0" w:type="dxa"/>
            </w:tcMar>
            <w:vAlign w:val="center"/>
          </w:tcPr>
          <w:p>
            <w:pPr>
              <w:pStyle w:val="TableContents"/>
              <w:bidi w:val="0"/>
              <w:spacing w:before="0" w:after="283"/>
              <w:jc w:val="center"/>
              <w:rPr/>
            </w:pPr>
            <w:r>
              <w:rPr/>
              <w:t> </w:t>
            </w:r>
          </w:p>
        </w:tc>
        <w:tc>
          <w:tcPr>
            <w:tcW w:w="946" w:type="dxa"/>
            <w:tcBorders>
              <w:top w:val="single" w:sz="4" w:space="0" w:color="000000"/>
              <w:bottom w:val="single" w:sz="4" w:space="0" w:color="000000"/>
            </w:tcBorders>
            <w:tcMar>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Filing Date</w:t>
            </w:r>
          </w:p>
        </w:tc>
      </w:tr>
      <w:tr>
        <w:trPr/>
        <w:tc>
          <w:tcPr>
            <w:tcW w:w="7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3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6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7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6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8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92" w:type="dxa"/>
            <w:gridSpan w:val="2"/>
            <w:tcBorders/>
          </w:tcPr>
          <w:p>
            <w:pPr>
              <w:pStyle w:val="TableContents"/>
              <w:bidi w:val="0"/>
              <w:spacing w:before="0" w:after="283"/>
              <w:jc w:val="left"/>
              <w:rPr>
                <w:sz w:val="4"/>
                <w:szCs w:val="4"/>
              </w:rPr>
            </w:pPr>
            <w:r>
              <w:rPr>
                <w:sz w:val="4"/>
                <w:szCs w:val="4"/>
              </w:rPr>
            </w:r>
          </w:p>
        </w:tc>
      </w:tr>
      <w:tr>
        <w:trPr/>
        <w:tc>
          <w:tcPr>
            <w:tcW w:w="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32" w:type="dxa"/>
            <w:tcBorders/>
            <w:tcMar>
              <w:top w:w="0" w:type="dxa"/>
              <w:left w:w="0" w:type="dxa"/>
              <w:bottom w:w="0" w:type="dxa"/>
              <w:right w:w="0" w:type="dxa"/>
            </w:tcMar>
            <w:vAlign w:val="center"/>
          </w:tcPr>
          <w:p>
            <w:pPr>
              <w:pStyle w:val="TableContents"/>
              <w:bidi w:val="0"/>
              <w:spacing w:before="0" w:after="283"/>
              <w:jc w:val="left"/>
              <w:rPr/>
            </w:pPr>
            <w:hyperlink r:id="rId4">
              <w:r>
                <w:rPr>
                  <w:rStyle w:val="InternetLink"/>
                  <w:rFonts w:ascii="Times New Roman" w:hAnsi="Times New Roman"/>
                  <w:color w:val="0000FF"/>
                  <w:sz w:val="20"/>
                  <w:u w:val="single"/>
                </w:rPr>
                <w:t>Specimen common share certificate of the Registrant.</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6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S-1/A</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7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333-198666</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6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10/6/2014</w:t>
            </w:r>
          </w:p>
        </w:tc>
        <w:tc>
          <w:tcPr>
            <w:tcW w:w="1092" w:type="dxa"/>
            <w:gridSpan w:val="2"/>
            <w:tcBorders/>
          </w:tcPr>
          <w:p>
            <w:pPr>
              <w:pStyle w:val="TableContents"/>
              <w:bidi w:val="0"/>
              <w:spacing w:before="0" w:after="283"/>
              <w:jc w:val="left"/>
              <w:rPr>
                <w:sz w:val="4"/>
                <w:szCs w:val="4"/>
              </w:rPr>
            </w:pPr>
            <w:r>
              <w:rPr>
                <w:sz w:val="4"/>
                <w:szCs w:val="4"/>
              </w:rPr>
            </w:r>
          </w:p>
        </w:tc>
      </w:tr>
      <w:tr>
        <w:trPr/>
        <w:tc>
          <w:tcPr>
            <w:tcW w:w="7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3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6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7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6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8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92" w:type="dxa"/>
            <w:gridSpan w:val="2"/>
            <w:tcBorders/>
          </w:tcPr>
          <w:p>
            <w:pPr>
              <w:pStyle w:val="TableContents"/>
              <w:bidi w:val="0"/>
              <w:spacing w:before="0" w:after="283"/>
              <w:jc w:val="left"/>
              <w:rPr>
                <w:sz w:val="4"/>
                <w:szCs w:val="4"/>
              </w:rPr>
            </w:pPr>
            <w:r>
              <w:rPr>
                <w:sz w:val="4"/>
                <w:szCs w:val="4"/>
              </w:rPr>
            </w:r>
          </w:p>
        </w:tc>
      </w:tr>
      <w:tr>
        <w:trPr/>
        <w:tc>
          <w:tcPr>
            <w:tcW w:w="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32" w:type="dxa"/>
            <w:tcBorders/>
            <w:tcMar>
              <w:top w:w="0" w:type="dxa"/>
              <w:left w:w="0" w:type="dxa"/>
              <w:bottom w:w="0" w:type="dxa"/>
              <w:right w:w="0" w:type="dxa"/>
            </w:tcMar>
            <w:vAlign w:val="center"/>
          </w:tcPr>
          <w:p>
            <w:pPr>
              <w:pStyle w:val="TableContents"/>
              <w:bidi w:val="0"/>
              <w:spacing w:before="0" w:after="283"/>
              <w:jc w:val="left"/>
              <w:rPr/>
            </w:pPr>
            <w:hyperlink r:id="rId5">
              <w:r>
                <w:rPr>
                  <w:rStyle w:val="InternetLink"/>
                  <w:rFonts w:ascii="Times New Roman" w:hAnsi="Times New Roman"/>
                  <w:color w:val="0000FF"/>
                  <w:sz w:val="20"/>
                  <w:u w:val="single"/>
                </w:rPr>
                <w:t>Amended and Restated 2014 Equity Incentive Plan and related form agreement.</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6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7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001-36687</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6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6/5/2024</w:t>
            </w:r>
          </w:p>
        </w:tc>
        <w:tc>
          <w:tcPr>
            <w:tcW w:w="1092" w:type="dxa"/>
            <w:gridSpan w:val="2"/>
            <w:tcBorders/>
          </w:tcPr>
          <w:p>
            <w:pPr>
              <w:pStyle w:val="TableContents"/>
              <w:bidi w:val="0"/>
              <w:spacing w:before="0" w:after="283"/>
              <w:jc w:val="left"/>
              <w:rPr>
                <w:sz w:val="4"/>
                <w:szCs w:val="4"/>
              </w:rPr>
            </w:pPr>
            <w:r>
              <w:rPr>
                <w:sz w:val="4"/>
                <w:szCs w:val="4"/>
              </w:rPr>
            </w:r>
          </w:p>
        </w:tc>
      </w:tr>
      <w:tr>
        <w:trPr/>
        <w:tc>
          <w:tcPr>
            <w:tcW w:w="7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3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6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7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6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8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92" w:type="dxa"/>
            <w:gridSpan w:val="2"/>
            <w:tcBorders/>
          </w:tcPr>
          <w:p>
            <w:pPr>
              <w:pStyle w:val="TableContents"/>
              <w:bidi w:val="0"/>
              <w:spacing w:before="0" w:after="283"/>
              <w:jc w:val="left"/>
              <w:rPr>
                <w:sz w:val="4"/>
                <w:szCs w:val="4"/>
              </w:rPr>
            </w:pPr>
            <w:r>
              <w:rPr>
                <w:sz w:val="4"/>
                <w:szCs w:val="4"/>
              </w:rPr>
            </w:r>
          </w:p>
        </w:tc>
      </w:tr>
      <w:tr>
        <w:trPr/>
        <w:tc>
          <w:tcPr>
            <w:tcW w:w="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32" w:type="dxa"/>
            <w:tcBorders/>
            <w:tcMar>
              <w:top w:w="0" w:type="dxa"/>
              <w:left w:w="0" w:type="dxa"/>
              <w:bottom w:w="0" w:type="dxa"/>
              <w:right w:w="0" w:type="dxa"/>
            </w:tcMar>
            <w:vAlign w:val="center"/>
          </w:tcPr>
          <w:p>
            <w:pPr>
              <w:pStyle w:val="TableContents"/>
              <w:bidi w:val="0"/>
              <w:spacing w:before="0" w:after="283"/>
              <w:jc w:val="left"/>
              <w:rPr/>
            </w:pPr>
            <w:hyperlink r:id="rId6">
              <w:r>
                <w:rPr>
                  <w:rStyle w:val="InternetLink"/>
                  <w:rFonts w:ascii="Times New Roman" w:hAnsi="Times New Roman"/>
                  <w:color w:val="0000FF"/>
                  <w:sz w:val="20"/>
                  <w:u w:val="single"/>
                </w:rPr>
                <w:t>2026 Equity Incentive Plan and related form agreements.</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6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7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001-36687</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6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6/3/2026</w:t>
            </w:r>
          </w:p>
        </w:tc>
        <w:tc>
          <w:tcPr>
            <w:tcW w:w="1092" w:type="dxa"/>
            <w:gridSpan w:val="2"/>
            <w:tcBorders/>
          </w:tcPr>
          <w:p>
            <w:pPr>
              <w:pStyle w:val="TableContents"/>
              <w:bidi w:val="0"/>
              <w:spacing w:before="0" w:after="283"/>
              <w:jc w:val="left"/>
              <w:rPr>
                <w:sz w:val="4"/>
                <w:szCs w:val="4"/>
              </w:rPr>
            </w:pPr>
            <w:r>
              <w:rPr>
                <w:sz w:val="4"/>
                <w:szCs w:val="4"/>
              </w:rPr>
            </w:r>
          </w:p>
        </w:tc>
      </w:tr>
      <w:tr>
        <w:trPr/>
        <w:tc>
          <w:tcPr>
            <w:tcW w:w="7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3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6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7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6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8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92" w:type="dxa"/>
            <w:gridSpan w:val="2"/>
            <w:tcBorders/>
          </w:tcPr>
          <w:p>
            <w:pPr>
              <w:pStyle w:val="TableContents"/>
              <w:bidi w:val="0"/>
              <w:spacing w:before="0" w:after="283"/>
              <w:jc w:val="left"/>
              <w:rPr>
                <w:sz w:val="4"/>
                <w:szCs w:val="4"/>
              </w:rPr>
            </w:pPr>
            <w:r>
              <w:rPr>
                <w:sz w:val="4"/>
                <w:szCs w:val="4"/>
              </w:rPr>
            </w:r>
          </w:p>
        </w:tc>
      </w:tr>
      <w:tr>
        <w:trPr/>
        <w:tc>
          <w:tcPr>
            <w:tcW w:w="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5.1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32" w:type="dxa"/>
            <w:tcBorders/>
            <w:tcMar>
              <w:top w:w="0" w:type="dxa"/>
              <w:left w:w="0" w:type="dxa"/>
              <w:bottom w:w="0" w:type="dxa"/>
              <w:right w:w="0" w:type="dxa"/>
            </w:tcMar>
            <w:vAlign w:val="center"/>
          </w:tcPr>
          <w:p>
            <w:pPr>
              <w:pStyle w:val="TableContents"/>
              <w:bidi w:val="0"/>
              <w:spacing w:before="0" w:after="283"/>
              <w:jc w:val="left"/>
              <w:rPr/>
            </w:pPr>
            <w:hyperlink w:anchor="xene-ex5_1.htm">
              <w:r>
                <w:rPr>
                  <w:rStyle w:val="InternetLink"/>
                  <w:rFonts w:ascii="Times New Roman" w:hAnsi="Times New Roman"/>
                  <w:color w:val="0000FF"/>
                  <w:sz w:val="20"/>
                  <w:u w:val="single"/>
                </w:rPr>
                <w:t>Opinion of Blake, Cassels &amp; Graydon LLP.</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6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7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6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8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92" w:type="dxa"/>
            <w:gridSpan w:val="2"/>
            <w:tcBorders/>
          </w:tcPr>
          <w:p>
            <w:pPr>
              <w:pStyle w:val="TableContents"/>
              <w:bidi w:val="0"/>
              <w:spacing w:before="0" w:after="283"/>
              <w:jc w:val="left"/>
              <w:rPr>
                <w:sz w:val="4"/>
                <w:szCs w:val="4"/>
              </w:rPr>
            </w:pPr>
            <w:r>
              <w:rPr>
                <w:sz w:val="4"/>
                <w:szCs w:val="4"/>
              </w:rPr>
            </w:r>
          </w:p>
        </w:tc>
      </w:tr>
      <w:tr>
        <w:trPr/>
        <w:tc>
          <w:tcPr>
            <w:tcW w:w="7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3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6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7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6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8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92" w:type="dxa"/>
            <w:gridSpan w:val="2"/>
            <w:tcBorders/>
          </w:tcPr>
          <w:p>
            <w:pPr>
              <w:pStyle w:val="TableContents"/>
              <w:bidi w:val="0"/>
              <w:spacing w:before="0" w:after="283"/>
              <w:jc w:val="left"/>
              <w:rPr>
                <w:sz w:val="4"/>
                <w:szCs w:val="4"/>
              </w:rPr>
            </w:pPr>
            <w:r>
              <w:rPr>
                <w:sz w:val="4"/>
                <w:szCs w:val="4"/>
              </w:rPr>
            </w:r>
          </w:p>
        </w:tc>
      </w:tr>
      <w:tr>
        <w:trPr/>
        <w:tc>
          <w:tcPr>
            <w:tcW w:w="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5.2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32" w:type="dxa"/>
            <w:tcBorders/>
            <w:tcMar>
              <w:top w:w="0" w:type="dxa"/>
              <w:left w:w="0" w:type="dxa"/>
              <w:bottom w:w="0" w:type="dxa"/>
              <w:right w:w="0" w:type="dxa"/>
            </w:tcMar>
            <w:vAlign w:val="center"/>
          </w:tcPr>
          <w:p>
            <w:pPr>
              <w:pStyle w:val="TableContents"/>
              <w:bidi w:val="0"/>
              <w:spacing w:before="0" w:after="283"/>
              <w:jc w:val="left"/>
              <w:rPr/>
            </w:pPr>
            <w:hyperlink r:id="rId7">
              <w:r>
                <w:rPr>
                  <w:rStyle w:val="InternetLink"/>
                  <w:rFonts w:ascii="Times New Roman" w:hAnsi="Times New Roman"/>
                  <w:color w:val="0000FF"/>
                  <w:sz w:val="20"/>
                  <w:u w:val="single"/>
                </w:rPr>
                <w:t>Opinion of McCarthy Tétrault LLP.</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6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S-8</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7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333-199860</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6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11/5/2014</w:t>
            </w:r>
          </w:p>
        </w:tc>
        <w:tc>
          <w:tcPr>
            <w:tcW w:w="1092" w:type="dxa"/>
            <w:gridSpan w:val="2"/>
            <w:tcBorders/>
          </w:tcPr>
          <w:p>
            <w:pPr>
              <w:pStyle w:val="TableContents"/>
              <w:bidi w:val="0"/>
              <w:spacing w:before="0" w:after="283"/>
              <w:jc w:val="left"/>
              <w:rPr>
                <w:sz w:val="4"/>
                <w:szCs w:val="4"/>
              </w:rPr>
            </w:pPr>
            <w:r>
              <w:rPr>
                <w:sz w:val="4"/>
                <w:szCs w:val="4"/>
              </w:rPr>
            </w:r>
          </w:p>
        </w:tc>
      </w:tr>
      <w:tr>
        <w:trPr/>
        <w:tc>
          <w:tcPr>
            <w:tcW w:w="7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3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6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7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6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8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92" w:type="dxa"/>
            <w:gridSpan w:val="2"/>
            <w:tcBorders/>
          </w:tcPr>
          <w:p>
            <w:pPr>
              <w:pStyle w:val="TableContents"/>
              <w:bidi w:val="0"/>
              <w:spacing w:before="0" w:after="283"/>
              <w:jc w:val="left"/>
              <w:rPr>
                <w:sz w:val="4"/>
                <w:szCs w:val="4"/>
              </w:rPr>
            </w:pPr>
            <w:r>
              <w:rPr>
                <w:sz w:val="4"/>
                <w:szCs w:val="4"/>
              </w:rPr>
            </w:r>
          </w:p>
        </w:tc>
      </w:tr>
      <w:tr>
        <w:trPr/>
        <w:tc>
          <w:tcPr>
            <w:tcW w:w="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5.3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32" w:type="dxa"/>
            <w:tcBorders/>
            <w:tcMar>
              <w:top w:w="0" w:type="dxa"/>
              <w:left w:w="0" w:type="dxa"/>
              <w:bottom w:w="0" w:type="dxa"/>
              <w:right w:w="0" w:type="dxa"/>
            </w:tcMar>
            <w:vAlign w:val="center"/>
          </w:tcPr>
          <w:p>
            <w:pPr>
              <w:pStyle w:val="TableContents"/>
              <w:bidi w:val="0"/>
              <w:spacing w:before="0" w:after="283"/>
              <w:jc w:val="left"/>
              <w:rPr/>
            </w:pPr>
            <w:hyperlink r:id="rId8">
              <w:r>
                <w:rPr>
                  <w:rStyle w:val="InternetLink"/>
                  <w:rFonts w:ascii="Times New Roman" w:hAnsi="Times New Roman"/>
                  <w:color w:val="0000FF"/>
                  <w:sz w:val="20"/>
                  <w:u w:val="single"/>
                </w:rPr>
                <w:t>Opinion of McCarthy Tétrault LLP.</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6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S-8</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7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333-202765</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6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3/16/2015</w:t>
            </w:r>
          </w:p>
        </w:tc>
        <w:tc>
          <w:tcPr>
            <w:tcW w:w="1092" w:type="dxa"/>
            <w:gridSpan w:val="2"/>
            <w:tcBorders/>
          </w:tcPr>
          <w:p>
            <w:pPr>
              <w:pStyle w:val="TableContents"/>
              <w:bidi w:val="0"/>
              <w:spacing w:before="0" w:after="283"/>
              <w:jc w:val="left"/>
              <w:rPr>
                <w:sz w:val="4"/>
                <w:szCs w:val="4"/>
              </w:rPr>
            </w:pPr>
            <w:r>
              <w:rPr>
                <w:sz w:val="4"/>
                <w:szCs w:val="4"/>
              </w:rPr>
            </w:r>
          </w:p>
        </w:tc>
      </w:tr>
      <w:tr>
        <w:trPr/>
        <w:tc>
          <w:tcPr>
            <w:tcW w:w="7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3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6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7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6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8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92" w:type="dxa"/>
            <w:gridSpan w:val="2"/>
            <w:tcBorders/>
          </w:tcPr>
          <w:p>
            <w:pPr>
              <w:pStyle w:val="TableContents"/>
              <w:bidi w:val="0"/>
              <w:spacing w:before="0" w:after="283"/>
              <w:jc w:val="left"/>
              <w:rPr>
                <w:sz w:val="4"/>
                <w:szCs w:val="4"/>
              </w:rPr>
            </w:pPr>
            <w:r>
              <w:rPr>
                <w:sz w:val="4"/>
                <w:szCs w:val="4"/>
              </w:rPr>
            </w:r>
          </w:p>
        </w:tc>
      </w:tr>
      <w:tr>
        <w:trPr/>
        <w:tc>
          <w:tcPr>
            <w:tcW w:w="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5.4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32" w:type="dxa"/>
            <w:tcBorders/>
            <w:tcMar>
              <w:top w:w="0" w:type="dxa"/>
              <w:left w:w="0" w:type="dxa"/>
              <w:bottom w:w="0" w:type="dxa"/>
              <w:right w:w="0" w:type="dxa"/>
            </w:tcMar>
            <w:vAlign w:val="center"/>
          </w:tcPr>
          <w:p>
            <w:pPr>
              <w:pStyle w:val="TableContents"/>
              <w:bidi w:val="0"/>
              <w:spacing w:before="0" w:after="283"/>
              <w:jc w:val="left"/>
              <w:rPr/>
            </w:pPr>
            <w:hyperlink r:id="rId9">
              <w:r>
                <w:rPr>
                  <w:rStyle w:val="InternetLink"/>
                  <w:rFonts w:ascii="Times New Roman" w:hAnsi="Times New Roman"/>
                  <w:color w:val="0000FF"/>
                  <w:sz w:val="20"/>
                  <w:u w:val="single"/>
                </w:rPr>
                <w:t>Opinion of McCarthy Tétrault LLP.</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6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S-8</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7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333-210050</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6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3/9/2016</w:t>
            </w:r>
          </w:p>
        </w:tc>
        <w:tc>
          <w:tcPr>
            <w:tcW w:w="1092" w:type="dxa"/>
            <w:gridSpan w:val="2"/>
            <w:tcBorders/>
          </w:tcPr>
          <w:p>
            <w:pPr>
              <w:pStyle w:val="TableContents"/>
              <w:bidi w:val="0"/>
              <w:spacing w:before="0" w:after="283"/>
              <w:jc w:val="left"/>
              <w:rPr>
                <w:sz w:val="4"/>
                <w:szCs w:val="4"/>
              </w:rPr>
            </w:pPr>
            <w:r>
              <w:rPr>
                <w:sz w:val="4"/>
                <w:szCs w:val="4"/>
              </w:rPr>
            </w:r>
          </w:p>
        </w:tc>
      </w:tr>
      <w:tr>
        <w:trPr/>
        <w:tc>
          <w:tcPr>
            <w:tcW w:w="7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3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6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7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6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8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92" w:type="dxa"/>
            <w:gridSpan w:val="2"/>
            <w:tcBorders/>
          </w:tcPr>
          <w:p>
            <w:pPr>
              <w:pStyle w:val="TableContents"/>
              <w:bidi w:val="0"/>
              <w:spacing w:before="0" w:after="283"/>
              <w:jc w:val="left"/>
              <w:rPr>
                <w:sz w:val="4"/>
                <w:szCs w:val="4"/>
              </w:rPr>
            </w:pPr>
            <w:r>
              <w:rPr>
                <w:sz w:val="4"/>
                <w:szCs w:val="4"/>
              </w:rPr>
            </w:r>
          </w:p>
        </w:tc>
      </w:tr>
      <w:tr>
        <w:trPr/>
        <w:tc>
          <w:tcPr>
            <w:tcW w:w="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5.5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32" w:type="dxa"/>
            <w:tcBorders/>
            <w:tcMar>
              <w:top w:w="0" w:type="dxa"/>
              <w:left w:w="0" w:type="dxa"/>
              <w:bottom w:w="0" w:type="dxa"/>
              <w:right w:w="0" w:type="dxa"/>
            </w:tcMar>
            <w:vAlign w:val="center"/>
          </w:tcPr>
          <w:p>
            <w:pPr>
              <w:pStyle w:val="TableContents"/>
              <w:bidi w:val="0"/>
              <w:spacing w:before="0" w:after="283"/>
              <w:jc w:val="left"/>
              <w:rPr/>
            </w:pPr>
            <w:hyperlink r:id="rId10">
              <w:r>
                <w:rPr>
                  <w:rStyle w:val="InternetLink"/>
                  <w:rFonts w:ascii="Times New Roman" w:hAnsi="Times New Roman"/>
                  <w:color w:val="0000FF"/>
                  <w:sz w:val="20"/>
                  <w:u w:val="single"/>
                </w:rPr>
                <w:t>Opinion of McCarthy Tétrault LLP.</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6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S-8</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7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333-216543</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6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3/8/2017</w:t>
            </w:r>
          </w:p>
        </w:tc>
        <w:tc>
          <w:tcPr>
            <w:tcW w:w="1092" w:type="dxa"/>
            <w:gridSpan w:val="2"/>
            <w:tcBorders/>
          </w:tcPr>
          <w:p>
            <w:pPr>
              <w:pStyle w:val="TableContents"/>
              <w:bidi w:val="0"/>
              <w:spacing w:before="0" w:after="283"/>
              <w:jc w:val="left"/>
              <w:rPr>
                <w:sz w:val="4"/>
                <w:szCs w:val="4"/>
              </w:rPr>
            </w:pPr>
            <w:r>
              <w:rPr>
                <w:sz w:val="4"/>
                <w:szCs w:val="4"/>
              </w:rPr>
            </w:r>
          </w:p>
        </w:tc>
      </w:tr>
    </w:tbl>
    <w:p>
      <w:pPr>
        <w:pStyle w:val="TextBody"/>
        <w:bidi w:val="0"/>
        <w:jc w:val="center"/>
        <w:rPr>
          <w:rFonts w:ascii="Times New Roman" w:hAnsi="Times New Roman"/>
          <w:color w:val="000000"/>
          <w:sz w:val="21"/>
        </w:rPr>
      </w:pPr>
      <w:r>
        <w:rPr>
          <w:rFonts w:ascii="Times New Roman" w:hAnsi="Times New Roman"/>
          <w:color w:val="000000"/>
          <w:sz w:val="21"/>
        </w:rPr>
        <w:t>-4-</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66"/>
        <w:gridCol w:w="146"/>
        <w:gridCol w:w="4946"/>
        <w:gridCol w:w="146"/>
        <w:gridCol w:w="326"/>
        <w:gridCol w:w="146"/>
        <w:gridCol w:w="934"/>
        <w:gridCol w:w="146"/>
        <w:gridCol w:w="610"/>
        <w:gridCol w:w="146"/>
        <w:gridCol w:w="854"/>
        <w:gridCol w:w="146"/>
        <w:gridCol w:w="893"/>
      </w:tblGrid>
      <w:tr>
        <w:trPr/>
        <w:tc>
          <w:tcPr>
            <w:tcW w:w="76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49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32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934"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10"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854"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tcPr>
          <w:p>
            <w:pPr>
              <w:pStyle w:val="TableContents"/>
              <w:bidi w:val="0"/>
              <w:spacing w:before="0" w:after="283"/>
              <w:jc w:val="left"/>
              <w:rPr>
                <w:sz w:val="4"/>
                <w:szCs w:val="4"/>
              </w:rPr>
            </w:pPr>
            <w:r>
              <w:rPr>
                <w:sz w:val="4"/>
                <w:szCs w:val="4"/>
              </w:rPr>
            </w:r>
          </w:p>
        </w:tc>
        <w:tc>
          <w:tcPr>
            <w:tcW w:w="893" w:type="dxa"/>
            <w:tcBorders/>
            <w:shd w:fill="FFFFFF" w:val="clear"/>
          </w:tcPr>
          <w:p>
            <w:pPr>
              <w:pStyle w:val="TableContents"/>
              <w:bidi w:val="0"/>
              <w:spacing w:before="0" w:after="283"/>
              <w:jc w:val="left"/>
              <w:rPr>
                <w:sz w:val="4"/>
                <w:szCs w:val="4"/>
              </w:rPr>
            </w:pPr>
            <w:r>
              <w:rPr>
                <w:sz w:val="4"/>
                <w:szCs w:val="4"/>
              </w:rPr>
            </w:r>
          </w:p>
        </w:tc>
      </w:tr>
      <w:tr>
        <w:trPr/>
        <w:tc>
          <w:tcPr>
            <w:tcW w:w="766" w:type="dxa"/>
            <w:vMerge w:val="restart"/>
            <w:tcBorders>
              <w:bottom w:val="single" w:sz="4" w:space="0" w:color="000000"/>
            </w:tcBorders>
            <w:tcMar>
              <w:top w:w="0" w:type="dxa"/>
              <w:left w:w="0" w:type="dxa"/>
              <w:right w:w="0" w:type="dxa"/>
            </w:tcMar>
            <w:vAlign w:val="center"/>
          </w:tcPr>
          <w:p>
            <w:pPr>
              <w:pStyle w:val="TableContents"/>
              <w:bidi w:val="0"/>
              <w:spacing w:before="240" w:after="283"/>
              <w:jc w:val="left"/>
              <w:rPr>
                <w:rFonts w:ascii="Times New Roman" w:hAnsi="Times New Roman"/>
                <w:color w:val="000000"/>
                <w:sz w:val="20"/>
              </w:rPr>
            </w:pPr>
            <w:r>
              <w:rPr>
                <w:rFonts w:ascii="Times New Roman" w:hAnsi="Times New Roman"/>
                <w:color w:val="000000"/>
                <w:sz w:val="20"/>
              </w:rPr>
              <w:t>Exhibit</w:t>
              <w:br/>
              <w:t>Number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4946" w:type="dxa"/>
            <w:vMerge w:val="restart"/>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Description of Document</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162" w:type="dxa"/>
            <w:gridSpan w:val="7"/>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Incorporated by Reference</w:t>
            </w:r>
          </w:p>
        </w:tc>
        <w:tc>
          <w:tcPr>
            <w:tcW w:w="146" w:type="dxa"/>
            <w:tcBorders/>
          </w:tcPr>
          <w:p>
            <w:pPr>
              <w:pStyle w:val="TableContents"/>
              <w:bidi w:val="0"/>
              <w:spacing w:before="0" w:after="283"/>
              <w:jc w:val="left"/>
              <w:rPr>
                <w:sz w:val="4"/>
                <w:szCs w:val="4"/>
              </w:rPr>
            </w:pPr>
            <w:r>
              <w:rPr>
                <w:sz w:val="4"/>
                <w:szCs w:val="4"/>
              </w:rPr>
            </w:r>
          </w:p>
        </w:tc>
        <w:tc>
          <w:tcPr>
            <w:tcW w:w="893" w:type="dxa"/>
            <w:tcBorders/>
          </w:tcPr>
          <w:p>
            <w:pPr>
              <w:pStyle w:val="TableContents"/>
              <w:bidi w:val="0"/>
              <w:spacing w:before="0" w:after="283"/>
              <w:jc w:val="left"/>
              <w:rPr>
                <w:sz w:val="4"/>
                <w:szCs w:val="4"/>
              </w:rPr>
            </w:pPr>
            <w:r>
              <w:rPr>
                <w:sz w:val="4"/>
                <w:szCs w:val="4"/>
              </w:rPr>
            </w:r>
          </w:p>
        </w:tc>
      </w:tr>
      <w:tr>
        <w:trPr/>
        <w:tc>
          <w:tcPr>
            <w:tcW w:w="766" w:type="dxa"/>
            <w:vMerge w:val="continue"/>
            <w:tcBorders>
              <w:bottom w:val="single" w:sz="4" w:space="0" w:color="000000"/>
            </w:tcBorders>
            <w:tcMar>
              <w:top w:w="0" w:type="dxa"/>
              <w:left w:w="0" w:type="dxa"/>
              <w:right w:w="0" w:type="dxa"/>
            </w:tcMar>
            <w:vAlign w:val="center"/>
          </w:tcPr>
          <w:p>
            <w:pPr>
              <w:pStyle w:val="Normal"/>
              <w:bidi w:val="0"/>
              <w:jc w:val="left"/>
              <w:rPr/>
            </w:pPr>
            <w:r>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946" w:type="dxa"/>
            <w:vMerge w:val="continue"/>
            <w:tcBorders>
              <w:bottom w:val="single" w:sz="4" w:space="0" w:color="000000"/>
            </w:tcBorders>
            <w:tcMar>
              <w:top w:w="0" w:type="dxa"/>
              <w:left w:w="0" w:type="dxa"/>
              <w:right w:w="0" w:type="dxa"/>
            </w:tcMar>
            <w:vAlign w:val="center"/>
          </w:tcPr>
          <w:p>
            <w:pPr>
              <w:pStyle w:val="Normal"/>
              <w:bidi w:val="0"/>
              <w:jc w:val="left"/>
              <w:rPr/>
            </w:pPr>
            <w:r>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2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934" w:type="dxa"/>
            <w:tcBorders>
              <w:top w:val="single" w:sz="4" w:space="0" w:color="000000"/>
              <w:bottom w:val="single" w:sz="4" w:space="0" w:color="000000"/>
            </w:tcBorders>
            <w:tcMar>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Form</w:t>
            </w:r>
          </w:p>
        </w:tc>
        <w:tc>
          <w:tcPr>
            <w:tcW w:w="146" w:type="dxa"/>
            <w:tcBorders>
              <w:top w:val="single" w:sz="4" w:space="0" w:color="000000"/>
              <w:bottom w:val="single" w:sz="4" w:space="0" w:color="000000"/>
            </w:tcBorders>
            <w:tcMar>
              <w:left w:w="0" w:type="dxa"/>
              <w:right w:w="0" w:type="dxa"/>
            </w:tcMar>
            <w:vAlign w:val="center"/>
          </w:tcPr>
          <w:p>
            <w:pPr>
              <w:pStyle w:val="TableContents"/>
              <w:bidi w:val="0"/>
              <w:spacing w:before="0" w:after="283"/>
              <w:jc w:val="center"/>
              <w:rPr/>
            </w:pPr>
            <w:r>
              <w:rPr/>
              <w:t> </w:t>
            </w:r>
          </w:p>
        </w:tc>
        <w:tc>
          <w:tcPr>
            <w:tcW w:w="610" w:type="dxa"/>
            <w:tcBorders>
              <w:top w:val="single" w:sz="4" w:space="0" w:color="000000"/>
              <w:bottom w:val="single" w:sz="4" w:space="0" w:color="000000"/>
            </w:tcBorders>
            <w:tcMar>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File No.</w:t>
            </w:r>
          </w:p>
        </w:tc>
        <w:tc>
          <w:tcPr>
            <w:tcW w:w="146" w:type="dxa"/>
            <w:tcBorders>
              <w:top w:val="single" w:sz="4" w:space="0" w:color="000000"/>
              <w:bottom w:val="single" w:sz="4" w:space="0" w:color="000000"/>
            </w:tcBorders>
            <w:tcMar>
              <w:left w:w="0" w:type="dxa"/>
              <w:right w:w="0" w:type="dxa"/>
            </w:tcMar>
            <w:vAlign w:val="center"/>
          </w:tcPr>
          <w:p>
            <w:pPr>
              <w:pStyle w:val="TableContents"/>
              <w:bidi w:val="0"/>
              <w:spacing w:before="0" w:after="283"/>
              <w:jc w:val="center"/>
              <w:rPr/>
            </w:pPr>
            <w:r>
              <w:rPr/>
              <w:t> </w:t>
            </w:r>
          </w:p>
        </w:tc>
        <w:tc>
          <w:tcPr>
            <w:tcW w:w="854" w:type="dxa"/>
            <w:tcBorders>
              <w:top w:val="single" w:sz="4" w:space="0" w:color="000000"/>
              <w:bottom w:val="single" w:sz="4" w:space="0" w:color="000000"/>
            </w:tcBorders>
            <w:tcMar>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Exhibit</w:t>
            </w:r>
          </w:p>
        </w:tc>
        <w:tc>
          <w:tcPr>
            <w:tcW w:w="146" w:type="dxa"/>
            <w:tcBorders>
              <w:top w:val="single" w:sz="4" w:space="0" w:color="000000"/>
              <w:bottom w:val="single" w:sz="4" w:space="0" w:color="000000"/>
            </w:tcBorders>
            <w:tcMar>
              <w:left w:w="0" w:type="dxa"/>
              <w:right w:w="0" w:type="dxa"/>
            </w:tcMar>
            <w:vAlign w:val="center"/>
          </w:tcPr>
          <w:p>
            <w:pPr>
              <w:pStyle w:val="TableContents"/>
              <w:bidi w:val="0"/>
              <w:spacing w:before="0" w:after="283"/>
              <w:jc w:val="center"/>
              <w:rPr/>
            </w:pPr>
            <w:r>
              <w:rPr/>
              <w:t> </w:t>
            </w:r>
          </w:p>
        </w:tc>
        <w:tc>
          <w:tcPr>
            <w:tcW w:w="893" w:type="dxa"/>
            <w:tcBorders>
              <w:top w:val="single" w:sz="4" w:space="0" w:color="000000"/>
              <w:bottom w:val="single" w:sz="4" w:space="0" w:color="000000"/>
            </w:tcBorders>
            <w:tcMar>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Filing Date</w:t>
            </w:r>
          </w:p>
        </w:tc>
      </w:tr>
      <w:tr>
        <w:trPr/>
        <w:tc>
          <w:tcPr>
            <w:tcW w:w="7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9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1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5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39" w:type="dxa"/>
            <w:gridSpan w:val="2"/>
            <w:tcBorders/>
          </w:tcPr>
          <w:p>
            <w:pPr>
              <w:pStyle w:val="TableContents"/>
              <w:bidi w:val="0"/>
              <w:spacing w:before="0" w:after="283"/>
              <w:jc w:val="left"/>
              <w:rPr>
                <w:sz w:val="4"/>
                <w:szCs w:val="4"/>
              </w:rPr>
            </w:pPr>
            <w:r>
              <w:rPr>
                <w:sz w:val="4"/>
                <w:szCs w:val="4"/>
              </w:rPr>
            </w:r>
          </w:p>
        </w:tc>
      </w:tr>
      <w:tr>
        <w:trPr/>
        <w:tc>
          <w:tcPr>
            <w:tcW w:w="7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9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1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5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39" w:type="dxa"/>
            <w:gridSpan w:val="2"/>
            <w:tcBorders/>
          </w:tcPr>
          <w:p>
            <w:pPr>
              <w:pStyle w:val="TableContents"/>
              <w:bidi w:val="0"/>
              <w:spacing w:before="0" w:after="283"/>
              <w:jc w:val="left"/>
              <w:rPr>
                <w:sz w:val="4"/>
                <w:szCs w:val="4"/>
              </w:rPr>
            </w:pPr>
            <w:r>
              <w:rPr>
                <w:sz w:val="4"/>
                <w:szCs w:val="4"/>
              </w:rPr>
            </w:r>
          </w:p>
        </w:tc>
      </w:tr>
      <w:tr>
        <w:trPr/>
        <w:tc>
          <w:tcPr>
            <w:tcW w:w="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5.6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946" w:type="dxa"/>
            <w:tcBorders/>
            <w:tcMar>
              <w:top w:w="0" w:type="dxa"/>
              <w:left w:w="0" w:type="dxa"/>
              <w:bottom w:w="0" w:type="dxa"/>
              <w:right w:w="0" w:type="dxa"/>
            </w:tcMar>
            <w:vAlign w:val="center"/>
          </w:tcPr>
          <w:p>
            <w:pPr>
              <w:pStyle w:val="TableContents"/>
              <w:bidi w:val="0"/>
              <w:spacing w:before="0" w:after="283"/>
              <w:jc w:val="left"/>
              <w:rPr/>
            </w:pPr>
            <w:hyperlink r:id="rId11">
              <w:r>
                <w:rPr>
                  <w:rStyle w:val="InternetLink"/>
                  <w:rFonts w:ascii="Times New Roman" w:hAnsi="Times New Roman"/>
                  <w:color w:val="0000FF"/>
                  <w:sz w:val="20"/>
                  <w:u w:val="single"/>
                </w:rPr>
                <w:t>Opinion of McCarthy Tétrault LLP.</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S-8</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333-223497</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1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5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3/7/2018</w:t>
            </w:r>
          </w:p>
        </w:tc>
        <w:tc>
          <w:tcPr>
            <w:tcW w:w="1039" w:type="dxa"/>
            <w:gridSpan w:val="2"/>
            <w:tcBorders/>
          </w:tcPr>
          <w:p>
            <w:pPr>
              <w:pStyle w:val="TableContents"/>
              <w:bidi w:val="0"/>
              <w:spacing w:before="0" w:after="283"/>
              <w:jc w:val="left"/>
              <w:rPr>
                <w:sz w:val="4"/>
                <w:szCs w:val="4"/>
              </w:rPr>
            </w:pPr>
            <w:r>
              <w:rPr>
                <w:sz w:val="4"/>
                <w:szCs w:val="4"/>
              </w:rPr>
            </w:r>
          </w:p>
        </w:tc>
      </w:tr>
      <w:tr>
        <w:trPr/>
        <w:tc>
          <w:tcPr>
            <w:tcW w:w="7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9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1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5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39" w:type="dxa"/>
            <w:gridSpan w:val="2"/>
            <w:tcBorders/>
          </w:tcPr>
          <w:p>
            <w:pPr>
              <w:pStyle w:val="TableContents"/>
              <w:bidi w:val="0"/>
              <w:spacing w:before="0" w:after="283"/>
              <w:jc w:val="left"/>
              <w:rPr>
                <w:sz w:val="4"/>
                <w:szCs w:val="4"/>
              </w:rPr>
            </w:pPr>
            <w:r>
              <w:rPr>
                <w:sz w:val="4"/>
                <w:szCs w:val="4"/>
              </w:rPr>
            </w:r>
          </w:p>
        </w:tc>
      </w:tr>
      <w:tr>
        <w:trPr/>
        <w:tc>
          <w:tcPr>
            <w:tcW w:w="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5.7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946" w:type="dxa"/>
            <w:tcBorders/>
            <w:tcMar>
              <w:top w:w="0" w:type="dxa"/>
              <w:left w:w="0" w:type="dxa"/>
              <w:bottom w:w="0" w:type="dxa"/>
              <w:right w:w="0" w:type="dxa"/>
            </w:tcMar>
            <w:vAlign w:val="center"/>
          </w:tcPr>
          <w:p>
            <w:pPr>
              <w:pStyle w:val="TableContents"/>
              <w:bidi w:val="0"/>
              <w:spacing w:before="0" w:after="283"/>
              <w:jc w:val="left"/>
              <w:rPr/>
            </w:pPr>
            <w:hyperlink r:id="rId12">
              <w:r>
                <w:rPr>
                  <w:rStyle w:val="InternetLink"/>
                  <w:rFonts w:ascii="Times New Roman" w:hAnsi="Times New Roman"/>
                  <w:color w:val="0000FF"/>
                  <w:sz w:val="20"/>
                  <w:u w:val="single"/>
                </w:rPr>
                <w:t>Opinion of Blake, Cassels &amp; Graydon LLP.</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S-8</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333-230103</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1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5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3/6/2019</w:t>
            </w:r>
          </w:p>
        </w:tc>
        <w:tc>
          <w:tcPr>
            <w:tcW w:w="1039" w:type="dxa"/>
            <w:gridSpan w:val="2"/>
            <w:tcBorders/>
          </w:tcPr>
          <w:p>
            <w:pPr>
              <w:pStyle w:val="TableContents"/>
              <w:bidi w:val="0"/>
              <w:spacing w:before="0" w:after="283"/>
              <w:jc w:val="left"/>
              <w:rPr>
                <w:sz w:val="4"/>
                <w:szCs w:val="4"/>
              </w:rPr>
            </w:pPr>
            <w:r>
              <w:rPr>
                <w:sz w:val="4"/>
                <w:szCs w:val="4"/>
              </w:rPr>
            </w:r>
          </w:p>
        </w:tc>
      </w:tr>
      <w:tr>
        <w:trPr/>
        <w:tc>
          <w:tcPr>
            <w:tcW w:w="7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9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1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5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39" w:type="dxa"/>
            <w:gridSpan w:val="2"/>
            <w:tcBorders/>
          </w:tcPr>
          <w:p>
            <w:pPr>
              <w:pStyle w:val="TableContents"/>
              <w:bidi w:val="0"/>
              <w:spacing w:before="0" w:after="283"/>
              <w:jc w:val="left"/>
              <w:rPr>
                <w:sz w:val="4"/>
                <w:szCs w:val="4"/>
              </w:rPr>
            </w:pPr>
            <w:r>
              <w:rPr>
                <w:sz w:val="4"/>
                <w:szCs w:val="4"/>
              </w:rPr>
            </w:r>
          </w:p>
        </w:tc>
      </w:tr>
      <w:tr>
        <w:trPr/>
        <w:tc>
          <w:tcPr>
            <w:tcW w:w="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5.8</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946" w:type="dxa"/>
            <w:tcBorders/>
            <w:tcMar>
              <w:top w:w="0" w:type="dxa"/>
              <w:left w:w="0" w:type="dxa"/>
              <w:bottom w:w="0" w:type="dxa"/>
              <w:right w:w="0" w:type="dxa"/>
            </w:tcMar>
            <w:vAlign w:val="center"/>
          </w:tcPr>
          <w:p>
            <w:pPr>
              <w:pStyle w:val="TableContents"/>
              <w:bidi w:val="0"/>
              <w:spacing w:before="0" w:after="283"/>
              <w:jc w:val="left"/>
              <w:rPr/>
            </w:pPr>
            <w:hyperlink r:id="rId13">
              <w:r>
                <w:rPr>
                  <w:rStyle w:val="InternetLink"/>
                  <w:rFonts w:ascii="Times New Roman" w:hAnsi="Times New Roman"/>
                  <w:color w:val="0000FF"/>
                  <w:sz w:val="20"/>
                  <w:u w:val="single"/>
                </w:rPr>
                <w:t>Opinion of Blake, Cassels &amp; Graydon LLP.</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S-8</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333-237036</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1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5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3/9/2020</w:t>
            </w:r>
          </w:p>
        </w:tc>
        <w:tc>
          <w:tcPr>
            <w:tcW w:w="1039" w:type="dxa"/>
            <w:gridSpan w:val="2"/>
            <w:tcBorders/>
          </w:tcPr>
          <w:p>
            <w:pPr>
              <w:pStyle w:val="TableContents"/>
              <w:bidi w:val="0"/>
              <w:spacing w:before="0" w:after="283"/>
              <w:jc w:val="left"/>
              <w:rPr>
                <w:sz w:val="4"/>
                <w:szCs w:val="4"/>
              </w:rPr>
            </w:pPr>
            <w:r>
              <w:rPr>
                <w:sz w:val="4"/>
                <w:szCs w:val="4"/>
              </w:rPr>
            </w:r>
          </w:p>
        </w:tc>
      </w:tr>
      <w:tr>
        <w:trPr/>
        <w:tc>
          <w:tcPr>
            <w:tcW w:w="7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9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1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5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39" w:type="dxa"/>
            <w:gridSpan w:val="2"/>
            <w:tcBorders/>
          </w:tcPr>
          <w:p>
            <w:pPr>
              <w:pStyle w:val="TableContents"/>
              <w:bidi w:val="0"/>
              <w:spacing w:before="0" w:after="283"/>
              <w:jc w:val="left"/>
              <w:rPr>
                <w:sz w:val="4"/>
                <w:szCs w:val="4"/>
              </w:rPr>
            </w:pPr>
            <w:r>
              <w:rPr>
                <w:sz w:val="4"/>
                <w:szCs w:val="4"/>
              </w:rPr>
            </w:r>
          </w:p>
        </w:tc>
      </w:tr>
      <w:tr>
        <w:trPr/>
        <w:tc>
          <w:tcPr>
            <w:tcW w:w="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5.9</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946" w:type="dxa"/>
            <w:tcBorders/>
            <w:tcMar>
              <w:top w:w="0" w:type="dxa"/>
              <w:left w:w="0" w:type="dxa"/>
              <w:bottom w:w="0" w:type="dxa"/>
              <w:right w:w="0" w:type="dxa"/>
            </w:tcMar>
            <w:vAlign w:val="center"/>
          </w:tcPr>
          <w:p>
            <w:pPr>
              <w:pStyle w:val="TableContents"/>
              <w:bidi w:val="0"/>
              <w:spacing w:before="0" w:after="283"/>
              <w:jc w:val="left"/>
              <w:rPr/>
            </w:pPr>
            <w:hyperlink r:id="rId14">
              <w:r>
                <w:rPr>
                  <w:rStyle w:val="InternetLink"/>
                  <w:rFonts w:ascii="Times New Roman" w:hAnsi="Times New Roman"/>
                  <w:color w:val="0000FF"/>
                  <w:sz w:val="20"/>
                  <w:u w:val="single"/>
                </w:rPr>
                <w:t>Opinion of Blake, Cassels &amp; Graydon LLP.</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S-8</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333-238895</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1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5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6/3/2020</w:t>
            </w:r>
          </w:p>
        </w:tc>
        <w:tc>
          <w:tcPr>
            <w:tcW w:w="1039" w:type="dxa"/>
            <w:gridSpan w:val="2"/>
            <w:tcBorders/>
          </w:tcPr>
          <w:p>
            <w:pPr>
              <w:pStyle w:val="TableContents"/>
              <w:bidi w:val="0"/>
              <w:spacing w:before="0" w:after="283"/>
              <w:jc w:val="left"/>
              <w:rPr>
                <w:sz w:val="4"/>
                <w:szCs w:val="4"/>
              </w:rPr>
            </w:pPr>
            <w:r>
              <w:rPr>
                <w:sz w:val="4"/>
                <w:szCs w:val="4"/>
              </w:rPr>
            </w:r>
          </w:p>
        </w:tc>
      </w:tr>
      <w:tr>
        <w:trPr/>
        <w:tc>
          <w:tcPr>
            <w:tcW w:w="7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9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1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5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39" w:type="dxa"/>
            <w:gridSpan w:val="2"/>
            <w:tcBorders/>
          </w:tcPr>
          <w:p>
            <w:pPr>
              <w:pStyle w:val="TableContents"/>
              <w:bidi w:val="0"/>
              <w:spacing w:before="0" w:after="283"/>
              <w:jc w:val="left"/>
              <w:rPr>
                <w:sz w:val="4"/>
                <w:szCs w:val="4"/>
              </w:rPr>
            </w:pPr>
            <w:r>
              <w:rPr>
                <w:sz w:val="4"/>
                <w:szCs w:val="4"/>
              </w:rPr>
            </w:r>
          </w:p>
        </w:tc>
      </w:tr>
      <w:tr>
        <w:trPr/>
        <w:tc>
          <w:tcPr>
            <w:tcW w:w="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5.10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946" w:type="dxa"/>
            <w:tcBorders/>
            <w:tcMar>
              <w:top w:w="0" w:type="dxa"/>
              <w:left w:w="0" w:type="dxa"/>
              <w:bottom w:w="0" w:type="dxa"/>
              <w:right w:w="0" w:type="dxa"/>
            </w:tcMar>
            <w:vAlign w:val="center"/>
          </w:tcPr>
          <w:p>
            <w:pPr>
              <w:pStyle w:val="TableContents"/>
              <w:bidi w:val="0"/>
              <w:spacing w:before="0" w:after="283"/>
              <w:jc w:val="left"/>
              <w:rPr/>
            </w:pPr>
            <w:hyperlink r:id="rId15">
              <w:r>
                <w:rPr>
                  <w:rStyle w:val="InternetLink"/>
                  <w:rFonts w:ascii="Times New Roman" w:hAnsi="Times New Roman"/>
                  <w:color w:val="0000FF"/>
                  <w:sz w:val="20"/>
                  <w:u w:val="single"/>
                </w:rPr>
                <w:t>Opinion of Blake, Cassels &amp; Graydon LLP.</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S-8</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333-265377</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1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5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6/2/2022</w:t>
            </w:r>
          </w:p>
        </w:tc>
        <w:tc>
          <w:tcPr>
            <w:tcW w:w="1039" w:type="dxa"/>
            <w:gridSpan w:val="2"/>
            <w:tcBorders/>
          </w:tcPr>
          <w:p>
            <w:pPr>
              <w:pStyle w:val="TableContents"/>
              <w:bidi w:val="0"/>
              <w:spacing w:before="0" w:after="283"/>
              <w:jc w:val="left"/>
              <w:rPr>
                <w:sz w:val="4"/>
                <w:szCs w:val="4"/>
              </w:rPr>
            </w:pPr>
            <w:r>
              <w:rPr>
                <w:sz w:val="4"/>
                <w:szCs w:val="4"/>
              </w:rPr>
            </w:r>
          </w:p>
        </w:tc>
      </w:tr>
      <w:tr>
        <w:trPr/>
        <w:tc>
          <w:tcPr>
            <w:tcW w:w="7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9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1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5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39" w:type="dxa"/>
            <w:gridSpan w:val="2"/>
            <w:tcBorders/>
          </w:tcPr>
          <w:p>
            <w:pPr>
              <w:pStyle w:val="TableContents"/>
              <w:bidi w:val="0"/>
              <w:spacing w:before="0" w:after="283"/>
              <w:jc w:val="left"/>
              <w:rPr>
                <w:sz w:val="4"/>
                <w:szCs w:val="4"/>
              </w:rPr>
            </w:pPr>
            <w:r>
              <w:rPr>
                <w:sz w:val="4"/>
                <w:szCs w:val="4"/>
              </w:rPr>
            </w:r>
          </w:p>
        </w:tc>
      </w:tr>
      <w:tr>
        <w:trPr/>
        <w:tc>
          <w:tcPr>
            <w:tcW w:w="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5.11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946" w:type="dxa"/>
            <w:tcBorders/>
            <w:tcMar>
              <w:top w:w="0" w:type="dxa"/>
              <w:left w:w="0" w:type="dxa"/>
              <w:bottom w:w="0" w:type="dxa"/>
              <w:right w:w="0" w:type="dxa"/>
            </w:tcMar>
            <w:vAlign w:val="center"/>
          </w:tcPr>
          <w:p>
            <w:pPr>
              <w:pStyle w:val="TableContents"/>
              <w:bidi w:val="0"/>
              <w:spacing w:before="0" w:after="283"/>
              <w:jc w:val="left"/>
              <w:rPr/>
            </w:pPr>
            <w:hyperlink r:id="rId16">
              <w:r>
                <w:rPr>
                  <w:rStyle w:val="InternetLink"/>
                  <w:rFonts w:ascii="Times New Roman" w:hAnsi="Times New Roman"/>
                  <w:color w:val="0000FF"/>
                  <w:sz w:val="20"/>
                  <w:u w:val="single"/>
                </w:rPr>
                <w:t>Opinion of Blake, Cassels &amp; Graydon LLP.</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S-8</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333-279962</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1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5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6/5/2024</w:t>
            </w:r>
          </w:p>
        </w:tc>
        <w:tc>
          <w:tcPr>
            <w:tcW w:w="1039" w:type="dxa"/>
            <w:gridSpan w:val="2"/>
            <w:tcBorders/>
          </w:tcPr>
          <w:p>
            <w:pPr>
              <w:pStyle w:val="TableContents"/>
              <w:bidi w:val="0"/>
              <w:spacing w:before="0" w:after="283"/>
              <w:jc w:val="left"/>
              <w:rPr>
                <w:sz w:val="4"/>
                <w:szCs w:val="4"/>
              </w:rPr>
            </w:pPr>
            <w:r>
              <w:rPr>
                <w:sz w:val="4"/>
                <w:szCs w:val="4"/>
              </w:rPr>
            </w:r>
          </w:p>
        </w:tc>
      </w:tr>
      <w:tr>
        <w:trPr/>
        <w:tc>
          <w:tcPr>
            <w:tcW w:w="7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9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1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5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39" w:type="dxa"/>
            <w:gridSpan w:val="2"/>
            <w:tcBorders/>
          </w:tcPr>
          <w:p>
            <w:pPr>
              <w:pStyle w:val="TableContents"/>
              <w:bidi w:val="0"/>
              <w:spacing w:before="0" w:after="283"/>
              <w:jc w:val="left"/>
              <w:rPr>
                <w:sz w:val="4"/>
                <w:szCs w:val="4"/>
              </w:rPr>
            </w:pPr>
            <w:r>
              <w:rPr>
                <w:sz w:val="4"/>
                <w:szCs w:val="4"/>
              </w:rPr>
            </w:r>
          </w:p>
        </w:tc>
      </w:tr>
      <w:tr>
        <w:trPr/>
        <w:tc>
          <w:tcPr>
            <w:tcW w:w="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23.1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946" w:type="dxa"/>
            <w:tcBorders/>
            <w:tcMar>
              <w:top w:w="0" w:type="dxa"/>
              <w:left w:w="0" w:type="dxa"/>
              <w:bottom w:w="0" w:type="dxa"/>
              <w:right w:w="0" w:type="dxa"/>
            </w:tcMar>
            <w:vAlign w:val="center"/>
          </w:tcPr>
          <w:p>
            <w:pPr>
              <w:pStyle w:val="TableContents"/>
              <w:bidi w:val="0"/>
              <w:spacing w:before="0" w:after="283"/>
              <w:jc w:val="left"/>
              <w:rPr/>
            </w:pPr>
            <w:hyperlink w:anchor="xene-ex23_1.htm">
              <w:r>
                <w:rPr>
                  <w:rStyle w:val="InternetLink"/>
                  <w:rFonts w:ascii="Times New Roman" w:hAnsi="Times New Roman"/>
                  <w:color w:val="0000FF"/>
                  <w:sz w:val="20"/>
                  <w:u w:val="single"/>
                </w:rPr>
                <w:t>Consent of PricewaterhouseCoopers LLP, Independent Registered Public Accounting Firm.</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1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5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39" w:type="dxa"/>
            <w:gridSpan w:val="2"/>
            <w:tcBorders/>
          </w:tcPr>
          <w:p>
            <w:pPr>
              <w:pStyle w:val="TableContents"/>
              <w:bidi w:val="0"/>
              <w:spacing w:before="0" w:after="283"/>
              <w:jc w:val="left"/>
              <w:rPr>
                <w:sz w:val="4"/>
                <w:szCs w:val="4"/>
              </w:rPr>
            </w:pPr>
            <w:r>
              <w:rPr>
                <w:sz w:val="4"/>
                <w:szCs w:val="4"/>
              </w:rPr>
            </w:r>
          </w:p>
        </w:tc>
      </w:tr>
      <w:tr>
        <w:trPr/>
        <w:tc>
          <w:tcPr>
            <w:tcW w:w="7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9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1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5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39" w:type="dxa"/>
            <w:gridSpan w:val="2"/>
            <w:tcBorders/>
          </w:tcPr>
          <w:p>
            <w:pPr>
              <w:pStyle w:val="TableContents"/>
              <w:bidi w:val="0"/>
              <w:spacing w:before="0" w:after="283"/>
              <w:jc w:val="left"/>
              <w:rPr>
                <w:sz w:val="4"/>
                <w:szCs w:val="4"/>
              </w:rPr>
            </w:pPr>
            <w:r>
              <w:rPr>
                <w:sz w:val="4"/>
                <w:szCs w:val="4"/>
              </w:rPr>
            </w:r>
          </w:p>
        </w:tc>
      </w:tr>
      <w:tr>
        <w:trPr/>
        <w:tc>
          <w:tcPr>
            <w:tcW w:w="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23.2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946" w:type="dxa"/>
            <w:tcBorders/>
            <w:tcMar>
              <w:top w:w="0" w:type="dxa"/>
              <w:left w:w="0" w:type="dxa"/>
              <w:bottom w:w="0" w:type="dxa"/>
              <w:right w:w="0" w:type="dxa"/>
            </w:tcMar>
            <w:vAlign w:val="center"/>
          </w:tcPr>
          <w:p>
            <w:pPr>
              <w:pStyle w:val="TableContents"/>
              <w:bidi w:val="0"/>
              <w:spacing w:before="0" w:after="283"/>
              <w:jc w:val="left"/>
              <w:rPr/>
            </w:pPr>
            <w:hyperlink w:anchor="xene-ex23_2.htm">
              <w:r>
                <w:rPr>
                  <w:rStyle w:val="InternetLink"/>
                  <w:rFonts w:ascii="Times New Roman" w:hAnsi="Times New Roman"/>
                  <w:color w:val="0000FF"/>
                  <w:sz w:val="20"/>
                  <w:u w:val="single"/>
                </w:rPr>
                <w:t>Consent of KPMG LLP, Independent Registered Public Accounting Firm.</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1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5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39" w:type="dxa"/>
            <w:gridSpan w:val="2"/>
            <w:tcBorders/>
          </w:tcPr>
          <w:p>
            <w:pPr>
              <w:pStyle w:val="TableContents"/>
              <w:bidi w:val="0"/>
              <w:spacing w:before="0" w:after="283"/>
              <w:jc w:val="left"/>
              <w:rPr>
                <w:sz w:val="4"/>
                <w:szCs w:val="4"/>
              </w:rPr>
            </w:pPr>
            <w:r>
              <w:rPr>
                <w:sz w:val="4"/>
                <w:szCs w:val="4"/>
              </w:rPr>
            </w:r>
          </w:p>
        </w:tc>
      </w:tr>
      <w:tr>
        <w:trPr/>
        <w:tc>
          <w:tcPr>
            <w:tcW w:w="7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9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1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5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39" w:type="dxa"/>
            <w:gridSpan w:val="2"/>
            <w:tcBorders/>
          </w:tcPr>
          <w:p>
            <w:pPr>
              <w:pStyle w:val="TableContents"/>
              <w:bidi w:val="0"/>
              <w:spacing w:before="0" w:after="283"/>
              <w:jc w:val="left"/>
              <w:rPr>
                <w:sz w:val="4"/>
                <w:szCs w:val="4"/>
              </w:rPr>
            </w:pPr>
            <w:r>
              <w:rPr>
                <w:sz w:val="4"/>
                <w:szCs w:val="4"/>
              </w:rPr>
            </w:r>
          </w:p>
        </w:tc>
      </w:tr>
      <w:tr>
        <w:trPr/>
        <w:tc>
          <w:tcPr>
            <w:tcW w:w="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23.3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946" w:type="dxa"/>
            <w:tcBorders/>
            <w:tcMar>
              <w:top w:w="0" w:type="dxa"/>
              <w:left w:w="0" w:type="dxa"/>
              <w:bottom w:w="0" w:type="dxa"/>
              <w:right w:w="0" w:type="dxa"/>
            </w:tcMar>
            <w:vAlign w:val="center"/>
          </w:tcPr>
          <w:p>
            <w:pPr>
              <w:pStyle w:val="TableContents"/>
              <w:bidi w:val="0"/>
              <w:spacing w:before="0" w:after="283"/>
              <w:jc w:val="left"/>
              <w:rPr/>
            </w:pPr>
            <w:hyperlink w:anchor="xene-ex5_1.htm">
              <w:r>
                <w:rPr>
                  <w:rStyle w:val="InternetLink"/>
                  <w:rFonts w:ascii="Times New Roman" w:hAnsi="Times New Roman"/>
                  <w:color w:val="0000FF"/>
                  <w:sz w:val="20"/>
                  <w:u w:val="single"/>
                </w:rPr>
                <w:t>Consent of Blake, Cassels &amp; Graydon LLP (contained in Exhibit 5.1 hereto).</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1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5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39" w:type="dxa"/>
            <w:gridSpan w:val="2"/>
            <w:tcBorders/>
          </w:tcPr>
          <w:p>
            <w:pPr>
              <w:pStyle w:val="TableContents"/>
              <w:bidi w:val="0"/>
              <w:spacing w:before="0" w:after="283"/>
              <w:jc w:val="left"/>
              <w:rPr>
                <w:sz w:val="4"/>
                <w:szCs w:val="4"/>
              </w:rPr>
            </w:pPr>
            <w:r>
              <w:rPr>
                <w:sz w:val="4"/>
                <w:szCs w:val="4"/>
              </w:rPr>
            </w:r>
          </w:p>
        </w:tc>
      </w:tr>
      <w:tr>
        <w:trPr/>
        <w:tc>
          <w:tcPr>
            <w:tcW w:w="7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9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1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5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39" w:type="dxa"/>
            <w:gridSpan w:val="2"/>
            <w:tcBorders/>
          </w:tcPr>
          <w:p>
            <w:pPr>
              <w:pStyle w:val="TableContents"/>
              <w:bidi w:val="0"/>
              <w:spacing w:before="0" w:after="283"/>
              <w:jc w:val="left"/>
              <w:rPr>
                <w:sz w:val="4"/>
                <w:szCs w:val="4"/>
              </w:rPr>
            </w:pPr>
            <w:r>
              <w:rPr>
                <w:sz w:val="4"/>
                <w:szCs w:val="4"/>
              </w:rPr>
            </w:r>
          </w:p>
        </w:tc>
      </w:tr>
      <w:tr>
        <w:trPr/>
        <w:tc>
          <w:tcPr>
            <w:tcW w:w="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23.4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946" w:type="dxa"/>
            <w:tcBorders/>
            <w:tcMar>
              <w:top w:w="0" w:type="dxa"/>
              <w:left w:w="0" w:type="dxa"/>
              <w:bottom w:w="0" w:type="dxa"/>
              <w:right w:w="0" w:type="dxa"/>
            </w:tcMar>
            <w:vAlign w:val="center"/>
          </w:tcPr>
          <w:p>
            <w:pPr>
              <w:pStyle w:val="TableContents"/>
              <w:bidi w:val="0"/>
              <w:spacing w:before="0" w:after="283"/>
              <w:jc w:val="left"/>
              <w:rPr/>
            </w:pPr>
            <w:hyperlink r:id="rId17">
              <w:r>
                <w:rPr>
                  <w:rStyle w:val="InternetLink"/>
                  <w:rFonts w:ascii="Times New Roman" w:hAnsi="Times New Roman"/>
                  <w:color w:val="0000FF"/>
                  <w:sz w:val="20"/>
                  <w:u w:val="single"/>
                </w:rPr>
                <w:t>Consent of McCarthy Tétrault LLP (contained in Exhibit 5.2 hereto).</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S-8</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333-199860</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1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5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11/5/2014</w:t>
            </w:r>
          </w:p>
        </w:tc>
        <w:tc>
          <w:tcPr>
            <w:tcW w:w="1039" w:type="dxa"/>
            <w:gridSpan w:val="2"/>
            <w:tcBorders/>
          </w:tcPr>
          <w:p>
            <w:pPr>
              <w:pStyle w:val="TableContents"/>
              <w:bidi w:val="0"/>
              <w:spacing w:before="0" w:after="283"/>
              <w:jc w:val="left"/>
              <w:rPr>
                <w:sz w:val="4"/>
                <w:szCs w:val="4"/>
              </w:rPr>
            </w:pPr>
            <w:r>
              <w:rPr>
                <w:sz w:val="4"/>
                <w:szCs w:val="4"/>
              </w:rPr>
            </w:r>
          </w:p>
        </w:tc>
      </w:tr>
      <w:tr>
        <w:trPr/>
        <w:tc>
          <w:tcPr>
            <w:tcW w:w="7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9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1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5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39" w:type="dxa"/>
            <w:gridSpan w:val="2"/>
            <w:tcBorders/>
          </w:tcPr>
          <w:p>
            <w:pPr>
              <w:pStyle w:val="TableContents"/>
              <w:bidi w:val="0"/>
              <w:spacing w:before="0" w:after="283"/>
              <w:jc w:val="left"/>
              <w:rPr>
                <w:sz w:val="4"/>
                <w:szCs w:val="4"/>
              </w:rPr>
            </w:pPr>
            <w:r>
              <w:rPr>
                <w:sz w:val="4"/>
                <w:szCs w:val="4"/>
              </w:rPr>
            </w:r>
          </w:p>
        </w:tc>
      </w:tr>
      <w:tr>
        <w:trPr/>
        <w:tc>
          <w:tcPr>
            <w:tcW w:w="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23.5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946" w:type="dxa"/>
            <w:tcBorders/>
            <w:tcMar>
              <w:top w:w="0" w:type="dxa"/>
              <w:left w:w="0" w:type="dxa"/>
              <w:bottom w:w="0" w:type="dxa"/>
              <w:right w:w="0" w:type="dxa"/>
            </w:tcMar>
            <w:vAlign w:val="center"/>
          </w:tcPr>
          <w:p>
            <w:pPr>
              <w:pStyle w:val="TableContents"/>
              <w:bidi w:val="0"/>
              <w:spacing w:before="0" w:after="283"/>
              <w:jc w:val="left"/>
              <w:rPr/>
            </w:pPr>
            <w:hyperlink r:id="rId18">
              <w:r>
                <w:rPr>
                  <w:rStyle w:val="InternetLink"/>
                  <w:rFonts w:ascii="Times New Roman" w:hAnsi="Times New Roman"/>
                  <w:color w:val="0000FF"/>
                  <w:sz w:val="20"/>
                  <w:u w:val="single"/>
                </w:rPr>
                <w:t>Consent of McCarthy Tétrault LLP (contained in Exhibit 5.3 hereto).</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S-8</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333-202765</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1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5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3/16/2015</w:t>
            </w:r>
          </w:p>
        </w:tc>
        <w:tc>
          <w:tcPr>
            <w:tcW w:w="1039" w:type="dxa"/>
            <w:gridSpan w:val="2"/>
            <w:tcBorders/>
          </w:tcPr>
          <w:p>
            <w:pPr>
              <w:pStyle w:val="TableContents"/>
              <w:bidi w:val="0"/>
              <w:spacing w:before="0" w:after="283"/>
              <w:jc w:val="left"/>
              <w:rPr>
                <w:sz w:val="4"/>
                <w:szCs w:val="4"/>
              </w:rPr>
            </w:pPr>
            <w:r>
              <w:rPr>
                <w:sz w:val="4"/>
                <w:szCs w:val="4"/>
              </w:rPr>
            </w:r>
          </w:p>
        </w:tc>
      </w:tr>
      <w:tr>
        <w:trPr/>
        <w:tc>
          <w:tcPr>
            <w:tcW w:w="7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9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1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5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39" w:type="dxa"/>
            <w:gridSpan w:val="2"/>
            <w:tcBorders/>
          </w:tcPr>
          <w:p>
            <w:pPr>
              <w:pStyle w:val="TableContents"/>
              <w:bidi w:val="0"/>
              <w:spacing w:before="0" w:after="283"/>
              <w:jc w:val="left"/>
              <w:rPr>
                <w:sz w:val="4"/>
                <w:szCs w:val="4"/>
              </w:rPr>
            </w:pPr>
            <w:r>
              <w:rPr>
                <w:sz w:val="4"/>
                <w:szCs w:val="4"/>
              </w:rPr>
            </w:r>
          </w:p>
        </w:tc>
      </w:tr>
      <w:tr>
        <w:trPr/>
        <w:tc>
          <w:tcPr>
            <w:tcW w:w="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23.6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946" w:type="dxa"/>
            <w:tcBorders/>
            <w:tcMar>
              <w:top w:w="0" w:type="dxa"/>
              <w:left w:w="0" w:type="dxa"/>
              <w:bottom w:w="0" w:type="dxa"/>
              <w:right w:w="0" w:type="dxa"/>
            </w:tcMar>
            <w:vAlign w:val="center"/>
          </w:tcPr>
          <w:p>
            <w:pPr>
              <w:pStyle w:val="TableContents"/>
              <w:bidi w:val="0"/>
              <w:spacing w:before="0" w:after="283"/>
              <w:jc w:val="left"/>
              <w:rPr/>
            </w:pPr>
            <w:hyperlink r:id="rId19">
              <w:r>
                <w:rPr>
                  <w:rStyle w:val="InternetLink"/>
                  <w:rFonts w:ascii="Times New Roman" w:hAnsi="Times New Roman"/>
                  <w:color w:val="0000FF"/>
                  <w:sz w:val="20"/>
                  <w:u w:val="single"/>
                </w:rPr>
                <w:t>Consent of McCarthy Tétrault LLP (contained in Exhibit 5.4 hereto).</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S-8</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333-210050</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1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5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3/9/2016</w:t>
            </w:r>
          </w:p>
        </w:tc>
        <w:tc>
          <w:tcPr>
            <w:tcW w:w="1039" w:type="dxa"/>
            <w:gridSpan w:val="2"/>
            <w:tcBorders/>
          </w:tcPr>
          <w:p>
            <w:pPr>
              <w:pStyle w:val="TableContents"/>
              <w:bidi w:val="0"/>
              <w:spacing w:before="0" w:after="283"/>
              <w:jc w:val="left"/>
              <w:rPr>
                <w:sz w:val="4"/>
                <w:szCs w:val="4"/>
              </w:rPr>
            </w:pPr>
            <w:r>
              <w:rPr>
                <w:sz w:val="4"/>
                <w:szCs w:val="4"/>
              </w:rPr>
            </w:r>
          </w:p>
        </w:tc>
      </w:tr>
      <w:tr>
        <w:trPr/>
        <w:tc>
          <w:tcPr>
            <w:tcW w:w="7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9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1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5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39" w:type="dxa"/>
            <w:gridSpan w:val="2"/>
            <w:tcBorders/>
          </w:tcPr>
          <w:p>
            <w:pPr>
              <w:pStyle w:val="TableContents"/>
              <w:bidi w:val="0"/>
              <w:spacing w:before="0" w:after="283"/>
              <w:jc w:val="left"/>
              <w:rPr>
                <w:sz w:val="4"/>
                <w:szCs w:val="4"/>
              </w:rPr>
            </w:pPr>
            <w:r>
              <w:rPr>
                <w:sz w:val="4"/>
                <w:szCs w:val="4"/>
              </w:rPr>
            </w:r>
          </w:p>
        </w:tc>
      </w:tr>
      <w:tr>
        <w:trPr/>
        <w:tc>
          <w:tcPr>
            <w:tcW w:w="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23.7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946" w:type="dxa"/>
            <w:tcBorders/>
            <w:tcMar>
              <w:top w:w="0" w:type="dxa"/>
              <w:left w:w="0" w:type="dxa"/>
              <w:bottom w:w="0" w:type="dxa"/>
              <w:right w:w="0" w:type="dxa"/>
            </w:tcMar>
            <w:vAlign w:val="center"/>
          </w:tcPr>
          <w:p>
            <w:pPr>
              <w:pStyle w:val="TableContents"/>
              <w:bidi w:val="0"/>
              <w:spacing w:before="0" w:after="283"/>
              <w:jc w:val="left"/>
              <w:rPr/>
            </w:pPr>
            <w:hyperlink r:id="rId20">
              <w:r>
                <w:rPr>
                  <w:rStyle w:val="InternetLink"/>
                  <w:rFonts w:ascii="Times New Roman" w:hAnsi="Times New Roman"/>
                  <w:color w:val="0000FF"/>
                  <w:sz w:val="20"/>
                  <w:u w:val="single"/>
                </w:rPr>
                <w:t>Consent of McCarthy Tétrault LLP (contained in Exhibit 5.5 hereto).</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S-8</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333-216543</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1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5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3/8/2017</w:t>
            </w:r>
          </w:p>
        </w:tc>
        <w:tc>
          <w:tcPr>
            <w:tcW w:w="1039" w:type="dxa"/>
            <w:gridSpan w:val="2"/>
            <w:tcBorders/>
          </w:tcPr>
          <w:p>
            <w:pPr>
              <w:pStyle w:val="TableContents"/>
              <w:bidi w:val="0"/>
              <w:spacing w:before="0" w:after="283"/>
              <w:jc w:val="left"/>
              <w:rPr>
                <w:sz w:val="4"/>
                <w:szCs w:val="4"/>
              </w:rPr>
            </w:pPr>
            <w:r>
              <w:rPr>
                <w:sz w:val="4"/>
                <w:szCs w:val="4"/>
              </w:rPr>
            </w:r>
          </w:p>
        </w:tc>
      </w:tr>
      <w:tr>
        <w:trPr/>
        <w:tc>
          <w:tcPr>
            <w:tcW w:w="7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9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1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5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39" w:type="dxa"/>
            <w:gridSpan w:val="2"/>
            <w:tcBorders/>
          </w:tcPr>
          <w:p>
            <w:pPr>
              <w:pStyle w:val="TableContents"/>
              <w:bidi w:val="0"/>
              <w:spacing w:before="0" w:after="283"/>
              <w:jc w:val="left"/>
              <w:rPr>
                <w:sz w:val="4"/>
                <w:szCs w:val="4"/>
              </w:rPr>
            </w:pPr>
            <w:r>
              <w:rPr>
                <w:sz w:val="4"/>
                <w:szCs w:val="4"/>
              </w:rPr>
            </w:r>
          </w:p>
        </w:tc>
      </w:tr>
      <w:tr>
        <w:trPr/>
        <w:tc>
          <w:tcPr>
            <w:tcW w:w="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23.8</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946" w:type="dxa"/>
            <w:tcBorders/>
            <w:tcMar>
              <w:top w:w="0" w:type="dxa"/>
              <w:left w:w="0" w:type="dxa"/>
              <w:bottom w:w="0" w:type="dxa"/>
              <w:right w:w="0" w:type="dxa"/>
            </w:tcMar>
            <w:vAlign w:val="center"/>
          </w:tcPr>
          <w:p>
            <w:pPr>
              <w:pStyle w:val="TableContents"/>
              <w:bidi w:val="0"/>
              <w:spacing w:before="0" w:after="283"/>
              <w:jc w:val="left"/>
              <w:rPr/>
            </w:pPr>
            <w:hyperlink r:id="rId21">
              <w:r>
                <w:rPr>
                  <w:rStyle w:val="InternetLink"/>
                  <w:rFonts w:ascii="Times New Roman" w:hAnsi="Times New Roman"/>
                  <w:color w:val="0000FF"/>
                  <w:sz w:val="20"/>
                  <w:u w:val="single"/>
                </w:rPr>
                <w:t>Consent of McCarthy Tétrault LLP (contained in Exhibit 5.6 hereto).</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S-8</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333-223497</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1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5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3/7/2018</w:t>
            </w:r>
          </w:p>
        </w:tc>
        <w:tc>
          <w:tcPr>
            <w:tcW w:w="1039" w:type="dxa"/>
            <w:gridSpan w:val="2"/>
            <w:tcBorders/>
          </w:tcPr>
          <w:p>
            <w:pPr>
              <w:pStyle w:val="TableContents"/>
              <w:bidi w:val="0"/>
              <w:spacing w:before="0" w:after="283"/>
              <w:jc w:val="left"/>
              <w:rPr>
                <w:sz w:val="4"/>
                <w:szCs w:val="4"/>
              </w:rPr>
            </w:pPr>
            <w:r>
              <w:rPr>
                <w:sz w:val="4"/>
                <w:szCs w:val="4"/>
              </w:rPr>
            </w:r>
          </w:p>
        </w:tc>
      </w:tr>
      <w:tr>
        <w:trPr/>
        <w:tc>
          <w:tcPr>
            <w:tcW w:w="7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9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1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5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39" w:type="dxa"/>
            <w:gridSpan w:val="2"/>
            <w:tcBorders/>
          </w:tcPr>
          <w:p>
            <w:pPr>
              <w:pStyle w:val="TableContents"/>
              <w:bidi w:val="0"/>
              <w:spacing w:before="0" w:after="283"/>
              <w:jc w:val="left"/>
              <w:rPr>
                <w:sz w:val="4"/>
                <w:szCs w:val="4"/>
              </w:rPr>
            </w:pPr>
            <w:r>
              <w:rPr>
                <w:sz w:val="4"/>
                <w:szCs w:val="4"/>
              </w:rPr>
            </w:r>
          </w:p>
        </w:tc>
      </w:tr>
      <w:tr>
        <w:trPr/>
        <w:tc>
          <w:tcPr>
            <w:tcW w:w="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23.9</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946" w:type="dxa"/>
            <w:tcBorders/>
            <w:tcMar>
              <w:top w:w="0" w:type="dxa"/>
              <w:left w:w="0" w:type="dxa"/>
              <w:bottom w:w="0" w:type="dxa"/>
              <w:right w:w="0" w:type="dxa"/>
            </w:tcMar>
            <w:vAlign w:val="center"/>
          </w:tcPr>
          <w:p>
            <w:pPr>
              <w:pStyle w:val="TableContents"/>
              <w:bidi w:val="0"/>
              <w:spacing w:before="0" w:after="283"/>
              <w:jc w:val="left"/>
              <w:rPr/>
            </w:pPr>
            <w:hyperlink r:id="rId22">
              <w:r>
                <w:rPr>
                  <w:rStyle w:val="InternetLink"/>
                  <w:rFonts w:ascii="Times New Roman" w:hAnsi="Times New Roman"/>
                  <w:color w:val="0000FF"/>
                  <w:sz w:val="20"/>
                  <w:u w:val="single"/>
                </w:rPr>
                <w:t>Consent of Blake, Cassels &amp; Graydon LLP (contained in Exhibit 5.7 hereto).</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S-8</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333-230103</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1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5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3/6/2019</w:t>
            </w:r>
          </w:p>
        </w:tc>
        <w:tc>
          <w:tcPr>
            <w:tcW w:w="1039" w:type="dxa"/>
            <w:gridSpan w:val="2"/>
            <w:tcBorders/>
          </w:tcPr>
          <w:p>
            <w:pPr>
              <w:pStyle w:val="TableContents"/>
              <w:bidi w:val="0"/>
              <w:spacing w:before="0" w:after="283"/>
              <w:jc w:val="left"/>
              <w:rPr>
                <w:sz w:val="4"/>
                <w:szCs w:val="4"/>
              </w:rPr>
            </w:pPr>
            <w:r>
              <w:rPr>
                <w:sz w:val="4"/>
                <w:szCs w:val="4"/>
              </w:rPr>
            </w:r>
          </w:p>
        </w:tc>
      </w:tr>
      <w:tr>
        <w:trPr/>
        <w:tc>
          <w:tcPr>
            <w:tcW w:w="7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9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1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5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39" w:type="dxa"/>
            <w:gridSpan w:val="2"/>
            <w:tcBorders/>
          </w:tcPr>
          <w:p>
            <w:pPr>
              <w:pStyle w:val="TableContents"/>
              <w:bidi w:val="0"/>
              <w:spacing w:before="0" w:after="283"/>
              <w:jc w:val="left"/>
              <w:rPr>
                <w:sz w:val="4"/>
                <w:szCs w:val="4"/>
              </w:rPr>
            </w:pPr>
            <w:r>
              <w:rPr>
                <w:sz w:val="4"/>
                <w:szCs w:val="4"/>
              </w:rPr>
            </w:r>
          </w:p>
        </w:tc>
      </w:tr>
      <w:tr>
        <w:trPr/>
        <w:tc>
          <w:tcPr>
            <w:tcW w:w="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23.10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946" w:type="dxa"/>
            <w:tcBorders/>
            <w:tcMar>
              <w:top w:w="0" w:type="dxa"/>
              <w:left w:w="0" w:type="dxa"/>
              <w:bottom w:w="0" w:type="dxa"/>
              <w:right w:w="0" w:type="dxa"/>
            </w:tcMar>
            <w:vAlign w:val="center"/>
          </w:tcPr>
          <w:p>
            <w:pPr>
              <w:pStyle w:val="TableContents"/>
              <w:bidi w:val="0"/>
              <w:spacing w:before="0" w:after="283"/>
              <w:jc w:val="left"/>
              <w:rPr/>
            </w:pPr>
            <w:hyperlink r:id="rId23">
              <w:r>
                <w:rPr>
                  <w:rStyle w:val="InternetLink"/>
                  <w:rFonts w:ascii="Times New Roman" w:hAnsi="Times New Roman"/>
                  <w:color w:val="0000FF"/>
                  <w:sz w:val="20"/>
                  <w:u w:val="single"/>
                </w:rPr>
                <w:t>Consent of Blake, Cassels &amp; Graydon LLP (contained in Exhibit 5.8 hereto).</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S-8</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333-237036</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1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5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3/9/2020</w:t>
            </w:r>
          </w:p>
        </w:tc>
        <w:tc>
          <w:tcPr>
            <w:tcW w:w="1039" w:type="dxa"/>
            <w:gridSpan w:val="2"/>
            <w:tcBorders/>
          </w:tcPr>
          <w:p>
            <w:pPr>
              <w:pStyle w:val="TableContents"/>
              <w:bidi w:val="0"/>
              <w:spacing w:before="0" w:after="283"/>
              <w:jc w:val="left"/>
              <w:rPr>
                <w:sz w:val="4"/>
                <w:szCs w:val="4"/>
              </w:rPr>
            </w:pPr>
            <w:r>
              <w:rPr>
                <w:sz w:val="4"/>
                <w:szCs w:val="4"/>
              </w:rPr>
            </w:r>
          </w:p>
        </w:tc>
      </w:tr>
      <w:tr>
        <w:trPr/>
        <w:tc>
          <w:tcPr>
            <w:tcW w:w="7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9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1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5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39" w:type="dxa"/>
            <w:gridSpan w:val="2"/>
            <w:tcBorders/>
          </w:tcPr>
          <w:p>
            <w:pPr>
              <w:pStyle w:val="TableContents"/>
              <w:bidi w:val="0"/>
              <w:spacing w:before="0" w:after="283"/>
              <w:jc w:val="left"/>
              <w:rPr>
                <w:sz w:val="4"/>
                <w:szCs w:val="4"/>
              </w:rPr>
            </w:pPr>
            <w:r>
              <w:rPr>
                <w:sz w:val="4"/>
                <w:szCs w:val="4"/>
              </w:rPr>
            </w:r>
          </w:p>
        </w:tc>
      </w:tr>
      <w:tr>
        <w:trPr/>
        <w:tc>
          <w:tcPr>
            <w:tcW w:w="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23.11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946" w:type="dxa"/>
            <w:tcBorders/>
            <w:tcMar>
              <w:top w:w="0" w:type="dxa"/>
              <w:left w:w="0" w:type="dxa"/>
              <w:bottom w:w="0" w:type="dxa"/>
              <w:right w:w="0" w:type="dxa"/>
            </w:tcMar>
            <w:vAlign w:val="center"/>
          </w:tcPr>
          <w:p>
            <w:pPr>
              <w:pStyle w:val="TableContents"/>
              <w:bidi w:val="0"/>
              <w:spacing w:before="0" w:after="283"/>
              <w:jc w:val="left"/>
              <w:rPr/>
            </w:pPr>
            <w:hyperlink r:id="rId24">
              <w:r>
                <w:rPr>
                  <w:rStyle w:val="InternetLink"/>
                  <w:rFonts w:ascii="Times New Roman" w:hAnsi="Times New Roman"/>
                  <w:color w:val="0000FF"/>
                  <w:sz w:val="20"/>
                  <w:u w:val="single"/>
                </w:rPr>
                <w:t>Consent of Blake, Cassels &amp; Graydon LLP (contained in Exhibit 5.9 hereto).</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S-8</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333-238895</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1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5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6/3/2020</w:t>
            </w:r>
          </w:p>
        </w:tc>
        <w:tc>
          <w:tcPr>
            <w:tcW w:w="1039" w:type="dxa"/>
            <w:gridSpan w:val="2"/>
            <w:tcBorders/>
          </w:tcPr>
          <w:p>
            <w:pPr>
              <w:pStyle w:val="TableContents"/>
              <w:bidi w:val="0"/>
              <w:spacing w:before="0" w:after="283"/>
              <w:jc w:val="left"/>
              <w:rPr>
                <w:sz w:val="4"/>
                <w:szCs w:val="4"/>
              </w:rPr>
            </w:pPr>
            <w:r>
              <w:rPr>
                <w:sz w:val="4"/>
                <w:szCs w:val="4"/>
              </w:rPr>
            </w:r>
          </w:p>
        </w:tc>
      </w:tr>
      <w:tr>
        <w:trPr/>
        <w:tc>
          <w:tcPr>
            <w:tcW w:w="7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9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1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5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39" w:type="dxa"/>
            <w:gridSpan w:val="2"/>
            <w:tcBorders/>
          </w:tcPr>
          <w:p>
            <w:pPr>
              <w:pStyle w:val="TableContents"/>
              <w:bidi w:val="0"/>
              <w:spacing w:before="0" w:after="283"/>
              <w:jc w:val="left"/>
              <w:rPr>
                <w:sz w:val="4"/>
                <w:szCs w:val="4"/>
              </w:rPr>
            </w:pPr>
            <w:r>
              <w:rPr>
                <w:sz w:val="4"/>
                <w:szCs w:val="4"/>
              </w:rPr>
            </w:r>
          </w:p>
        </w:tc>
      </w:tr>
      <w:tr>
        <w:trPr/>
        <w:tc>
          <w:tcPr>
            <w:tcW w:w="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23.12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946" w:type="dxa"/>
            <w:tcBorders/>
            <w:tcMar>
              <w:top w:w="0" w:type="dxa"/>
              <w:left w:w="0" w:type="dxa"/>
              <w:bottom w:w="0" w:type="dxa"/>
              <w:right w:w="0" w:type="dxa"/>
            </w:tcMar>
            <w:vAlign w:val="center"/>
          </w:tcPr>
          <w:p>
            <w:pPr>
              <w:pStyle w:val="TableContents"/>
              <w:bidi w:val="0"/>
              <w:spacing w:before="0" w:after="283"/>
              <w:jc w:val="left"/>
              <w:rPr/>
            </w:pPr>
            <w:hyperlink r:id="rId25">
              <w:r>
                <w:rPr>
                  <w:rStyle w:val="InternetLink"/>
                  <w:rFonts w:ascii="Times New Roman" w:hAnsi="Times New Roman"/>
                  <w:color w:val="0000FF"/>
                  <w:sz w:val="20"/>
                  <w:u w:val="single"/>
                </w:rPr>
                <w:t>Consent of Blake, Cassels &amp; Graydon LLP (contained in Exhibit 5.10 hereto).</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S-8</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333-265377</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1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5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6/2/2022</w:t>
            </w:r>
          </w:p>
        </w:tc>
        <w:tc>
          <w:tcPr>
            <w:tcW w:w="1039" w:type="dxa"/>
            <w:gridSpan w:val="2"/>
            <w:tcBorders/>
          </w:tcPr>
          <w:p>
            <w:pPr>
              <w:pStyle w:val="TableContents"/>
              <w:bidi w:val="0"/>
              <w:spacing w:before="0" w:after="283"/>
              <w:jc w:val="left"/>
              <w:rPr>
                <w:sz w:val="4"/>
                <w:szCs w:val="4"/>
              </w:rPr>
            </w:pPr>
            <w:r>
              <w:rPr>
                <w:sz w:val="4"/>
                <w:szCs w:val="4"/>
              </w:rPr>
            </w:r>
          </w:p>
        </w:tc>
      </w:tr>
      <w:tr>
        <w:trPr/>
        <w:tc>
          <w:tcPr>
            <w:tcW w:w="7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9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1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5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39" w:type="dxa"/>
            <w:gridSpan w:val="2"/>
            <w:tcBorders/>
          </w:tcPr>
          <w:p>
            <w:pPr>
              <w:pStyle w:val="TableContents"/>
              <w:bidi w:val="0"/>
              <w:spacing w:before="0" w:after="283"/>
              <w:jc w:val="left"/>
              <w:rPr>
                <w:sz w:val="4"/>
                <w:szCs w:val="4"/>
              </w:rPr>
            </w:pPr>
            <w:r>
              <w:rPr>
                <w:sz w:val="4"/>
                <w:szCs w:val="4"/>
              </w:rPr>
            </w:r>
          </w:p>
        </w:tc>
      </w:tr>
      <w:tr>
        <w:trPr/>
        <w:tc>
          <w:tcPr>
            <w:tcW w:w="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23.13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946" w:type="dxa"/>
            <w:tcBorders/>
            <w:tcMar>
              <w:top w:w="0" w:type="dxa"/>
              <w:left w:w="0" w:type="dxa"/>
              <w:bottom w:w="0" w:type="dxa"/>
              <w:right w:w="0" w:type="dxa"/>
            </w:tcMar>
            <w:vAlign w:val="center"/>
          </w:tcPr>
          <w:p>
            <w:pPr>
              <w:pStyle w:val="TableContents"/>
              <w:bidi w:val="0"/>
              <w:spacing w:before="0" w:after="283"/>
              <w:jc w:val="left"/>
              <w:rPr/>
            </w:pPr>
            <w:hyperlink r:id="rId26">
              <w:r>
                <w:rPr>
                  <w:rStyle w:val="InternetLink"/>
                  <w:rFonts w:ascii="Times New Roman" w:hAnsi="Times New Roman"/>
                  <w:color w:val="0000FF"/>
                  <w:sz w:val="20"/>
                  <w:u w:val="single"/>
                </w:rPr>
                <w:t>Consent of Blake, Cassels &amp; Graydon LLP (contained in Exhibit 5.11 hereto).</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S-8</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333-279962</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1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5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6/5/2024</w:t>
            </w:r>
          </w:p>
        </w:tc>
        <w:tc>
          <w:tcPr>
            <w:tcW w:w="1039" w:type="dxa"/>
            <w:gridSpan w:val="2"/>
            <w:tcBorders/>
          </w:tcPr>
          <w:p>
            <w:pPr>
              <w:pStyle w:val="TableContents"/>
              <w:bidi w:val="0"/>
              <w:spacing w:before="0" w:after="283"/>
              <w:jc w:val="left"/>
              <w:rPr>
                <w:sz w:val="4"/>
                <w:szCs w:val="4"/>
              </w:rPr>
            </w:pPr>
            <w:r>
              <w:rPr>
                <w:sz w:val="4"/>
                <w:szCs w:val="4"/>
              </w:rPr>
            </w:r>
          </w:p>
        </w:tc>
      </w:tr>
      <w:tr>
        <w:trPr/>
        <w:tc>
          <w:tcPr>
            <w:tcW w:w="7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9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1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5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39" w:type="dxa"/>
            <w:gridSpan w:val="2"/>
            <w:tcBorders/>
          </w:tcPr>
          <w:p>
            <w:pPr>
              <w:pStyle w:val="TableContents"/>
              <w:bidi w:val="0"/>
              <w:spacing w:before="0" w:after="283"/>
              <w:jc w:val="left"/>
              <w:rPr>
                <w:sz w:val="4"/>
                <w:szCs w:val="4"/>
              </w:rPr>
            </w:pPr>
            <w:r>
              <w:rPr>
                <w:sz w:val="4"/>
                <w:szCs w:val="4"/>
              </w:rPr>
            </w:r>
          </w:p>
        </w:tc>
      </w:tr>
      <w:tr>
        <w:trPr/>
        <w:tc>
          <w:tcPr>
            <w:tcW w:w="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24.1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946" w:type="dxa"/>
            <w:tcBorders/>
            <w:tcMar>
              <w:top w:w="0" w:type="dxa"/>
              <w:left w:w="0" w:type="dxa"/>
              <w:bottom w:w="0" w:type="dxa"/>
              <w:right w:w="0" w:type="dxa"/>
            </w:tcMar>
            <w:vAlign w:val="center"/>
          </w:tcPr>
          <w:p>
            <w:pPr>
              <w:pStyle w:val="TableContents"/>
              <w:bidi w:val="0"/>
              <w:spacing w:before="0" w:after="283"/>
              <w:jc w:val="left"/>
              <w:rPr/>
            </w:pPr>
            <w:hyperlink w:anchor="power_of_attorney">
              <w:r>
                <w:rPr>
                  <w:rStyle w:val="InternetLink"/>
                  <w:rFonts w:ascii="Times New Roman" w:hAnsi="Times New Roman"/>
                  <w:color w:val="0000FF"/>
                  <w:sz w:val="20"/>
                  <w:u w:val="single"/>
                </w:rPr>
                <w:t>Power of Attorney (contained on signature page hereto).</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1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5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39" w:type="dxa"/>
            <w:gridSpan w:val="2"/>
            <w:tcBorders/>
          </w:tcPr>
          <w:p>
            <w:pPr>
              <w:pStyle w:val="TableContents"/>
              <w:bidi w:val="0"/>
              <w:spacing w:before="0" w:after="283"/>
              <w:jc w:val="left"/>
              <w:rPr>
                <w:sz w:val="4"/>
                <w:szCs w:val="4"/>
              </w:rPr>
            </w:pPr>
            <w:r>
              <w:rPr>
                <w:sz w:val="4"/>
                <w:szCs w:val="4"/>
              </w:rPr>
            </w:r>
          </w:p>
        </w:tc>
      </w:tr>
    </w:tbl>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Item 9. Undertakings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 The undersigned Registrant hereby undertakes: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(1) To file, during any period in which offers or sales are being made, a post-effective amendment to this Registration Statement:</w:t>
      </w:r>
    </w:p>
    <w:p>
      <w:pPr>
        <w:pStyle w:val="TextBody"/>
        <w:bidi w:val="0"/>
        <w:jc w:val="left"/>
        <w:rPr/>
      </w:pPr>
      <w:r>
        <w:rPr/>
        <w:t> </w:t>
      </w:r>
    </w:p>
    <w:p>
      <w:pPr>
        <w:pStyle w:val="TextBody"/>
        <w:bidi w:val="0"/>
        <w:jc w:val="center"/>
        <w:rPr>
          <w:rFonts w:ascii="Times New Roman" w:hAnsi="Times New Roman"/>
          <w:color w:val="000000"/>
          <w:sz w:val="21"/>
        </w:rPr>
      </w:pPr>
      <w:r>
        <w:rPr>
          <w:rFonts w:ascii="Times New Roman" w:hAnsi="Times New Roman"/>
          <w:color w:val="000000"/>
          <w:sz w:val="21"/>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 To include any prospectus required by Section 10(a)(3) of the Securities Act;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(ii) 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 and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(iii) To include any material information with respect to the plan of distribution not previously disclosed in the Registration Statement or any material change to such information in the Registration Statement;</w:t>
      </w:r>
    </w:p>
    <w:p>
      <w:pPr>
        <w:pStyle w:val="TextBody"/>
        <w:bidi w:val="0"/>
        <w:spacing w:before="240" w:after="283"/>
        <w:jc w:val="left"/>
        <w:rPr>
          <w:rFonts w:ascii="Times New Roman" w:hAnsi="Times New Roman"/>
          <w:sz w:val="20"/>
        </w:rPr>
      </w:pPr>
      <w:r>
        <w:rPr>
          <w:rFonts w:ascii="Times New Roman" w:hAnsi="Times New Roman"/>
          <w:i/>
          <w:color w:val="000000"/>
          <w:sz w:val="20"/>
        </w:rPr>
        <w:t>provided, however</w:t>
      </w:r>
      <w:r>
        <w:rPr>
          <w:rFonts w:ascii="Times New Roman" w:hAnsi="Times New Roman"/>
          <w:color w:val="000000"/>
          <w:sz w:val="20"/>
        </w:rPr>
        <w:t>, that paragraphs (a)(1)(i) and (a)(1)(ii) of this section do not apply if the registration statement is on Form S-8, and the information required to be included in a post-effective amendment by those paragraphs is contained in reports filed with or furnished to the Commission by the Registrant pursuant to Section 13 or Section 15(d) of the Exchange Act that are incorporated by reference in this Registration Statement.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(2) 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(3) To remove from registration by means of a post-effective amendment any of the securities being registered which remain unsold at the termination of the offering.</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(b) 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this registration statement shall be deemed to be a new registration statement relating to the securities offered therein, and the offering of such securities at that time shall be deemed to be the initial bona fide offering thereof.</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(c) 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pStyle w:val="TextBody"/>
        <w:bidi w:val="0"/>
        <w:jc w:val="center"/>
        <w:rPr>
          <w:rFonts w:ascii="Times New Roman" w:hAnsi="Times New Roman"/>
          <w:color w:val="000000"/>
          <w:sz w:val="21"/>
        </w:rPr>
      </w:pPr>
      <w:r>
        <w:rPr>
          <w:rFonts w:ascii="Times New Roman" w:hAnsi="Times New Roman"/>
          <w:color w:val="000000"/>
          <w:sz w:val="21"/>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4" w:name="signatures"/>
      <w:bookmarkStart w:id="5" w:name="tblsigsig"/>
      <w:bookmarkEnd w:id="4"/>
      <w:bookmarkEnd w:id="5"/>
      <w:r>
        <w:rPr>
          <w:rFonts w:ascii="Times New Roman" w:hAnsi="Times New Roman"/>
          <w:b/>
          <w:color w:val="000000"/>
          <w:sz w:val="20"/>
        </w:rPr>
        <w:t>SIGNATURES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Needham Heights, Massachusetts, on June 3, 2026.</w:t>
      </w:r>
    </w:p>
    <w:p>
      <w:pPr>
        <w:pStyle w:val="TextBody"/>
        <w:bidi w:val="0"/>
        <w:jc w:val="left"/>
        <w:rPr/>
      </w:pPr>
      <w:r>
        <w:rPr/>
        <w:t> </w:t>
      </w:r>
    </w:p>
    <w:p>
      <w:pPr>
        <w:pStyle w:val="TextBody"/>
        <w:bidi w:val="0"/>
        <w:jc w:val="left"/>
        <w:rPr/>
      </w:pPr>
      <w:r>
        <w:rPr/>
        <w:t> </w:t>
      </w:r>
    </w:p>
    <w:tbl>
      <w:tblPr>
        <w:tblW w:w="3570" w:type="dxa"/>
        <w:jc w:val="left"/>
        <w:tblInd w:w="0" w:type="dxa"/>
        <w:tblLayout w:type="fixed"/>
        <w:tblCellMar>
          <w:top w:w="28" w:type="dxa"/>
          <w:left w:w="28" w:type="dxa"/>
          <w:bottom w:w="28" w:type="dxa"/>
          <w:right w:w="28" w:type="dxa"/>
        </w:tblCellMar>
      </w:tblPr>
      <w:tblGrid>
        <w:gridCol w:w="161"/>
        <w:gridCol w:w="109"/>
        <w:gridCol w:w="554"/>
        <w:gridCol w:w="2746"/>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2746" w:type="dxa"/>
            <w:tcBorders/>
            <w:vAlign w:val="center"/>
          </w:tcPr>
          <w:p>
            <w:pPr>
              <w:pStyle w:val="TableContents"/>
              <w:bidi w:val="0"/>
              <w:spacing w:before="0" w:after="283"/>
              <w:jc w:val="left"/>
              <w:rPr>
                <w:sz w:val="4"/>
                <w:szCs w:val="4"/>
              </w:rPr>
            </w:pPr>
            <w:r>
              <w:rPr>
                <w:sz w:val="4"/>
                <w:szCs w:val="4"/>
              </w:rPr>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0"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XENON PHARMACEUTICALS INC.</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7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Thomas P. Kelly</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Thomas P. Kelly</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bl>
    <w:p>
      <w:pPr>
        <w:pStyle w:val="TextBody"/>
        <w:bidi w:val="0"/>
        <w:spacing w:before="240" w:after="283"/>
        <w:jc w:val="center"/>
        <w:rPr/>
      </w:pPr>
      <w:bookmarkStart w:id="6" w:name="power_of_attorney"/>
      <w:bookmarkEnd w:id="6"/>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POWER OF ATTORNEY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KNOW ALL PERSONS BY THESE PRESENTS, that each person whose signature appears below constitutes and appoints Ian Mortimer and Thomas P. Kelly as his or her true and lawful attorneys-in-fact and agents, with full power of substitution and resubstitution, for him or her and in his or her name, place and stead, in any and all capacities (including his or her capacity as a director and/or officer of Xenon Pharmaceuticals Inc.) to sign any or all amendments (including post-effective amendments) to this registration statement on Form S-8, as amended, and to file the same, with all exhibits thereto, and all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or she might or could do in person, hereby ratifying and confirming all that said attorney-in-fact and agents or any of them, or any substitute or substitutes, may lawfully do or cause to be done by virtue hereof.</w:t>
      </w:r>
    </w:p>
    <w:p>
      <w:pPr>
        <w:pStyle w:val="TextBody"/>
        <w:bidi w:val="0"/>
        <w:jc w:val="left"/>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Pursuant to the requirements of the Securities Act of 1933, as amended, this registration statement on Form S-8 has been signed by the following persons in the capacities and on the dates indicated.</w:t>
        <w:br/>
        <w:t> </w:t>
      </w:r>
    </w:p>
    <w:tbl>
      <w:tblPr>
        <w:tblW w:w="9655" w:type="dxa"/>
        <w:jc w:val="left"/>
        <w:tblInd w:w="0" w:type="dxa"/>
        <w:tblLayout w:type="fixed"/>
        <w:tblCellMar>
          <w:top w:w="28" w:type="dxa"/>
          <w:left w:w="28" w:type="dxa"/>
          <w:bottom w:w="28" w:type="dxa"/>
          <w:right w:w="28" w:type="dxa"/>
        </w:tblCellMar>
      </w:tblPr>
      <w:tblGrid>
        <w:gridCol w:w="1891"/>
        <w:gridCol w:w="146"/>
        <w:gridCol w:w="6286"/>
        <w:gridCol w:w="146"/>
        <w:gridCol w:w="1186"/>
      </w:tblGrid>
      <w:tr>
        <w:trPr/>
        <w:tc>
          <w:tcPr>
            <w:tcW w:w="18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1891" w:type="dxa"/>
            <w:tcBorders>
              <w:bottom w:val="single" w:sz="2" w:space="0" w:color="000000"/>
            </w:tcBorders>
            <w:shd w:fill="FFFFFF" w:val="clear"/>
            <w:tcMar>
              <w:top w:w="0" w:type="dxa"/>
              <w:left w:w="0" w:type="dxa"/>
              <w:right w:w="0" w:type="dxa"/>
            </w:tcMar>
            <w:vAlign w:val="center"/>
          </w:tcPr>
          <w:p>
            <w:pPr>
              <w:pStyle w:val="TableContents"/>
              <w:bidi w:val="0"/>
              <w:spacing w:before="240" w:after="283"/>
              <w:jc w:val="center"/>
              <w:rPr>
                <w:rFonts w:ascii="Times New Roman" w:hAnsi="Times New Roman"/>
                <w:b/>
                <w:color w:val="000000"/>
                <w:sz w:val="20"/>
              </w:rPr>
            </w:pPr>
            <w:r>
              <w:rPr>
                <w:rFonts w:ascii="Times New Roman" w:hAnsi="Times New Roman"/>
                <w:b/>
                <w:color w:val="000000"/>
                <w:sz w:val="20"/>
              </w:rPr>
              <w:t>Name</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28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Title</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8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w:t>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9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Ian Mortimer</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 Chief Executive Officer and Director (Principal Executive Officer)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June 3, 2026</w:t>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Ian Mortimer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Thomas P. Kelly</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 (Principal Financial and Accounting Officer)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June 3, 2026</w:t>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Thomas P. Kelly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Dawn Svoronos</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Chair of the Board of Directors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June 3, 2026</w:t>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Dawn Svoronos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Gillian Cannon</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June 3, 2026</w:t>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Gillian Cannon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Steven Gannon</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June 3, 2026</w:t>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Steven Gannon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Elizabeth Garofalo</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June 3, 2026</w:t>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Elizabeth Garofalo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Justin Gover</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June 3, 2026</w:t>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Justin Gover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Patrick Machado</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June 3, 2026</w:t>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Patrick Machado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Gary Patou</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June 3, 2026</w:t>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Gary Patou</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7" w:name="xene-ex5_1.htm"/>
      <w:bookmarkStart w:id="8" w:name="ksxeneex5_1"/>
      <w:bookmarkStart w:id="9" w:name="xene-ex5_1.htm"/>
      <w:bookmarkStart w:id="10" w:name="ksxeneex5_1"/>
      <w:bookmarkEnd w:id="9"/>
      <w:bookmarkEnd w:id="10"/>
      <w:r>
        <w:br w:type="page"/>
      </w:r>
    </w:p>
    <w:tbl>
      <w:tblPr>
        <w:tblW w:w="8557" w:type="dxa"/>
        <w:jc w:val="left"/>
        <w:tblInd w:w="0" w:type="dxa"/>
        <w:tblLayout w:type="fixed"/>
        <w:tblCellMar>
          <w:top w:w="28" w:type="dxa"/>
          <w:left w:w="28" w:type="dxa"/>
          <w:bottom w:w="28" w:type="dxa"/>
          <w:right w:w="28" w:type="dxa"/>
        </w:tblCellMar>
      </w:tblPr>
      <w:tblGrid>
        <w:gridCol w:w="4286"/>
        <w:gridCol w:w="4271"/>
      </w:tblGrid>
      <w:tr>
        <w:trPr/>
        <w:tc>
          <w:tcPr>
            <w:tcW w:w="4286" w:type="dxa"/>
            <w:tcBorders/>
            <w:vAlign w:val="center"/>
          </w:tcPr>
          <w:p>
            <w:pPr>
              <w:pStyle w:val="TableContents"/>
              <w:bidi w:val="0"/>
              <w:spacing w:before="0" w:after="283"/>
              <w:jc w:val="left"/>
              <w:rPr>
                <w:sz w:val="4"/>
                <w:szCs w:val="4"/>
              </w:rPr>
            </w:pPr>
            <w:r>
              <w:rPr>
                <w:sz w:val="4"/>
                <w:szCs w:val="4"/>
              </w:rPr>
            </w:r>
          </w:p>
        </w:tc>
        <w:tc>
          <w:tcPr>
            <w:tcW w:w="4271" w:type="dxa"/>
            <w:tcBorders/>
            <w:vAlign w:val="center"/>
          </w:tcPr>
          <w:p>
            <w:pPr>
              <w:pStyle w:val="TableContents"/>
              <w:bidi w:val="0"/>
              <w:spacing w:before="0" w:after="283"/>
              <w:jc w:val="left"/>
              <w:rPr>
                <w:sz w:val="4"/>
                <w:szCs w:val="4"/>
              </w:rPr>
            </w:pPr>
            <w:r>
              <w:rPr>
                <w:sz w:val="4"/>
                <w:szCs w:val="4"/>
              </w:rPr>
            </w:r>
          </w:p>
        </w:tc>
      </w:tr>
      <w:tr>
        <w:trPr/>
        <w:tc>
          <w:tcPr>
            <w:tcW w:w="4286"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2657475" cy="4953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7"/>
                          <a:stretch>
                            <a:fillRect/>
                          </a:stretch>
                        </pic:blipFill>
                        <pic:spPr bwMode="auto">
                          <a:xfrm>
                            <a:off x="0" y="0"/>
                            <a:ext cx="2657475" cy="495300"/>
                          </a:xfrm>
                          <a:prstGeom prst="rect">
                            <a:avLst/>
                          </a:prstGeom>
                        </pic:spPr>
                      </pic:pic>
                    </a:graphicData>
                  </a:graphic>
                </wp:inline>
              </w:drawing>
            </w:r>
          </w:p>
        </w:tc>
        <w:tc>
          <w:tcPr>
            <w:tcW w:w="4271" w:type="dxa"/>
            <w:tcBorders/>
            <w:tcMar>
              <w:top w:w="0" w:type="dxa"/>
              <w:left w:w="0" w:type="dxa"/>
              <w:bottom w:w="0" w:type="dxa"/>
              <w:right w:w="0" w:type="dxa"/>
            </w:tcMar>
            <w:vAlign w:val="center"/>
          </w:tcPr>
          <w:p>
            <w:pPr>
              <w:pStyle w:val="TableContents"/>
              <w:bidi w:val="0"/>
              <w:spacing w:before="0" w:after="283"/>
              <w:jc w:val="right"/>
              <w:rPr/>
            </w:pPr>
            <w:r>
              <w:rPr/>
              <w:drawing>
                <wp:inline distT="0" distB="0" distL="0" distR="0">
                  <wp:extent cx="2628900" cy="6858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28"/>
                          <a:stretch>
                            <a:fillRect/>
                          </a:stretch>
                        </pic:blipFill>
                        <pic:spPr bwMode="auto">
                          <a:xfrm>
                            <a:off x="0" y="0"/>
                            <a:ext cx="2628900" cy="685800"/>
                          </a:xfrm>
                          <a:prstGeom prst="rect">
                            <a:avLst/>
                          </a:prstGeom>
                        </pic:spPr>
                      </pic:pic>
                    </a:graphicData>
                  </a:graphic>
                </wp:inline>
              </w:drawing>
            </w:r>
          </w:p>
        </w:tc>
      </w:tr>
    </w:tbl>
    <w:p>
      <w:pPr>
        <w:pStyle w:val="TextBody"/>
        <w:bidi w:val="0"/>
        <w:jc w:val="left"/>
        <w:rPr/>
      </w:pPr>
      <w:r>
        <w:rPr/>
        <w:t> </w:t>
      </w:r>
    </w:p>
    <w:p>
      <w:pPr>
        <w:pStyle w:val="TextBody"/>
        <w:bidi w:val="0"/>
        <w:spacing w:before="0" w:after="240"/>
        <w:jc w:val="right"/>
        <w:rPr>
          <w:rFonts w:ascii="Times New Roman" w:hAnsi="Times New Roman"/>
          <w:b/>
          <w:color w:val="000000"/>
          <w:sz w:val="20"/>
        </w:rPr>
      </w:pPr>
      <w:r>
        <w:rPr>
          <w:rFonts w:ascii="Times New Roman" w:hAnsi="Times New Roman"/>
          <w:b/>
          <w:color w:val="000000"/>
          <w:sz w:val="20"/>
        </w:rPr>
        <w:t>Exhibit 5.1</w:t>
      </w:r>
    </w:p>
    <w:tbl>
      <w:tblPr>
        <w:tblW w:w="4532" w:type="dxa"/>
        <w:jc w:val="left"/>
        <w:tblInd w:w="0" w:type="dxa"/>
        <w:tblLayout w:type="fixed"/>
        <w:tblCellMar>
          <w:top w:w="28" w:type="dxa"/>
          <w:left w:w="28" w:type="dxa"/>
          <w:bottom w:w="28" w:type="dxa"/>
          <w:right w:w="28" w:type="dxa"/>
        </w:tblCellMar>
      </w:tblPr>
      <w:tblGrid>
        <w:gridCol w:w="2581"/>
        <w:gridCol w:w="1951"/>
      </w:tblGrid>
      <w:tr>
        <w:trPr/>
        <w:tc>
          <w:tcPr>
            <w:tcW w:w="2581" w:type="dxa"/>
            <w:tcBorders/>
            <w:vAlign w:val="center"/>
          </w:tcPr>
          <w:p>
            <w:pPr>
              <w:pStyle w:val="TableContents"/>
              <w:bidi w:val="0"/>
              <w:spacing w:before="0" w:after="283"/>
              <w:jc w:val="left"/>
              <w:rPr>
                <w:sz w:val="4"/>
                <w:szCs w:val="4"/>
              </w:rPr>
            </w:pPr>
            <w:r>
              <w:rPr>
                <w:sz w:val="4"/>
                <w:szCs w:val="4"/>
              </w:rPr>
            </w:r>
          </w:p>
        </w:tc>
        <w:tc>
          <w:tcPr>
            <w:tcW w:w="1951" w:type="dxa"/>
            <w:tcBorders/>
            <w:vAlign w:val="center"/>
          </w:tcPr>
          <w:p>
            <w:pPr>
              <w:pStyle w:val="TableContents"/>
              <w:bidi w:val="0"/>
              <w:spacing w:before="0" w:after="283"/>
              <w:jc w:val="left"/>
              <w:rPr>
                <w:sz w:val="4"/>
                <w:szCs w:val="4"/>
              </w:rPr>
            </w:pPr>
            <w:r>
              <w:rPr>
                <w:sz w:val="4"/>
                <w:szCs w:val="4"/>
              </w:rPr>
            </w:r>
          </w:p>
        </w:tc>
      </w:tr>
      <w:tr>
        <w:trPr/>
        <w:tc>
          <w:tcPr>
            <w:tcW w:w="258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June 3, 2026</w:t>
            </w:r>
          </w:p>
        </w:tc>
        <w:tc>
          <w:tcPr>
            <w:tcW w:w="1951" w:type="dxa"/>
            <w:vMerge w:val="restart"/>
            <w:tcBorders/>
            <w:tcMar>
              <w:top w:w="0" w:type="dxa"/>
              <w:left w:w="0" w:type="dxa"/>
              <w:bottom w:w="0" w:type="dxa"/>
              <w:right w:w="0" w:type="dxa"/>
            </w:tcMar>
            <w:vAlign w:val="center"/>
          </w:tcPr>
          <w:p>
            <w:pPr>
              <w:pStyle w:val="TableContents"/>
              <w:bidi w:val="0"/>
              <w:spacing w:before="60" w:after="283"/>
              <w:jc w:val="right"/>
              <w:rPr>
                <w:rFonts w:ascii="Arial" w:hAnsi="Arial"/>
                <w:i/>
                <w:color w:val="000000"/>
                <w:sz w:val="20"/>
              </w:rPr>
            </w:pPr>
            <w:r>
              <w:rPr>
                <w:rFonts w:ascii="Arial" w:hAnsi="Arial"/>
                <w:i/>
                <w:color w:val="000000"/>
                <w:sz w:val="20"/>
              </w:rPr>
              <w:t>Reference: 191296/1</w:t>
            </w:r>
          </w:p>
        </w:tc>
      </w:tr>
      <w:tr>
        <w:trPr/>
        <w:tc>
          <w:tcPr>
            <w:tcW w:w="2581" w:type="dxa"/>
            <w:tcBorders/>
            <w:tcMar>
              <w:top w:w="0" w:type="dxa"/>
              <w:left w:w="0" w:type="dxa"/>
              <w:bottom w:w="0" w:type="dxa"/>
              <w:right w:w="0" w:type="dxa"/>
            </w:tcMar>
            <w:vAlign w:val="center"/>
          </w:tcPr>
          <w:p>
            <w:pPr>
              <w:pStyle w:val="TableContents"/>
              <w:bidi w:val="0"/>
              <w:spacing w:before="0" w:after="283"/>
              <w:jc w:val="left"/>
              <w:rPr/>
            </w:pPr>
            <w:r>
              <w:rPr/>
              <w:t> </w:t>
            </w:r>
          </w:p>
        </w:tc>
        <w:tc>
          <w:tcPr>
            <w:tcW w:w="1951" w:type="dxa"/>
            <w:vMerge w:val="continue"/>
            <w:tcBorders/>
            <w:tcMar>
              <w:top w:w="0" w:type="dxa"/>
              <w:left w:w="0" w:type="dxa"/>
              <w:bottom w:w="0" w:type="dxa"/>
              <w:right w:w="0" w:type="dxa"/>
            </w:tcMar>
            <w:vAlign w:val="center"/>
          </w:tcPr>
          <w:p>
            <w:pPr>
              <w:pStyle w:val="Normal"/>
              <w:bidi w:val="0"/>
              <w:jc w:val="left"/>
              <w:rPr/>
            </w:pPr>
            <w:r>
              <w:rPr/>
            </w:r>
          </w:p>
        </w:tc>
      </w:tr>
      <w:tr>
        <w:trPr/>
        <w:tc>
          <w:tcPr>
            <w:tcW w:w="2581" w:type="dxa"/>
            <w:tcBorders/>
            <w:tcMar>
              <w:top w:w="0" w:type="dxa"/>
              <w:left w:w="0" w:type="dxa"/>
              <w:bottom w:w="0" w:type="dxa"/>
              <w:right w:w="0" w:type="dxa"/>
            </w:tcMar>
            <w:vAlign w:val="center"/>
          </w:tcPr>
          <w:p>
            <w:pPr>
              <w:pStyle w:val="TableContents"/>
              <w:bidi w:val="0"/>
              <w:spacing w:before="0" w:after="283"/>
              <w:jc w:val="left"/>
              <w:rPr/>
            </w:pPr>
            <w:r>
              <w:rPr/>
              <w:t> </w:t>
            </w:r>
          </w:p>
        </w:tc>
        <w:tc>
          <w:tcPr>
            <w:tcW w:w="195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2581" w:type="dxa"/>
            <w:vMerge w:val="restart"/>
            <w:tcBorders/>
            <w:tcMar>
              <w:top w:w="0" w:type="dxa"/>
              <w:left w:w="0" w:type="dxa"/>
              <w:bottom w:w="0" w:type="dxa"/>
              <w:right w:w="0" w:type="dxa"/>
            </w:tcMar>
            <w:vAlign w:val="center"/>
          </w:tcPr>
          <w:p>
            <w:pPr>
              <w:pStyle w:val="TableContents"/>
              <w:bidi w:val="0"/>
              <w:jc w:val="left"/>
              <w:rPr>
                <w:rFonts w:ascii="Arial" w:hAnsi="Arial"/>
                <w:color w:val="000000"/>
                <w:sz w:val="20"/>
              </w:rPr>
            </w:pPr>
            <w:r>
              <w:rPr>
                <w:rFonts w:ascii="Arial" w:hAnsi="Arial"/>
                <w:color w:val="000000"/>
                <w:sz w:val="20"/>
              </w:rPr>
              <w:t>Xenon Pharmaceuticals Inc.</w:t>
              <w:br/>
              <w:t>3650 Gilmore Way</w:t>
            </w:r>
          </w:p>
          <w:p>
            <w:pPr>
              <w:pStyle w:val="TableContents"/>
              <w:bidi w:val="0"/>
              <w:jc w:val="left"/>
              <w:rPr>
                <w:rFonts w:ascii="Arial" w:hAnsi="Arial"/>
                <w:color w:val="000000"/>
                <w:sz w:val="20"/>
              </w:rPr>
            </w:pPr>
            <w:r>
              <w:rPr>
                <w:rFonts w:ascii="Arial" w:hAnsi="Arial"/>
                <w:color w:val="000000"/>
                <w:sz w:val="20"/>
              </w:rPr>
              <w:t>Burnaby, BC V5G 4W8</w:t>
            </w:r>
          </w:p>
          <w:p>
            <w:pPr>
              <w:pStyle w:val="TableContents"/>
              <w:bidi w:val="0"/>
              <w:spacing w:before="0" w:after="240"/>
              <w:jc w:val="left"/>
              <w:rPr>
                <w:rFonts w:ascii="Arial" w:hAnsi="Arial"/>
                <w:color w:val="000000"/>
                <w:sz w:val="20"/>
              </w:rPr>
            </w:pPr>
            <w:r>
              <w:rPr>
                <w:rFonts w:ascii="Arial" w:hAnsi="Arial"/>
                <w:color w:val="000000"/>
                <w:sz w:val="20"/>
              </w:rPr>
              <w:t>Canada</w:t>
            </w:r>
          </w:p>
        </w:tc>
        <w:tc>
          <w:tcPr>
            <w:tcW w:w="195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2581" w:type="dxa"/>
            <w:vMerge w:val="continue"/>
            <w:tcBorders/>
            <w:tcMar>
              <w:top w:w="0" w:type="dxa"/>
              <w:left w:w="0" w:type="dxa"/>
              <w:bottom w:w="0" w:type="dxa"/>
              <w:right w:w="0" w:type="dxa"/>
            </w:tcMar>
            <w:vAlign w:val="center"/>
          </w:tcPr>
          <w:p>
            <w:pPr>
              <w:pStyle w:val="Normal"/>
              <w:bidi w:val="0"/>
              <w:jc w:val="left"/>
              <w:rPr/>
            </w:pPr>
            <w:r>
              <w:rPr/>
            </w:r>
          </w:p>
        </w:tc>
        <w:tc>
          <w:tcPr>
            <w:tcW w:w="1951" w:type="dxa"/>
            <w:tcBorders/>
            <w:tcMar>
              <w:top w:w="0" w:type="dxa"/>
              <w:left w:w="0" w:type="dxa"/>
              <w:bottom w:w="0" w:type="dxa"/>
              <w:right w:w="0" w:type="dxa"/>
            </w:tcMar>
            <w:vAlign w:val="center"/>
          </w:tcPr>
          <w:p>
            <w:pPr>
              <w:pStyle w:val="TableContents"/>
              <w:bidi w:val="0"/>
              <w:jc w:val="right"/>
              <w:rPr/>
            </w:pPr>
            <w:r>
              <w:rPr/>
              <w:t> </w:t>
            </w:r>
          </w:p>
          <w:p>
            <w:pPr>
              <w:pStyle w:val="TableContents"/>
              <w:bidi w:val="0"/>
              <w:spacing w:before="0" w:after="283"/>
              <w:jc w:val="right"/>
              <w:rPr/>
            </w:pPr>
            <w:r>
              <w:rPr/>
              <w:t> </w:t>
            </w:r>
          </w:p>
        </w:tc>
      </w:tr>
    </w:tbl>
    <w:p>
      <w:pPr>
        <w:pStyle w:val="TextBody"/>
        <w:bidi w:val="0"/>
        <w:spacing w:before="0" w:after="240"/>
        <w:jc w:val="left"/>
        <w:rPr>
          <w:rFonts w:ascii="Arial" w:hAnsi="Arial"/>
          <w:b/>
          <w:color w:val="000000"/>
          <w:sz w:val="20"/>
        </w:rPr>
      </w:pPr>
      <w:r>
        <w:rPr>
          <w:rFonts w:ascii="Arial" w:hAnsi="Arial"/>
          <w:b/>
          <w:color w:val="000000"/>
          <w:sz w:val="20"/>
        </w:rPr>
        <w:t>RE: Post-Effective Amendment to Registration Statements on Form S-8 of Xenon Pharmaceuticals Inc. (the “Company”)</w:t>
      </w:r>
    </w:p>
    <w:p>
      <w:pPr>
        <w:pStyle w:val="TextBody"/>
        <w:bidi w:val="0"/>
        <w:spacing w:before="0" w:after="240"/>
        <w:jc w:val="both"/>
        <w:rPr>
          <w:rFonts w:ascii="Times New Roman" w:hAnsi="Times New Roman"/>
          <w:sz w:val="20"/>
        </w:rPr>
      </w:pPr>
      <w:r>
        <w:rPr>
          <w:rFonts w:ascii="Arial" w:hAnsi="Arial"/>
          <w:color w:val="000000"/>
          <w:sz w:val="20"/>
        </w:rPr>
        <w:t xml:space="preserve">We have acted as Canadian counsel to the Company, a corporation continued under the federal laws of Canada, in connection with the Post-Effective Amendment No. 1 to the Registration Statements on Form S-8, Reg. Nos. 333-199860, 333-202765, 333-210050, 333-216543, 333-223497, 333-230103, 333-237036, 333-238895, 333-265377 and 333-279962 (the </w:t>
      </w:r>
      <w:r>
        <w:rPr>
          <w:rFonts w:ascii="Times New Roman" w:hAnsi="Times New Roman"/>
          <w:color w:val="000000"/>
          <w:sz w:val="20"/>
        </w:rPr>
        <w:t>“</w:t>
      </w:r>
      <w:r>
        <w:rPr>
          <w:rFonts w:ascii="Arial" w:hAnsi="Arial"/>
          <w:b/>
          <w:color w:val="000000"/>
          <w:sz w:val="20"/>
        </w:rPr>
        <w:t>Post-Effective Amendment”</w:t>
      </w:r>
      <w:r>
        <w:rPr>
          <w:rFonts w:ascii="Arial" w:hAnsi="Arial"/>
          <w:color w:val="000000"/>
          <w:sz w:val="20"/>
        </w:rPr>
        <w:t xml:space="preserve">) to be filed by the Company with the U.S. Securities and Exchange Commission under the Securities Act of 1933, as amended. On June 2, 2026, the shareholders of the Company approved the Company’s 2026 Equity Incentive Plan (the </w:t>
      </w:r>
      <w:r>
        <w:rPr>
          <w:rFonts w:ascii="Times New Roman" w:hAnsi="Times New Roman"/>
          <w:color w:val="000000"/>
          <w:sz w:val="20"/>
        </w:rPr>
        <w:t>“</w:t>
      </w:r>
      <w:r>
        <w:rPr>
          <w:rFonts w:ascii="Arial" w:hAnsi="Arial"/>
          <w:b/>
          <w:color w:val="000000"/>
          <w:sz w:val="20"/>
        </w:rPr>
        <w:t>2026 Plan”</w:t>
      </w:r>
      <w:r>
        <w:rPr>
          <w:rFonts w:ascii="Arial" w:hAnsi="Arial"/>
          <w:color w:val="000000"/>
          <w:sz w:val="20"/>
        </w:rPr>
        <w:t xml:space="preserve">). The total number of common shares in the capital of the Company (the </w:t>
      </w:r>
      <w:r>
        <w:rPr>
          <w:rFonts w:ascii="Times New Roman" w:hAnsi="Times New Roman"/>
          <w:color w:val="000000"/>
          <w:sz w:val="20"/>
        </w:rPr>
        <w:t>“</w:t>
      </w:r>
      <w:r>
        <w:rPr>
          <w:rFonts w:ascii="Arial" w:hAnsi="Arial"/>
          <w:b/>
          <w:color w:val="000000"/>
          <w:sz w:val="20"/>
        </w:rPr>
        <w:t>Shares”</w:t>
      </w:r>
      <w:r>
        <w:rPr>
          <w:rFonts w:ascii="Arial" w:hAnsi="Arial"/>
          <w:color w:val="000000"/>
          <w:sz w:val="20"/>
        </w:rPr>
        <w:t xml:space="preserve">) that may be issued under the 2026 Plan is 19,061,599, which is equal to the sum of (i) 4,400,000 Shares, (ii) 2,873,223 Shares which had been available for issuance under the Company’s Amended and Restated 2014 Equity Incentive Plan (the </w:t>
      </w:r>
      <w:r>
        <w:rPr>
          <w:rFonts w:ascii="Times New Roman" w:hAnsi="Times New Roman"/>
          <w:color w:val="000000"/>
          <w:sz w:val="20"/>
        </w:rPr>
        <w:t>“</w:t>
      </w:r>
      <w:r>
        <w:rPr>
          <w:rFonts w:ascii="Arial" w:hAnsi="Arial"/>
          <w:b/>
          <w:color w:val="000000"/>
          <w:sz w:val="20"/>
        </w:rPr>
        <w:t>2014 Plan”</w:t>
      </w:r>
      <w:r>
        <w:rPr>
          <w:rFonts w:ascii="Arial" w:hAnsi="Arial"/>
          <w:color w:val="000000"/>
          <w:sz w:val="20"/>
        </w:rPr>
        <w:t xml:space="preserve">) and were not issued or subject to outstanding awards under the 2014 Plan, and (iii) up to 11,788,376 Shares subject to outstanding awards under the 2014 Plan that may expire or terminate, or are otherwise surrendered, cancelled, forfeited or repurchased by the Company at their original issuance price pursuant to a contractual repurchase right and would have become available again for issuance under the terms of the 2014 Plan (the Shares described in clauses (ii) and (iii), the </w:t>
      </w:r>
      <w:r>
        <w:rPr>
          <w:rFonts w:ascii="Times New Roman" w:hAnsi="Times New Roman"/>
          <w:color w:val="000000"/>
          <w:sz w:val="20"/>
        </w:rPr>
        <w:t>“</w:t>
      </w:r>
      <w:r>
        <w:rPr>
          <w:rFonts w:ascii="Arial" w:hAnsi="Arial"/>
          <w:b/>
          <w:color w:val="000000"/>
          <w:sz w:val="20"/>
        </w:rPr>
        <w:t>Carryover Shares”</w:t>
      </w:r>
      <w:r>
        <w:rPr>
          <w:rFonts w:ascii="Arial" w:hAnsi="Arial"/>
          <w:color w:val="000000"/>
          <w:sz w:val="20"/>
        </w:rPr>
        <w: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Arial" w:hAnsi="Arial"/>
          <w:color w:val="000000"/>
          <w:sz w:val="20"/>
        </w:rPr>
        <w:t>In connection with giving this opinion, we have examined the Post-Effective Amendment (including exhibits thereto). We have also examined originals, certified or otherwise identified to our satisfaction, of such public and corporate records, certificates, instruments and other documents as we have considered necessary in order to express the opinion set out below. With respect to the accuracy of factual matters material to this opinion, we have relied upon certificates or comparable documents and representations of public officials and of officers and representatives of the Company.</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Arial" w:hAnsi="Arial"/>
          <w:color w:val="000000"/>
          <w:sz w:val="20"/>
        </w:rPr>
        <w:t>In giving this opinion, we have assumed the genuineness of all signatures, the authenticity of all documents submitted to us as originals and the conformity to original documents of all documents submitted to us as copies, certified or otherwise identified to our satisfaction. We have also considered such questions of law as we have deemed relevant and necessary as a basis for the opinion hereinafter expressed.</w:t>
      </w:r>
      <w:r>
        <w:rPr>
          <w:rFonts w:ascii="Times New Roman" w:hAnsi="Times New Roman"/>
          <w:color w:val="000000"/>
          <w:sz w:val="20"/>
        </w:rPr>
        <w:t xml:space="preserve"> </w:t>
      </w:r>
    </w:p>
    <w:p>
      <w:pPr>
        <w:pStyle w:val="TextBody"/>
        <w:bidi w:val="0"/>
        <w:spacing w:before="0" w:after="240"/>
        <w:jc w:val="both"/>
        <w:rPr>
          <w:rFonts w:ascii="Arial" w:hAnsi="Arial"/>
          <w:color w:val="000000"/>
          <w:sz w:val="20"/>
        </w:rPr>
      </w:pPr>
      <w:r>
        <w:rPr>
          <w:rFonts w:ascii="Arial" w:hAnsi="Arial"/>
          <w:color w:val="000000"/>
          <w:sz w:val="20"/>
        </w:rPr>
        <w:t>The opinion expressed herein is limited to matters governed by the laws of the Province of British Columbia and the laws of Canada applicable therein.</w:t>
      </w:r>
    </w:p>
    <w:p>
      <w:pPr>
        <w:pStyle w:val="TextBody"/>
        <w:bidi w:val="0"/>
        <w:spacing w:before="0" w:after="240"/>
        <w:jc w:val="both"/>
        <w:rPr>
          <w:rFonts w:ascii="Arial" w:hAnsi="Arial"/>
          <w:color w:val="000000"/>
          <w:sz w:val="20"/>
        </w:rPr>
      </w:pPr>
      <w:r>
        <w:rPr>
          <w:rFonts w:ascii="Arial" w:hAnsi="Arial"/>
          <w:color w:val="000000"/>
          <w:sz w:val="20"/>
        </w:rPr>
        <w:t>Based and relying upon and subject to the foregoing, we are of the opinion that the Carryover Shares have been duly authorized and, when issued by the Company in accordance with the terms of the 2026 Plan and the agreements contemplated by the 2026 Plan, will be validly issued, fully paid and non-assessable shares in the capital of the Company.</w:t>
      </w:r>
    </w:p>
    <w:p>
      <w:pPr>
        <w:pStyle w:val="TextBody"/>
        <w:bidi w:val="0"/>
        <w:jc w:val="left"/>
        <w:rPr/>
      </w:pPr>
      <w:r>
        <w:rPr/>
        <w:drawing>
          <wp:inline distT="0" distB="0" distL="0" distR="0">
            <wp:extent cx="2800350" cy="2286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29"/>
                    <a:stretch>
                      <a:fillRect/>
                    </a:stretch>
                  </pic:blipFill>
                  <pic:spPr bwMode="auto">
                    <a:xfrm>
                      <a:off x="0" y="0"/>
                      <a:ext cx="2800350" cy="228600"/>
                    </a:xfrm>
                    <a:prstGeom prst="rect">
                      <a:avLst/>
                    </a:prstGeom>
                  </pic:spPr>
                </pic:pic>
              </a:graphicData>
            </a:graphic>
          </wp:inline>
        </w:drawing>
      </w:r>
    </w:p>
    <w:p>
      <w:pPr>
        <w:pStyle w:val="HorizontalLine"/>
        <w:pBdr>
          <w:bottom w:val="double" w:sz="2" w:space="0" w:color="808080"/>
        </w:pBdr>
        <w:bidi w:val="0"/>
        <w:spacing w:before="0" w:after="283"/>
        <w:jc w:val="left"/>
        <w:rPr/>
      </w:pPr>
      <w:r>
        <w:rPr/>
      </w:r>
    </w:p>
    <w:tbl>
      <w:tblPr>
        <w:tblW w:w="8557" w:type="dxa"/>
        <w:jc w:val="left"/>
        <w:tblInd w:w="0" w:type="dxa"/>
        <w:tblLayout w:type="fixed"/>
        <w:tblCellMar>
          <w:top w:w="28" w:type="dxa"/>
          <w:left w:w="28" w:type="dxa"/>
          <w:bottom w:w="28" w:type="dxa"/>
          <w:right w:w="28" w:type="dxa"/>
        </w:tblCellMar>
      </w:tblPr>
      <w:tblGrid>
        <w:gridCol w:w="4286"/>
        <w:gridCol w:w="4271"/>
      </w:tblGrid>
      <w:tr>
        <w:trPr/>
        <w:tc>
          <w:tcPr>
            <w:tcW w:w="4286" w:type="dxa"/>
            <w:tcBorders/>
            <w:vAlign w:val="center"/>
          </w:tcPr>
          <w:p>
            <w:pPr>
              <w:pStyle w:val="TableContents"/>
              <w:bidi w:val="0"/>
              <w:spacing w:before="0" w:after="283"/>
              <w:jc w:val="left"/>
              <w:rPr>
                <w:sz w:val="4"/>
                <w:szCs w:val="4"/>
              </w:rPr>
            </w:pPr>
            <w:r>
              <w:rPr>
                <w:sz w:val="4"/>
                <w:szCs w:val="4"/>
              </w:rPr>
            </w:r>
          </w:p>
        </w:tc>
        <w:tc>
          <w:tcPr>
            <w:tcW w:w="4271" w:type="dxa"/>
            <w:tcBorders/>
            <w:vAlign w:val="center"/>
          </w:tcPr>
          <w:p>
            <w:pPr>
              <w:pStyle w:val="TableContents"/>
              <w:bidi w:val="0"/>
              <w:spacing w:before="0" w:after="283"/>
              <w:jc w:val="left"/>
              <w:rPr>
                <w:sz w:val="4"/>
                <w:szCs w:val="4"/>
              </w:rPr>
            </w:pPr>
            <w:r>
              <w:rPr>
                <w:sz w:val="4"/>
                <w:szCs w:val="4"/>
              </w:rPr>
            </w:r>
          </w:p>
        </w:tc>
      </w:tr>
      <w:tr>
        <w:trPr/>
        <w:tc>
          <w:tcPr>
            <w:tcW w:w="4286"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2657475" cy="4953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30"/>
                          <a:stretch>
                            <a:fillRect/>
                          </a:stretch>
                        </pic:blipFill>
                        <pic:spPr bwMode="auto">
                          <a:xfrm>
                            <a:off x="0" y="0"/>
                            <a:ext cx="2657475" cy="495300"/>
                          </a:xfrm>
                          <a:prstGeom prst="rect">
                            <a:avLst/>
                          </a:prstGeom>
                        </pic:spPr>
                      </pic:pic>
                    </a:graphicData>
                  </a:graphic>
                </wp:inline>
              </w:drawing>
            </w:r>
          </w:p>
        </w:tc>
        <w:tc>
          <w:tcPr>
            <w:tcW w:w="4271" w:type="dxa"/>
            <w:tcBorders/>
            <w:tcMar>
              <w:top w:w="0" w:type="dxa"/>
              <w:left w:w="0" w:type="dxa"/>
              <w:bottom w:w="0" w:type="dxa"/>
              <w:right w:w="0" w:type="dxa"/>
            </w:tcMar>
            <w:vAlign w:val="center"/>
          </w:tcPr>
          <w:p>
            <w:pPr>
              <w:pStyle w:val="TableContents"/>
              <w:bidi w:val="0"/>
              <w:spacing w:before="0" w:after="283"/>
              <w:jc w:val="right"/>
              <w:rPr/>
            </w:pPr>
            <w:r>
              <w:rPr/>
              <w:drawing>
                <wp:inline distT="0" distB="0" distL="0" distR="0">
                  <wp:extent cx="2628900" cy="6858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31"/>
                          <a:stretch>
                            <a:fillRect/>
                          </a:stretch>
                        </pic:blipFill>
                        <pic:spPr bwMode="auto">
                          <a:xfrm>
                            <a:off x="0" y="0"/>
                            <a:ext cx="2628900" cy="685800"/>
                          </a:xfrm>
                          <a:prstGeom prst="rect">
                            <a:avLst/>
                          </a:prstGeom>
                        </pic:spPr>
                      </pic:pic>
                    </a:graphicData>
                  </a:graphic>
                </wp:inline>
              </w:drawing>
            </w:r>
          </w:p>
        </w:tc>
      </w:tr>
    </w:tbl>
    <w:p>
      <w:pPr>
        <w:pStyle w:val="TextBody"/>
        <w:bidi w:val="0"/>
        <w:jc w:val="left"/>
        <w:rPr/>
      </w:pPr>
      <w:r>
        <w:rPr/>
        <w:t> </w:t>
      </w:r>
    </w:p>
    <w:p>
      <w:pPr>
        <w:pStyle w:val="TextBody"/>
        <w:bidi w:val="0"/>
        <w:spacing w:before="0" w:after="240"/>
        <w:jc w:val="both"/>
        <w:rPr>
          <w:rFonts w:ascii="Arial" w:hAnsi="Arial"/>
          <w:color w:val="000000"/>
          <w:sz w:val="20"/>
        </w:rPr>
      </w:pPr>
      <w:r>
        <w:rPr>
          <w:rFonts w:ascii="Arial" w:hAnsi="Arial"/>
          <w:color w:val="000000"/>
          <w:sz w:val="20"/>
        </w:rPr>
        <w:t>We hereby consent to the filing of this opinion letter as an exhibit to the Post-Effective Amendment and further consent to the use of our name wherever appearing in the Post-Effective Amendment.</w:t>
      </w:r>
    </w:p>
    <w:p>
      <w:pPr>
        <w:pStyle w:val="TextBody"/>
        <w:bidi w:val="0"/>
        <w:spacing w:before="0" w:after="240"/>
        <w:jc w:val="both"/>
        <w:rPr>
          <w:rFonts w:ascii="Arial" w:hAnsi="Arial"/>
          <w:color w:val="000000"/>
          <w:sz w:val="20"/>
        </w:rPr>
      </w:pPr>
      <w:r>
        <w:rPr>
          <w:rFonts w:ascii="Arial" w:hAnsi="Arial"/>
          <w:color w:val="000000"/>
          <w:sz w:val="20"/>
        </w:rPr>
        <w:t>This opinion is effective as at the date hereof and is based upon laws in effect and facts in existence as at the date hereof. We express no opinion as to the effect of future laws or judicial decisions on the subject matter hereof, nor do we undertake any duty to modify this opinion to reflect subsequent facts or developments concerning the Company or developments in the law occurring after the date hereof.</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Yours truly,</w:t>
      </w:r>
    </w:p>
    <w:p>
      <w:pPr>
        <w:pStyle w:val="TextBody"/>
        <w:bidi w:val="0"/>
        <w:jc w:val="left"/>
        <w:rPr/>
      </w:pPr>
      <w:r>
        <w:rPr/>
        <w:t> </w:t>
      </w:r>
    </w:p>
    <w:p>
      <w:pPr>
        <w:pStyle w:val="TextBody"/>
        <w:bidi w:val="0"/>
        <w:spacing w:before="0" w:after="240"/>
        <w:jc w:val="both"/>
        <w:rPr>
          <w:rFonts w:ascii="Arial" w:hAnsi="Arial"/>
          <w:color w:val="000000"/>
          <w:sz w:val="20"/>
        </w:rPr>
      </w:pPr>
      <w:r>
        <w:rPr>
          <w:rFonts w:ascii="Arial" w:hAnsi="Arial"/>
          <w:color w:val="000000"/>
          <w:sz w:val="20"/>
        </w:rPr>
        <w:t>/s/ Blake, Cassels &amp; Graydon LLP</w:t>
      </w:r>
    </w:p>
    <w:p>
      <w:pPr>
        <w:pStyle w:val="TextBody"/>
        <w:bidi w:val="0"/>
        <w:jc w:val="left"/>
        <w:rPr/>
      </w:pPr>
      <w:r>
        <w:rPr/>
        <w:drawing>
          <wp:inline distT="0" distB="0" distL="0" distR="0">
            <wp:extent cx="2800350" cy="22860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32"/>
                    <a:stretch>
                      <a:fillRect/>
                    </a:stretch>
                  </pic:blipFill>
                  <pic:spPr bwMode="auto">
                    <a:xfrm>
                      <a:off x="0" y="0"/>
                      <a:ext cx="2800350" cy="228600"/>
                    </a:xfrm>
                    <a:prstGeom prst="rect">
                      <a:avLst/>
                    </a:prstGeom>
                  </pic:spPr>
                </pic:pic>
              </a:graphicData>
            </a:graphic>
          </wp:inline>
        </w:drawing>
      </w:r>
    </w:p>
    <w:p>
      <w:pPr>
        <w:pStyle w:val="HorizontalLine"/>
        <w:pBdr>
          <w:bottom w:val="double" w:sz="2" w:space="0" w:color="808080"/>
        </w:pBdr>
        <w:bidi w:val="0"/>
        <w:spacing w:before="0" w:after="283"/>
        <w:jc w:val="left"/>
        <w:rPr/>
      </w:pPr>
      <w:r>
        <w:rPr/>
      </w:r>
    </w:p>
    <w:p>
      <w:pPr>
        <w:pStyle w:val="TextBody"/>
        <w:bidi w:val="0"/>
        <w:spacing w:before="20" w:after="20"/>
        <w:jc w:val="left"/>
        <w:rPr/>
      </w:pPr>
      <w:bookmarkStart w:id="11" w:name="xene-ex23_1.htm"/>
      <w:bookmarkStart w:id="12" w:name="ksxeneex23_1"/>
      <w:bookmarkEnd w:id="11"/>
      <w:bookmarkEnd w:id="12"/>
      <w:r>
        <w:rPr/>
        <w:t> </w:t>
      </w:r>
      <w:r>
        <w:br w:type="page"/>
      </w:r>
    </w:p>
    <w:p>
      <w:pPr>
        <w:pStyle w:val="TextBody"/>
        <w:bidi w:val="0"/>
        <w:spacing w:before="0" w:after="240"/>
        <w:jc w:val="right"/>
        <w:rPr>
          <w:rFonts w:ascii="Times New Roman" w:hAnsi="Times New Roman"/>
          <w:b/>
          <w:color w:val="000000"/>
          <w:sz w:val="20"/>
        </w:rPr>
      </w:pPr>
      <w:r>
        <w:rPr>
          <w:rFonts w:ascii="Times New Roman" w:hAnsi="Times New Roman"/>
          <w:b/>
          <w:color w:val="000000"/>
          <w:sz w:val="20"/>
        </w:rPr>
        <w:t>Exhibit 23.1</w:t>
      </w:r>
    </w:p>
    <w:p>
      <w:pPr>
        <w:pStyle w:val="TextBody"/>
        <w:bidi w:val="0"/>
        <w:spacing w:before="0" w:after="20"/>
        <w:jc w:val="left"/>
        <w:rPr/>
      </w:pPr>
      <w:r>
        <w:rPr/>
        <w:t> </w:t>
      </w:r>
    </w:p>
    <w:p>
      <w:pPr>
        <w:pStyle w:val="TextBody"/>
        <w:bidi w:val="0"/>
        <w:spacing w:before="460" w:after="480"/>
        <w:jc w:val="center"/>
        <w:rPr>
          <w:rFonts w:ascii="Georgia;serif" w:hAnsi="Georgia;serif"/>
          <w:color w:val="000000"/>
          <w:sz w:val="20"/>
        </w:rPr>
      </w:pPr>
      <w:r>
        <w:rPr>
          <w:rFonts w:ascii="Georgia;serif" w:hAnsi="Georgia;serif"/>
          <w:color w:val="000000"/>
          <w:sz w:val="20"/>
        </w:rPr>
        <w:t>CONSENT OF INDEPENDENT REGISTERED PUBLIC ACCOUNTING FIRM</w:t>
      </w:r>
    </w:p>
    <w:p>
      <w:pPr>
        <w:pStyle w:val="TextBody"/>
        <w:bidi w:val="0"/>
        <w:spacing w:before="0" w:after="120"/>
        <w:jc w:val="left"/>
        <w:rPr>
          <w:rFonts w:ascii="Times New Roman" w:hAnsi="Times New Roman"/>
          <w:sz w:val="20"/>
        </w:rPr>
      </w:pPr>
      <w:r>
        <w:rPr>
          <w:rFonts w:ascii="Georgia;serif" w:hAnsi="Georgia;serif"/>
          <w:color w:val="000000"/>
          <w:sz w:val="20"/>
        </w:rPr>
        <w:t>We hereby consent to the incorporation by reference in this Post-effective Amendment No. 1 to Registration Statement on Form S-8 (Nos. 333-199860, 333-202765, 333-210050, 333-216543, 333-223497, 333-230103, 333-237036, 333-238895, 333-265377, and 333-279962) of Xenon Pharmaceuticals Inc. of our report dated February 26, 2026 relating to the financial statements and the effectiveness of internal control over financial reporting, which appears in Xenon Pharmaceuticals Inc.'s Annual Report on Form 10-K for the year ended December 31, 2025.</w:t>
      </w:r>
      <w:r>
        <w:rPr>
          <w:rFonts w:ascii="Times New Roman" w:hAnsi="Times New Roman"/>
          <w:color w:val="000000"/>
          <w:sz w:val="20"/>
        </w:rPr>
        <w:t xml:space="preserve"> </w:t>
      </w:r>
    </w:p>
    <w:p>
      <w:pPr>
        <w:pStyle w:val="TextBody"/>
        <w:bidi w:val="0"/>
        <w:spacing w:before="120" w:after="283"/>
        <w:jc w:val="left"/>
        <w:rPr>
          <w:rFonts w:ascii="Georgia;serif" w:hAnsi="Georgia;serif"/>
          <w:color w:val="000000"/>
          <w:sz w:val="20"/>
        </w:rPr>
      </w:pPr>
      <w:r>
        <w:rPr>
          <w:rFonts w:ascii="Georgia;serif" w:hAnsi="Georgia;serif"/>
          <w:color w:val="000000"/>
          <w:sz w:val="20"/>
        </w:rPr>
        <w:t>/s/ PricewaterhouseCoopers LLP</w:t>
        <w:br/>
        <w:t>Boston, Massachusetts</w:t>
        <w:br/>
        <w:t>June 3, 2026</w:t>
      </w:r>
    </w:p>
    <w:p>
      <w:pPr>
        <w:pStyle w:val="TextBody"/>
        <w:bidi w:val="0"/>
        <w:spacing w:before="120" w:after="120"/>
        <w:jc w:val="left"/>
        <w:rPr/>
      </w:pPr>
      <w:r>
        <w:rPr/>
        <w:t> </w:t>
      </w:r>
    </w:p>
    <w:p>
      <w:pPr>
        <w:pStyle w:val="TextBody"/>
        <w:bidi w:val="0"/>
        <w:spacing w:before="120" w:after="283"/>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0" w:after="20"/>
        <w:jc w:val="left"/>
        <w:rPr/>
      </w:pPr>
      <w:bookmarkStart w:id="13" w:name="xene-ex23_2.htm"/>
      <w:bookmarkStart w:id="14" w:name="ksxeneex23_2"/>
      <w:bookmarkEnd w:id="13"/>
      <w:bookmarkEnd w:id="14"/>
      <w:r>
        <w:rPr/>
        <w:t> </w:t>
      </w:r>
      <w:r>
        <w:br w:type="page"/>
      </w:r>
    </w:p>
    <w:p>
      <w:pPr>
        <w:pStyle w:val="TextBody"/>
        <w:bidi w:val="0"/>
        <w:spacing w:before="120" w:after="120"/>
        <w:jc w:val="right"/>
        <w:rPr>
          <w:rFonts w:ascii="Times New Roman" w:hAnsi="Times New Roman"/>
          <w:b/>
          <w:color w:val="000000"/>
          <w:sz w:val="20"/>
        </w:rPr>
      </w:pPr>
      <w:r>
        <w:rPr>
          <w:rFonts w:ascii="Times New Roman" w:hAnsi="Times New Roman"/>
          <w:b/>
          <w:color w:val="000000"/>
          <w:sz w:val="20"/>
        </w:rPr>
        <w:t>Exhibit 23.2</w:t>
      </w:r>
    </w:p>
    <w:p>
      <w:pPr>
        <w:pStyle w:val="TextBody"/>
        <w:bidi w:val="0"/>
        <w:spacing w:before="0" w:after="120"/>
        <w:jc w:val="center"/>
        <w:rPr/>
      </w:pPr>
      <w:r>
        <w:rPr/>
        <w:t> </w:t>
      </w:r>
    </w:p>
    <w:p>
      <w:pPr>
        <w:pStyle w:val="TextBody"/>
        <w:bidi w:val="0"/>
        <w:spacing w:before="0" w:after="120"/>
        <w:jc w:val="center"/>
        <w:rPr>
          <w:rFonts w:ascii="Arial" w:hAnsi="Arial"/>
          <w:b/>
          <w:color w:val="000000"/>
          <w:sz w:val="20"/>
        </w:rPr>
      </w:pPr>
      <w:r>
        <w:rPr>
          <w:rFonts w:ascii="Arial" w:hAnsi="Arial"/>
          <w:b/>
          <w:color w:val="000000"/>
          <w:sz w:val="20"/>
        </w:rPr>
        <w:t>Consent of Independent Registered Public Accounting Firm</w:t>
      </w:r>
    </w:p>
    <w:p>
      <w:pPr>
        <w:pStyle w:val="TextBody"/>
        <w:bidi w:val="0"/>
        <w:spacing w:before="0" w:after="120"/>
        <w:jc w:val="center"/>
        <w:rPr/>
      </w:pPr>
      <w:r>
        <w:rPr/>
        <w:t> </w:t>
      </w:r>
    </w:p>
    <w:p>
      <w:pPr>
        <w:pStyle w:val="TextBody"/>
        <w:bidi w:val="0"/>
        <w:spacing w:before="0" w:after="120"/>
        <w:jc w:val="left"/>
        <w:rPr>
          <w:rFonts w:ascii="Arial" w:hAnsi="Arial"/>
          <w:color w:val="000000"/>
          <w:sz w:val="20"/>
        </w:rPr>
      </w:pPr>
      <w:r>
        <w:rPr>
          <w:rFonts w:ascii="Arial" w:hAnsi="Arial"/>
          <w:color w:val="000000"/>
          <w:sz w:val="20"/>
        </w:rPr>
        <w:t>The Board of Directors</w:t>
      </w:r>
    </w:p>
    <w:p>
      <w:pPr>
        <w:pStyle w:val="TextBody"/>
        <w:bidi w:val="0"/>
        <w:spacing w:before="0" w:after="120"/>
        <w:jc w:val="left"/>
        <w:rPr>
          <w:rFonts w:ascii="Arial" w:hAnsi="Arial"/>
          <w:color w:val="000000"/>
          <w:sz w:val="20"/>
        </w:rPr>
      </w:pPr>
      <w:r>
        <w:rPr>
          <w:rFonts w:ascii="Arial" w:hAnsi="Arial"/>
          <w:color w:val="000000"/>
          <w:sz w:val="20"/>
        </w:rPr>
        <w:t>Xenon Pharmaceuticals Inc.</w:t>
      </w:r>
    </w:p>
    <w:p>
      <w:pPr>
        <w:pStyle w:val="TextBody"/>
        <w:bidi w:val="0"/>
        <w:spacing w:before="0" w:after="120"/>
        <w:jc w:val="left"/>
        <w:rPr>
          <w:rFonts w:ascii="Times New Roman" w:hAnsi="Times New Roman"/>
          <w:sz w:val="20"/>
        </w:rPr>
      </w:pPr>
      <w:r>
        <w:rPr>
          <w:rFonts w:ascii="Arial" w:hAnsi="Arial"/>
          <w:color w:val="000000"/>
          <w:sz w:val="20"/>
        </w:rPr>
        <w:t>We consent to the use of our report dated February 27, 2025, on the consolidated financial statements of Xenon Pharmaceuticals Inc. (“the Entity”), which comprise the consolidated balance sheet as of December 31, 2024, the related consolidated statements of operations and comprehensive loss, shareholders’ equity and cash flows for each of the years in the two-year period ended December 31, 2024, and the related notes, which is incorporated by reference in the Registration Statement on Form S-8 dated June 3, 2026 of the Entity.</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/s/ KPMG LLP</w:t>
      </w:r>
    </w:p>
    <w:p>
      <w:pPr>
        <w:pStyle w:val="TextBody"/>
        <w:bidi w:val="0"/>
        <w:spacing w:before="0" w:after="240"/>
        <w:jc w:val="left"/>
        <w:rPr/>
      </w:pPr>
      <w:r>
        <w:rPr/>
        <w:t> </w:t>
      </w:r>
    </w:p>
    <w:p>
      <w:pPr>
        <w:pStyle w:val="TextBody"/>
        <w:bidi w:val="0"/>
        <w:spacing w:before="0" w:after="240"/>
        <w:jc w:val="left"/>
        <w:rPr>
          <w:rFonts w:ascii="Arial" w:hAnsi="Arial"/>
          <w:color w:val="000000"/>
          <w:sz w:val="20"/>
        </w:rPr>
      </w:pPr>
      <w:r>
        <w:rPr>
          <w:rFonts w:ascii="Arial" w:hAnsi="Arial"/>
          <w:color w:val="000000"/>
          <w:sz w:val="20"/>
        </w:rPr>
        <w:t>Chartered Professional Accountants</w:t>
      </w:r>
    </w:p>
    <w:p>
      <w:pPr>
        <w:pStyle w:val="TextBody"/>
        <w:bidi w:val="0"/>
        <w:jc w:val="left"/>
        <w:rPr>
          <w:rFonts w:ascii="Arial" w:hAnsi="Arial"/>
          <w:color w:val="000000"/>
          <w:sz w:val="20"/>
        </w:rPr>
      </w:pPr>
      <w:r>
        <w:rPr>
          <w:rFonts w:ascii="Arial" w:hAnsi="Arial"/>
          <w:color w:val="000000"/>
          <w:sz w:val="20"/>
        </w:rPr>
        <w:t>June 3, 2026</w:t>
      </w:r>
    </w:p>
    <w:p>
      <w:pPr>
        <w:pStyle w:val="TextBody"/>
        <w:bidi w:val="0"/>
        <w:jc w:val="left"/>
        <w:rPr>
          <w:rFonts w:ascii="Arial" w:hAnsi="Arial"/>
          <w:color w:val="000000"/>
          <w:sz w:val="20"/>
        </w:rPr>
      </w:pPr>
      <w:r>
        <w:rPr>
          <w:rFonts w:ascii="Arial" w:hAnsi="Arial"/>
          <w:color w:val="000000"/>
          <w:sz w:val="20"/>
        </w:rPr>
        <w:t>Vancouver, Canada</w:t>
      </w:r>
    </w:p>
    <w:p>
      <w:pPr>
        <w:pStyle w:val="TextBody"/>
        <w:bidi w:val="0"/>
        <w:spacing w:before="120" w:after="120"/>
        <w:jc w:val="left"/>
        <w:rPr/>
      </w:pPr>
      <w:r>
        <w:rPr/>
        <w:t> </w:t>
      </w:r>
    </w:p>
    <w:p>
      <w:pPr>
        <w:pStyle w:val="TextBody"/>
        <w:bidi w:val="0"/>
        <w:spacing w:before="0" w:after="120"/>
        <w:jc w:val="left"/>
        <w:rPr/>
      </w:pPr>
      <w:r>
        <w:rPr/>
        <w:t> </w:t>
      </w:r>
    </w:p>
    <w:p>
      <w:pPr>
        <w:pStyle w:val="TextBody"/>
        <w:bidi w:val="0"/>
        <w:spacing w:before="0" w:after="12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 w:name="Georgia">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ix?doc=/Archives/edgar/data/0001582313/000119312526076650/xene-20251231.htm" TargetMode="External"/><Relationship Id="rId3" Type="http://schemas.openxmlformats.org/officeDocument/2006/relationships/hyperlink" Target="https://www.sec.gov/Archives/edgar/data/0001582313/000119312514369146/d803267d8a12b.htm" TargetMode="External"/><Relationship Id="rId4" Type="http://schemas.openxmlformats.org/officeDocument/2006/relationships/hyperlink" Target="https://www.sec.gov/Archives/edgar/data/1582313/000119312514363909/d582812dex41.htm" TargetMode="External"/><Relationship Id="rId5" Type="http://schemas.openxmlformats.org/officeDocument/2006/relationships/hyperlink" Target="https://www.sec.gov/Archives/edgar/data/1582313/000095017024069318/xene-ex10_1.htm" TargetMode="External"/><Relationship Id="rId6" Type="http://schemas.openxmlformats.org/officeDocument/2006/relationships/hyperlink" Target="https://www.sec.gov/ix?doc=/Archives/edgar/data/0001582313/000119312526255396/xene-20260602.htm" TargetMode="External"/><Relationship Id="rId7" Type="http://schemas.openxmlformats.org/officeDocument/2006/relationships/hyperlink" Target="https://www.sec.gov/Archives/edgar/data/1582313/000119312514397217/d806103dex51.htm" TargetMode="External"/><Relationship Id="rId8" Type="http://schemas.openxmlformats.org/officeDocument/2006/relationships/hyperlink" Target="https://www.sec.gov/Archives/edgar/data/1582313/000117184315001400/exh_51.htm" TargetMode="External"/><Relationship Id="rId9" Type="http://schemas.openxmlformats.org/officeDocument/2006/relationships/hyperlink" Target="https://www.sec.gov/Archives/edgar/data/1582313/000156459016014310/xene-ex51_9.htm" TargetMode="External"/><Relationship Id="rId10" Type="http://schemas.openxmlformats.org/officeDocument/2006/relationships/hyperlink" Target="https://www.sec.gov/Archives/edgar/data/1582313/000156459017003725/xene-ex51_42.htm" TargetMode="External"/><Relationship Id="rId11" Type="http://schemas.openxmlformats.org/officeDocument/2006/relationships/hyperlink" Target="https://www.sec.gov/Archives/edgar/data/1582313/000156459018004754/xene-ex51_7.htm" TargetMode="External"/><Relationship Id="rId12" Type="http://schemas.openxmlformats.org/officeDocument/2006/relationships/hyperlink" Target="https://www.sec.gov/Archives/edgar/data/1582313/000156459019006522/xene-ex51_7.htm" TargetMode="External"/><Relationship Id="rId13" Type="http://schemas.openxmlformats.org/officeDocument/2006/relationships/hyperlink" Target="https://www.sec.gov/Archives/edgar/data/1582313/000156459020009391/xene-ex51_6.htm" TargetMode="External"/><Relationship Id="rId14" Type="http://schemas.openxmlformats.org/officeDocument/2006/relationships/hyperlink" Target="https://www.sec.gov/Archives/edgar/data/1582313/000156459020028139/xene-ex51_6.htm" TargetMode="External"/><Relationship Id="rId15" Type="http://schemas.openxmlformats.org/officeDocument/2006/relationships/hyperlink" Target="https://www.sec.gov/Archives/edgar/data/1582313/000156459022022244/xene-ex51_6.htm" TargetMode="External"/><Relationship Id="rId16" Type="http://schemas.openxmlformats.org/officeDocument/2006/relationships/hyperlink" Target="https://www.sec.gov/Archives/edgar/data/1582313/000095017024069340/xene-ex5_1.htm" TargetMode="External"/><Relationship Id="rId17" Type="http://schemas.openxmlformats.org/officeDocument/2006/relationships/hyperlink" Target="https://www.sec.gov/Archives/edgar/data/1582313/000119312514397217/d806103dex51.htm" TargetMode="External"/><Relationship Id="rId18" Type="http://schemas.openxmlformats.org/officeDocument/2006/relationships/hyperlink" Target="https://www.sec.gov/Archives/edgar/data/1582313/000117184315001400/exh_51.htm" TargetMode="External"/><Relationship Id="rId19" Type="http://schemas.openxmlformats.org/officeDocument/2006/relationships/hyperlink" Target="https://www.sec.gov/Archives/edgar/data/1582313/000156459016014310/xene-ex51_9.htm" TargetMode="External"/><Relationship Id="rId20" Type="http://schemas.openxmlformats.org/officeDocument/2006/relationships/hyperlink" Target="https://www.sec.gov/Archives/edgar/data/1582313/000156459017003725/xene-ex51_42.htm" TargetMode="External"/><Relationship Id="rId21" Type="http://schemas.openxmlformats.org/officeDocument/2006/relationships/hyperlink" Target="https://www.sec.gov/Archives/edgar/data/1582313/000156459018004754/xene-ex51_7.htm" TargetMode="External"/><Relationship Id="rId22" Type="http://schemas.openxmlformats.org/officeDocument/2006/relationships/hyperlink" Target="https://www.sec.gov/Archives/edgar/data/1582313/000156459019006522/xene-ex51_7.htm" TargetMode="External"/><Relationship Id="rId23" Type="http://schemas.openxmlformats.org/officeDocument/2006/relationships/hyperlink" Target="https://www.sec.gov/Archives/edgar/data/1582313/000156459020009391/xene-ex51_6.htm" TargetMode="External"/><Relationship Id="rId24" Type="http://schemas.openxmlformats.org/officeDocument/2006/relationships/hyperlink" Target="https://www.sec.gov/Archives/edgar/data/1582313/000156459020028139/xene-ex51_6.htm" TargetMode="External"/><Relationship Id="rId25" Type="http://schemas.openxmlformats.org/officeDocument/2006/relationships/hyperlink" Target="https://www.sec.gov/Archives/edgar/data/1582313/000156459022022244/xene-ex51_6.htm" TargetMode="External"/><Relationship Id="rId26" Type="http://schemas.openxmlformats.org/officeDocument/2006/relationships/hyperlink" Target="https://www.sec.gov/Archives/edgar/data/1582313/000095017024069340/xene-ex5_1.htm" TargetMode="External"/><Relationship Id="rId27" Type="http://schemas.openxmlformats.org/officeDocument/2006/relationships/image" Target="media/image1.gif"/><Relationship Id="rId28" Type="http://schemas.openxmlformats.org/officeDocument/2006/relationships/image" Target="media/image2.gif"/><Relationship Id="rId29" Type="http://schemas.openxmlformats.org/officeDocument/2006/relationships/image" Target="media/image3.gif"/><Relationship Id="rId30" Type="http://schemas.openxmlformats.org/officeDocument/2006/relationships/image" Target="media/image1.gif"/><Relationship Id="rId31" Type="http://schemas.openxmlformats.org/officeDocument/2006/relationships/image" Target="media/image2.gif"/><Relationship Id="rId32" Type="http://schemas.openxmlformats.org/officeDocument/2006/relationships/image" Target="media/image3.gif"/><Relationship Id="rId33" Type="http://schemas.openxmlformats.org/officeDocument/2006/relationships/fontTable" Target="fontTable.xml"/><Relationship Id="rId3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4629</Words>
  <Characters>24900</Characters>
  <CharactersWithSpaces>29764</CharactersWithSpaces>
  <Paragraphs>962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