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ene-20260331.htm"/>
      <w:bookmarkStart w:id="1" w:name="ksxene20260331"/>
      <w:bookmarkEnd w:id="0"/>
      <w:bookmarkEnd w:id="1"/>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20"/>
          <w:u w:val="single"/>
        </w:rPr>
        <w:t>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20"/>
          <w:u w:val="single"/>
        </w:rPr>
        <w:t>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001-36687</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120" w:after="120"/>
        <w:jc w:val="center"/>
        <w:rPr/>
      </w:pPr>
      <w:r>
        <w:rPr/>
        <w:t> </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3181"/>
        <w:gridCol w:w="1246"/>
      </w:tblGrid>
      <w:tr>
        <w:trPr/>
        <w:tc>
          <w:tcPr>
            <w:tcW w:w="31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31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8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3650 Gilmore Way</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Burnaby, British Columbia, 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V5G 4W8</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(604) 484-3300</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2671"/>
        <w:gridCol w:w="146"/>
        <w:gridCol w:w="826"/>
        <w:gridCol w:w="146"/>
        <w:gridCol w:w="3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Common Shares, without par value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XENE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8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12" w:type="dxa"/>
        <w:jc w:val="left"/>
        <w:tblInd w:w="0" w:type="dxa"/>
        <w:tblLayout w:type="fixed"/>
        <w:tblCellMar>
          <w:top w:w="28" w:type="dxa"/>
          <w:left w:w="28" w:type="dxa"/>
          <w:bottom w:w="28" w:type="dxa"/>
          <w:right w:w="28" w:type="dxa"/>
        </w:tblCellMar>
      </w:tblPr>
      <w:tblGrid>
        <w:gridCol w:w="1666"/>
        <w:gridCol w:w="146"/>
        <w:gridCol w:w="376"/>
        <w:gridCol w:w="146"/>
        <w:gridCol w:w="207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4, 2026, the registrant had 96,665,550</w:t>
      </w:r>
      <w:r>
        <w:rPr>
          <w:rFonts w:ascii="Times New Roman" w:hAnsi="Times New Roman"/>
          <w:color w:val="000000"/>
          <w:sz w:val="20"/>
        </w:rPr>
        <w:t xml:space="preserve"> </w:t>
      </w:r>
      <w:r>
        <w:rPr>
          <w:rFonts w:ascii="Times New Roman" w:hAnsi="Times New Roman"/>
          <w:color w:val="000000"/>
          <w:sz w:val="18"/>
        </w:rPr>
        <w:t>common shares, without par value,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MARCH 31,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9077" w:type="dxa"/>
        <w:jc w:val="left"/>
        <w:tblInd w:w="0" w:type="dxa"/>
        <w:tblLayout w:type="fixed"/>
        <w:tblCellMar>
          <w:top w:w="28" w:type="dxa"/>
          <w:left w:w="28" w:type="dxa"/>
          <w:bottom w:w="28" w:type="dxa"/>
          <w:right w:w="28" w:type="dxa"/>
        </w:tblCellMar>
      </w:tblPr>
      <w:tblGrid>
        <w:gridCol w:w="8226"/>
        <w:gridCol w:w="851"/>
      </w:tblGrid>
      <w:tr>
        <w:trPr/>
        <w:tc>
          <w:tcPr>
            <w:tcW w:w="82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822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b/>
                <w:color w:val="000000"/>
                <w:sz w:val="16"/>
                <w:u w:val="single"/>
              </w:rPr>
            </w:pPr>
            <w:r>
              <w:rPr>
                <w:rFonts w:ascii="Times New Roman" w:hAnsi="Times New Roman"/>
                <w:b/>
                <w:color w:val="000000"/>
                <w:sz w:val="16"/>
                <w:u w:val="single"/>
              </w:rPr>
              <w:t>Page</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part_i_financial_information">
              <w:r>
                <w:rPr>
                  <w:rStyle w:val="InternetLink"/>
                  <w:rFonts w:ascii="Times New Roman" w:hAnsi="Times New Roman"/>
                  <w:color w:val="0000FF"/>
                  <w:sz w:val="20"/>
                  <w:u w:val="single"/>
                </w:rPr>
                <w:t>PART I. FINANCIAL INFORMATION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2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2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cons_balance_sheets">
              <w:r>
                <w:rPr>
                  <w:rStyle w:val="InternetLink"/>
                  <w:rFonts w:ascii="Times New Roman" w:hAnsi="Times New Roman"/>
                  <w:color w:val="0000FF"/>
                  <w:sz w:val="20"/>
                  <w:u w:val="single"/>
                </w:rPr>
                <w:t>Condensed Consolidated Balance Sheets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cons_statements_operations">
              <w:r>
                <w:rPr>
                  <w:rStyle w:val="InternetLink"/>
                  <w:rFonts w:ascii="Times New Roman" w:hAnsi="Times New Roman"/>
                  <w:color w:val="0000FF"/>
                  <w:sz w:val="20"/>
                  <w:u w:val="single"/>
                </w:rPr>
                <w:t>Condensed Consolidated Statements of Operations and Comprehensive Loss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cons_statements_equity">
              <w:r>
                <w:rPr>
                  <w:rStyle w:val="InternetLink"/>
                  <w:rFonts w:ascii="Times New Roman" w:hAnsi="Times New Roman"/>
                  <w:color w:val="0000FF"/>
                  <w:sz w:val="20"/>
                  <w:u w:val="single"/>
                </w:rPr>
                <w:t>Condensed Consolidated Statements of Shareholders’ Equity</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cons_statements_cashflow">
              <w:r>
                <w:rPr>
                  <w:rStyle w:val="InternetLink"/>
                  <w:rFonts w:ascii="Times New Roman" w:hAnsi="Times New Roman"/>
                  <w:color w:val="0000FF"/>
                  <w:sz w:val="20"/>
                  <w:u w:val="single"/>
                </w:rPr>
                <w:t>Condensed Consolidated Statements of Cash Flows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notes_to_cons_financial_statements">
              <w:r>
                <w:rPr>
                  <w:rStyle w:val="InternetLink"/>
                  <w:rFonts w:ascii="Times New Roman" w:hAnsi="Times New Roman"/>
                  <w:color w:val="0000FF"/>
                  <w:sz w:val="20"/>
                  <w:u w:val="single"/>
                </w:rPr>
                <w:t>Notes to Condensed Consolidated Financial Statements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2_management_discussion_analysis">
              <w:r>
                <w:rPr>
                  <w:rStyle w:val="InternetLink"/>
                  <w:rFonts w:ascii="Times New Roman" w:hAnsi="Times New Roman"/>
                  <w:color w:val="0000FF"/>
                  <w:sz w:val="20"/>
                  <w:u w:val="single"/>
                </w:rPr>
                <w:t>Item 2. Management’s Discussion and Analysis of Financial Condition and Results of Operations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23</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4_controls_and_procedures">
              <w:r>
                <w:rPr>
                  <w:rStyle w:val="InternetLink"/>
                  <w:rFonts w:ascii="Times New Roman" w:hAnsi="Times New Roman"/>
                  <w:color w:val="0000FF"/>
                  <w:sz w:val="20"/>
                  <w:u w:val="single"/>
                </w:rPr>
                <w:t>Item 4. Controls and Procedures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part_ii_other_information">
              <w:r>
                <w:rPr>
                  <w:rStyle w:val="InternetLink"/>
                  <w:rFonts w:ascii="Times New Roman" w:hAnsi="Times New Roman"/>
                  <w:color w:val="0000FF"/>
                  <w:sz w:val="20"/>
                  <w:u w:val="single"/>
                </w:rPr>
                <w:t>PART II. OTHER INFORMATION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Item 1. Legal Proceedings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25</w:t>
            </w:r>
          </w:p>
        </w:tc>
      </w:tr>
      <w:tr>
        <w:trPr/>
        <w:tc>
          <w:tcPr>
            <w:tcW w:w="8226" w:type="dxa"/>
            <w:tcBorders/>
            <w:tcMar>
              <w:top w:w="0" w:type="dxa"/>
              <w:left w:w="0" w:type="dxa"/>
              <w:bottom w:w="0" w:type="dxa"/>
              <w:right w:w="0" w:type="dxa"/>
            </w:tcMar>
            <w:vAlign w:val="center"/>
          </w:tcPr>
          <w:p>
            <w:pPr>
              <w:pStyle w:val="TableContents"/>
              <w:bidi w:val="0"/>
              <w:ind w:left="0" w:right="0" w:firstLine="490"/>
              <w:jc w:val="left"/>
              <w:rPr/>
            </w:pPr>
            <w:r>
              <w:rPr/>
              <w:t> </w:t>
            </w:r>
          </w:p>
          <w:p>
            <w:pPr>
              <w:pStyle w:val="TableContents"/>
              <w:bidi w:val="0"/>
              <w:spacing w:before="0" w:after="283"/>
              <w:ind w:left="0" w:right="0" w:firstLine="490"/>
              <w:jc w:val="left"/>
              <w:rPr/>
            </w:pPr>
            <w:hyperlink w:anchor="item_1a_risk_factors">
              <w:r>
                <w:rPr>
                  <w:rStyle w:val="InternetLink"/>
                  <w:rFonts w:ascii="Times New Roman" w:hAnsi="Times New Roman"/>
                  <w:color w:val="0000FF"/>
                  <w:sz w:val="20"/>
                  <w:u w:val="single"/>
                </w:rPr>
                <w:t>Item 1A. Risk Factors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5_other_information">
              <w:r>
                <w:rPr>
                  <w:rStyle w:val="InternetLink"/>
                  <w:rFonts w:ascii="Times New Roman" w:hAnsi="Times New Roman"/>
                  <w:color w:val="0000FF"/>
                  <w:sz w:val="20"/>
                  <w:u w:val="single"/>
                </w:rPr>
                <w:t>Item 5. Other Information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66</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Item 6. Exhibits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67</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Quarterly Report on Form 10-Q, “we,” “our,” “us,” “Xenon,” and “the Company” refer to Xenon Pharmaceuticals Inc. and its subsidiary. “Xenon” and the Xenon logo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highlighted in the section of this report captioned “Risk Factors.” The following is a summary of the principal risks we face: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substantially depends upon the successful development of azetukalner. If we are unable to obtain regulatory approval for, and successfully commercialize, azetukalner, our business may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studies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find it difficult to enroll patients in our clinical studies which could delay or prevent the successful completion of clinical studies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incur unexpected costs or experience delays in completing, or ultimately be unable to complete, the development and commercialization of our, or our collaborators’,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our own sales, marketing and distribution capabilities or enter into agreements for these purposes, we may not be successful in independently commercializing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for successful development and commercialization of our partnered products and product candidates are dependent upon the research, development and marketing efforts of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manufacture our product candidates may increase the risk that we will not have sufficient quantities of our product candidates, raw materials, APIs or drug products when needed or at an acceptable cost.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pre-clinical studies and clinical studies. If these third parties do not successfully carry out their contractual duties, including to comply with applicable laws and regulations or meet expected deadlines, our business could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unsuccessful in obtaining or maintaining adequate patent protection for one or more of our products, product candidates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shares may be volatile, and purchasers of our common shares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and issuances of our common shares or securities convertible into or exchangeable for common shares would cause our shareholders to incur dilution and could cause the market price of our common shares to fall.</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4" w:name="cons_balance_sheets"/>
      <w:bookmarkEnd w:id="4"/>
      <w:r>
        <w:rPr>
          <w:rFonts w:ascii="Times New Roman" w:hAnsi="Times New Roman"/>
          <w:color w:val="000000"/>
          <w:sz w:val="20"/>
        </w:rPr>
        <w:t>Condensed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9694" w:type="dxa"/>
        <w:jc w:val="left"/>
        <w:tblInd w:w="0" w:type="dxa"/>
        <w:tblLayout w:type="fixed"/>
        <w:tblCellMar>
          <w:top w:w="28" w:type="dxa"/>
          <w:left w:w="28" w:type="dxa"/>
          <w:bottom w:w="28" w:type="dxa"/>
          <w:right w:w="28" w:type="dxa"/>
        </w:tblCellMar>
      </w:tblPr>
      <w:tblGrid>
        <w:gridCol w:w="6241"/>
        <w:gridCol w:w="146"/>
        <w:gridCol w:w="211"/>
        <w:gridCol w:w="991"/>
        <w:gridCol w:w="166"/>
        <w:gridCol w:w="146"/>
        <w:gridCol w:w="211"/>
        <w:gridCol w:w="991"/>
        <w:gridCol w:w="59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20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20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Marketable securities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long-term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long-term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(note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long-term</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without par value; unlimited shares authorized; issued and</w:t>
              <w:br/>
              <w:t>   outstanding: 96,624,123 (December 31, 2025 - 80,010,790)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5" w:name="cons_statements_operations"/>
      <w:bookmarkEnd w:id="5"/>
      <w:r>
        <w:rPr>
          <w:rFonts w:ascii="Times New Roman" w:hAnsi="Times New Roman"/>
          <w:color w:val="000000"/>
          <w:sz w:val="20"/>
        </w:rPr>
        <w:t>Condensed Consolidated Statements of Operations and Comprehensive Loss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bidi w:val="0"/>
        <w:jc w:val="left"/>
        <w:rPr/>
      </w:pPr>
      <w:r>
        <w:rPr/>
        <w:t> </w:t>
      </w:r>
    </w:p>
    <w:tbl>
      <w:tblPr>
        <w:tblW w:w="8194" w:type="dxa"/>
        <w:jc w:val="left"/>
        <w:tblInd w:w="0" w:type="dxa"/>
        <w:tblLayout w:type="fixed"/>
        <w:tblCellMar>
          <w:top w:w="28" w:type="dxa"/>
          <w:left w:w="28" w:type="dxa"/>
          <w:bottom w:w="28" w:type="dxa"/>
          <w:right w:w="28" w:type="dxa"/>
        </w:tblCellMar>
      </w:tblPr>
      <w:tblGrid>
        <w:gridCol w:w="4651"/>
        <w:gridCol w:w="146"/>
        <w:gridCol w:w="211"/>
        <w:gridCol w:w="1036"/>
        <w:gridCol w:w="166"/>
        <w:gridCol w:w="146"/>
        <w:gridCol w:w="211"/>
        <w:gridCol w:w="1036"/>
        <w:gridCol w:w="5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0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recovery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Unrealized gain (loss) on available-for-sale </w:t>
              <w:br/>
              <w:t>   securities (note 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87,345,717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78,687,503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6" w:name="cons_statements_equity"/>
      <w:bookmarkEnd w:id="6"/>
      <w:r>
        <w:rPr>
          <w:rFonts w:ascii="Times New Roman" w:hAnsi="Times New Roman"/>
          <w:color w:val="000000"/>
          <w:sz w:val="20"/>
        </w:rPr>
        <w:t>Condensed Consolidated Statements of Shareholders’ Equity</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10270" w:type="dxa"/>
        <w:jc w:val="left"/>
        <w:tblInd w:w="0" w:type="dxa"/>
        <w:tblLayout w:type="fixed"/>
        <w:tblCellMar>
          <w:top w:w="28" w:type="dxa"/>
          <w:left w:w="28" w:type="dxa"/>
          <w:bottom w:w="28" w:type="dxa"/>
          <w:right w:w="28" w:type="dxa"/>
        </w:tblCellMar>
      </w:tblPr>
      <w:tblGrid>
        <w:gridCol w:w="1351"/>
        <w:gridCol w:w="146"/>
        <w:gridCol w:w="1036"/>
        <w:gridCol w:w="146"/>
        <w:gridCol w:w="146"/>
        <w:gridCol w:w="211"/>
        <w:gridCol w:w="931"/>
        <w:gridCol w:w="146"/>
        <w:gridCol w:w="146"/>
        <w:gridCol w:w="213"/>
        <w:gridCol w:w="793"/>
        <w:gridCol w:w="166"/>
        <w:gridCol w:w="146"/>
        <w:gridCol w:w="243"/>
        <w:gridCol w:w="973"/>
        <w:gridCol w:w="166"/>
        <w:gridCol w:w="146"/>
        <w:gridCol w:w="346"/>
        <w:gridCol w:w="1035"/>
        <w:gridCol w:w="166"/>
        <w:gridCol w:w="146"/>
        <w:gridCol w:w="268"/>
        <w:gridCol w:w="993"/>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left"/>
              <w:rPr/>
            </w:pPr>
            <w:r>
              <w:rPr/>
              <w:t> </w:t>
            </w:r>
          </w:p>
        </w:tc>
        <w:tc>
          <w:tcPr>
            <w:tcW w:w="2616" w:type="dxa"/>
            <w:gridSpan w:val="6"/>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46"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left"/>
              <w:rPr/>
            </w:pPr>
            <w:r>
              <w:rPr/>
              <w:t> </w:t>
            </w:r>
          </w:p>
        </w:tc>
        <w:tc>
          <w:tcPr>
            <w:tcW w:w="1006" w:type="dxa"/>
            <w:gridSpan w:val="2"/>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br/>
              <w:t>capital</w:t>
            </w:r>
          </w:p>
        </w:tc>
        <w:tc>
          <w:tcPr>
            <w:tcW w:w="166"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left"/>
              <w:rPr/>
            </w:pPr>
            <w:r>
              <w:rPr/>
              <w:t> </w:t>
            </w:r>
          </w:p>
        </w:tc>
        <w:tc>
          <w:tcPr>
            <w:tcW w:w="1216" w:type="dxa"/>
            <w:gridSpan w:val="2"/>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deficit</w:t>
            </w:r>
          </w:p>
        </w:tc>
        <w:tc>
          <w:tcPr>
            <w:tcW w:w="166"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left"/>
              <w:rPr/>
            </w:pPr>
            <w:r>
              <w:rPr/>
              <w:t> </w:t>
            </w:r>
          </w:p>
        </w:tc>
        <w:tc>
          <w:tcPr>
            <w:tcW w:w="1381" w:type="dxa"/>
            <w:gridSpan w:val="2"/>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 xml:space="preserve">other </w:t>
              <w:br/>
              <w:t>comprehensive</w:t>
              <w:br/>
              <w:t>income (loss)</w:t>
            </w:r>
          </w:p>
        </w:tc>
        <w:tc>
          <w:tcPr>
            <w:tcW w:w="166"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left"/>
              <w:rPr/>
            </w:pPr>
            <w:r>
              <w:rPr/>
              <w:t> </w:t>
            </w:r>
          </w:p>
        </w:tc>
        <w:tc>
          <w:tcPr>
            <w:tcW w:w="1261" w:type="dxa"/>
            <w:gridSpan w:val="2"/>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shareholders'</w:t>
              <w:br/>
              <w:t>equity</w:t>
            </w:r>
          </w:p>
        </w:tc>
        <w:tc>
          <w:tcPr>
            <w:tcW w:w="211" w:type="dxa"/>
            <w:tcBorders>
              <w:top w:val="single" w:sz="4" w:space="0" w:color="000000"/>
              <w:bottom w:val="single" w:sz="4" w:space="0" w:color="000000"/>
            </w:tcBorders>
            <w:shd w:fill="FFFFFF" w:val="clear"/>
            <w:tcMar>
              <w:top w:w="29" w:type="dxa"/>
              <w:left w:w="0" w:type="dxa"/>
              <w:right w:w="0" w:type="dxa"/>
            </w:tcMar>
            <w:vAlign w:val="center"/>
          </w:tcPr>
          <w:p>
            <w:pPr>
              <w:pStyle w:val="TableContents"/>
              <w:bidi w:val="0"/>
              <w:spacing w:before="0" w:after="283"/>
              <w:jc w:val="center"/>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76,416,086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w:t>
              <w:br/>
              <w:t>   pursuant to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76,586,359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2"/>
        <w:gridCol w:w="146"/>
        <w:gridCol w:w="1036"/>
        <w:gridCol w:w="146"/>
        <w:gridCol w:w="146"/>
        <w:gridCol w:w="211"/>
        <w:gridCol w:w="931"/>
        <w:gridCol w:w="146"/>
        <w:gridCol w:w="146"/>
        <w:gridCol w:w="211"/>
        <w:gridCol w:w="781"/>
        <w:gridCol w:w="166"/>
        <w:gridCol w:w="146"/>
        <w:gridCol w:w="211"/>
        <w:gridCol w:w="991"/>
        <w:gridCol w:w="166"/>
        <w:gridCol w:w="146"/>
        <w:gridCol w:w="211"/>
        <w:gridCol w:w="631"/>
        <w:gridCol w:w="166"/>
        <w:gridCol w:w="146"/>
        <w:gridCol w:w="211"/>
        <w:gridCol w:w="931"/>
        <w:gridCol w:w="211"/>
      </w:tblGrid>
      <w:tr>
        <w:trPr/>
        <w:tc>
          <w:tcPr>
            <w:tcW w:w="1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72"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80,010,790</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1,598,571</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228,234</w:t>
            </w:r>
          </w:p>
        </w:tc>
        <w:tc>
          <w:tcPr>
            <w:tcW w:w="16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(1,245,380</w:t>
            </w:r>
          </w:p>
        </w:tc>
        <w:tc>
          <w:tcPr>
            <w:tcW w:w="16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581,760</w:t>
            </w:r>
          </w:p>
        </w:tc>
        <w:tc>
          <w:tcPr>
            <w:tcW w:w="211" w:type="dxa"/>
            <w:tcBorders>
              <w:top w:val="single" w:sz="4" w:space="0" w:color="000000"/>
              <w:bottom w:val="single" w:sz="4" w:space="0" w:color="000000"/>
            </w:tcBorders>
            <w:shd w:fill="CFF0FC" w:val="clear"/>
            <w:tcMar>
              <w:top w:w="29" w:type="dxa"/>
              <w:left w:w="0" w:type="dxa"/>
              <w:right w:w="0" w:type="dxa"/>
            </w:tcMar>
            <w:vAlign w:val="center"/>
          </w:tcPr>
          <w:p>
            <w:pPr>
              <w:pStyle w:val="TableContents"/>
              <w:bidi w:val="0"/>
              <w:spacing w:before="0" w:after="283"/>
              <w:jc w:val="left"/>
              <w:rPr/>
            </w:pPr>
            <w:r>
              <w:rPr/>
              <w:t> </w:t>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shares and</w:t>
              <w:br/>
              <w:t>   pre-funded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15,370,962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w:t>
              <w:br/>
              <w:t>   pursuant to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96,624,123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1,337,819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7" w:name="cons_statements_cashflow"/>
      <w:bookmarkEnd w:id="7"/>
      <w:r>
        <w:rPr>
          <w:rFonts w:ascii="Times New Roman" w:hAnsi="Times New Roman"/>
          <w:color w:val="000000"/>
          <w:sz w:val="20"/>
        </w:rPr>
        <w:t>Condensed Consolidated Statements of Cash Flows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w:t>
      </w:r>
    </w:p>
    <w:p>
      <w:pPr>
        <w:pStyle w:val="TextBody"/>
        <w:bidi w:val="0"/>
        <w:jc w:val="left"/>
        <w:rPr/>
      </w:pPr>
      <w:r>
        <w:rPr/>
        <w:t> </w:t>
      </w:r>
    </w:p>
    <w:tbl>
      <w:tblPr>
        <w:tblW w:w="10004" w:type="dxa"/>
        <w:jc w:val="left"/>
        <w:tblInd w:w="0" w:type="dxa"/>
        <w:tblLayout w:type="fixed"/>
        <w:tblCellMar>
          <w:top w:w="28" w:type="dxa"/>
          <w:left w:w="28" w:type="dxa"/>
          <w:bottom w:w="28" w:type="dxa"/>
          <w:right w:w="28" w:type="dxa"/>
        </w:tblCellMar>
      </w:tblPr>
      <w:tblGrid>
        <w:gridCol w:w="6831"/>
        <w:gridCol w:w="146"/>
        <w:gridCol w:w="211"/>
        <w:gridCol w:w="841"/>
        <w:gridCol w:w="166"/>
        <w:gridCol w:w="146"/>
        <w:gridCol w:w="211"/>
        <w:gridCol w:w="841"/>
        <w:gridCol w:w="611"/>
      </w:tblGrid>
      <w:tr>
        <w:trPr/>
        <w:tc>
          <w:tcPr>
            <w:tcW w:w="6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receivable and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 expense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foreign exchange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(gain)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116,657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stock options and pre-funded warrants exercised on a cashless basis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8" w:name="notes_to_cons_financial_statements"/>
      <w:bookmarkEnd w:id="8"/>
      <w:r>
        <w:rPr>
          <w:rFonts w:ascii="Times New Roman" w:hAnsi="Times New Roman"/>
          <w:color w:val="000000"/>
          <w:sz w:val="20"/>
        </w:rPr>
        <w:t>Notes to Condensed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bidi w:val="0"/>
        <w:jc w:val="left"/>
        <w:rPr/>
      </w:pPr>
      <w:r>
        <w:rPr/>
        <w:t> </w:t>
      </w:r>
    </w:p>
    <w:tbl>
      <w:tblPr>
        <w:tblW w:w="971" w:type="dxa"/>
        <w:jc w:val="left"/>
        <w:tblInd w:w="0" w:type="dxa"/>
        <w:tblLayout w:type="fixed"/>
        <w:tblCellMar>
          <w:top w:w="28" w:type="dxa"/>
          <w:left w:w="28" w:type="dxa"/>
          <w:bottom w:w="28" w:type="dxa"/>
          <w:right w:w="28" w:type="dxa"/>
        </w:tblCellMar>
      </w:tblPr>
      <w:tblGrid>
        <w:gridCol w:w="161"/>
        <w:gridCol w:w="146"/>
        <w:gridCol w:w="146"/>
        <w:gridCol w:w="109"/>
        <w:gridCol w:w="109"/>
        <w:gridCol w:w="146"/>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9"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4"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Xenon Pharmaceuticals Inc. (the “Company”), incorporated in 1996 under the predecessor to the Business Corporations Act (British Columbia) and continued federally in 2000 under the Canada Business Corporations Act, is a neuroscience-focused biopharmaceutical company dedicated to drug discovery, clinical development, and commercialization of life-changing therapeutics for patients in need.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incurred significant operating losses since inception. As of March 31, 2026, the Company had an accumulated deficit of $1,347,682 and a net loss of $102,302 for the three months ended March 31, 2026. Management expects to continue to incur significant expenses in excess of revenue and to incur operating losses for the foreseeable future. To date, the Company has financed its operations primarily through the sale of equity securities, funding received from collaboration and license agreements, and debt 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the Company can generate substantial product revenue, if ever, management expects to finance the Company’s cash needs through a combination of collaboration agreements, equity and debt financings. The continuation of research and development activities and the future commercialization of its products are dependent on the Company’s ability to successfully raise additional funds when needed. It is not possible to predict either the outcome of future research and development programs or the Company’s ability to continue to fund these programs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the Company had cash, cash equivalents and marketable securities of $1,339,621. Although the Company has incurred recurring losses and expects to continue to incur losses for the foreseeable future, the Company expects the cash, cash equivalents and marketable securities to be sufficient to fund current operations for at least the next 12 months from the issuance of the financial statements.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are presented in U.S. dollars and include the accounts of the Company and its wholly-owned subsidiary, Xenon Pharmaceuticals USA Inc., a Delaware corporation. All intercompany transactions and balances have been eliminated on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interim condensed consolidated financial statements have been prepared in accordance with generally accepted accounting principles in the United States (“GAAP”) and pursuant to the rules and regulations of the United States Securities and Exchange Commission (“SEC”) for interim financial information. Certain information has been reclassified to conform with the financial presentation adopted for the current year. Accordingly, these condensed consolidated financial statements do not include all of the information and footnotes required for complete consolidated financial statements and should be read in conjunction with the audited consolidated financial statements and notes for the year ended December 31, 2025 included in the Company’s 2025 Annual Report on Form 10-K filed with the SEC and with the securities commissions in British Columbia, Alberta and Ontario on February 26,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reflect all adjustments, consisting of normal recurring adjustments, which, in the opinion of management, are necessary for a fair presentation of results for the interim periods presented. The results of operations for the three months ended March 31, 2026 and 2025 are not necessarily indicative of results that can be expected for a full year. These unaudited interim condensed consolidated financial statements follow the same significant accounting policies as those described in the notes to the audited consolidated financial statements of the Company included in the Company’s 2025 Annual Report on Form 10-K for the year ended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hierarchy consists of the following three levels: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Level 1 - </w:t>
      </w:r>
      <w:r>
        <w:rPr>
          <w:rFonts w:ascii="Times New Roman" w:hAnsi="Times New Roman"/>
          <w:color w:val="000000"/>
          <w:sz w:val="20"/>
        </w:rPr>
        <w:t>Unadjusted quoted prices in active markets for identical instruments.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2 -</w:t>
      </w:r>
      <w:r>
        <w:rPr>
          <w:color w:val="000000"/>
        </w:rPr>
        <w:t xml:space="preserve"> </w:t>
      </w:r>
      <w:r>
        <w:rPr>
          <w:rFonts w:ascii="Times New Roman" w:hAnsi="Times New Roman"/>
          <w:color w:val="000000"/>
          <w:sz w:val="20"/>
        </w:rPr>
        <w:t>Inputs other than quoted prices included within Level 1 that are observable for the asset or liability, either directly or indirectly. Level 2 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3 -</w:t>
      </w:r>
      <w:r>
        <w:rPr>
          <w:rFonts w:ascii="Times New Roman" w:hAnsi="Times New Roman"/>
          <w:color w:val="000000"/>
          <w:sz w:val="20"/>
        </w:rPr>
        <w:t xml:space="preserve"> Inputs are unobservable and reflect the Company’s assumptions as to what market participants would use in pricing the asset or liability. The Company develops these inputs based on the best information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carrying amounts of cash and cash equivalents, other receivables, and accounts payable and accrued liabilities approximate their fair value due to the nature and short-term maturity of these instruments.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fair value hierarchy levels used to determine the fair values of the Company’s cash and cash equivalents and marketable securities:</w:t>
      </w:r>
    </w:p>
    <w:p>
      <w:pPr>
        <w:pStyle w:val="TextBody"/>
        <w:bidi w:val="0"/>
        <w:jc w:val="both"/>
        <w:rPr/>
      </w:pPr>
      <w:r>
        <w:rPr/>
        <w:t> </w:t>
      </w:r>
    </w:p>
    <w:tbl>
      <w:tblPr>
        <w:tblW w:w="10328" w:type="dxa"/>
        <w:jc w:val="left"/>
        <w:tblInd w:w="0" w:type="dxa"/>
        <w:tblLayout w:type="fixed"/>
        <w:tblCellMar>
          <w:top w:w="28" w:type="dxa"/>
          <w:left w:w="28" w:type="dxa"/>
          <w:bottom w:w="28" w:type="dxa"/>
          <w:right w:w="28" w:type="dxa"/>
        </w:tblCellMar>
      </w:tblPr>
      <w:tblGrid>
        <w:gridCol w:w="1206"/>
        <w:gridCol w:w="146"/>
        <w:gridCol w:w="196"/>
        <w:gridCol w:w="691"/>
        <w:gridCol w:w="146"/>
        <w:gridCol w:w="146"/>
        <w:gridCol w:w="196"/>
        <w:gridCol w:w="691"/>
        <w:gridCol w:w="146"/>
        <w:gridCol w:w="146"/>
        <w:gridCol w:w="196"/>
        <w:gridCol w:w="346"/>
        <w:gridCol w:w="146"/>
        <w:gridCol w:w="146"/>
        <w:gridCol w:w="196"/>
        <w:gridCol w:w="826"/>
        <w:gridCol w:w="146"/>
        <w:gridCol w:w="146"/>
        <w:gridCol w:w="196"/>
        <w:gridCol w:w="691"/>
        <w:gridCol w:w="146"/>
        <w:gridCol w:w="146"/>
        <w:gridCol w:w="196"/>
        <w:gridCol w:w="691"/>
        <w:gridCol w:w="146"/>
        <w:gridCol w:w="146"/>
        <w:gridCol w:w="196"/>
        <w:gridCol w:w="346"/>
        <w:gridCol w:w="146"/>
        <w:gridCol w:w="146"/>
        <w:gridCol w:w="196"/>
        <w:gridCol w:w="691"/>
        <w:gridCol w:w="391"/>
      </w:tblGrid>
      <w:tr>
        <w:trPr/>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Cash and money market fund, </w:t>
              <w:br/>
              <w:t>   mutual funds, commercial</w:t>
              <w:br/>
              <w:t>   paper and U.S. treasuries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Guaranteed investment </w:t>
              <w:br/>
              <w:t>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586,038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the Company’s commercial paper and corporate debt securities are based on prices obtained from independent pricing sources. Securities with validated quotes from pricing services are reflected within Level 2, as they are primarily based on observable pricing for similar assets or other market observable inputs. Typical inputs used by these pricing services include, but are not limited to, reported trades, benchmark yields, issuer spreads, bids, offers or estimates of cash flow, prepayment spreads and default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and December 31, 2025, the Company did not hold any securities classified as Level 3 and there were no securities transferred between Level 1 and Level 2.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Amortized cost, unrealized gain (loss) recognized in accumulated other comprehensive income (loss) and fair value of available-for-sale securities consisted of the following:</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86"/>
        <w:gridCol w:w="146"/>
        <w:gridCol w:w="211"/>
        <w:gridCol w:w="781"/>
        <w:gridCol w:w="146"/>
        <w:gridCol w:w="146"/>
        <w:gridCol w:w="280"/>
        <w:gridCol w:w="640"/>
        <w:gridCol w:w="166"/>
        <w:gridCol w:w="146"/>
        <w:gridCol w:w="211"/>
        <w:gridCol w:w="781"/>
        <w:gridCol w:w="146"/>
        <w:gridCol w:w="146"/>
        <w:gridCol w:w="211"/>
        <w:gridCol w:w="781"/>
        <w:gridCol w:w="146"/>
        <w:gridCol w:w="146"/>
        <w:gridCol w:w="246"/>
        <w:gridCol w:w="665"/>
        <w:gridCol w:w="146"/>
        <w:gridCol w:w="146"/>
        <w:gridCol w:w="211"/>
        <w:gridCol w:w="781"/>
        <w:gridCol w:w="394"/>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Guaranteed investment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112,098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183,329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349,723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386,875</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Allowance for credit losses or impairment on these marketable securities has not been recognized as these securities are high credit quality, investment grade securities that the Company does not intend to sell and will not be required to sell prior to their anticipated recovery. The change in fair value is primarily due to changes in interest and foreign exchange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research laboratories and office space in Burnaby, British Columbia which expires on June 30, 2032, and two renewal options for 5-years each which were not considered in the determination of the right-of-use asset and lease liability. The Company has an additional 65-month operating lease for office space in Needham, Massachusetts, which commenced in October 2022. There is an option to terminate one year prior to the expiry date, which was not considered in the determination of the right-of-use asset and lease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supplemental operating leases information:</w:t>
      </w:r>
    </w:p>
    <w:p>
      <w:pPr>
        <w:pStyle w:val="TextBody"/>
        <w:bidi w:val="0"/>
        <w:jc w:val="both"/>
        <w:rPr/>
      </w:pPr>
      <w:r>
        <w:rPr/>
        <w:t> </w:t>
      </w:r>
    </w:p>
    <w:tbl>
      <w:tblPr>
        <w:tblW w:w="7037" w:type="dxa"/>
        <w:jc w:val="left"/>
        <w:tblInd w:w="0" w:type="dxa"/>
        <w:tblLayout w:type="fixed"/>
        <w:tblCellMar>
          <w:top w:w="28" w:type="dxa"/>
          <w:left w:w="28" w:type="dxa"/>
          <w:bottom w:w="28" w:type="dxa"/>
          <w:right w:w="28" w:type="dxa"/>
        </w:tblCellMar>
      </w:tblPr>
      <w:tblGrid>
        <w:gridCol w:w="4101"/>
        <w:gridCol w:w="146"/>
        <w:gridCol w:w="301"/>
        <w:gridCol w:w="601"/>
        <w:gridCol w:w="387"/>
        <w:gridCol w:w="208"/>
        <w:gridCol w:w="301"/>
        <w:gridCol w:w="601"/>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Variable lease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 and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Variable lease costs are payments that vary because of changes in facts or circumstances and include common area maintenance and property taxes related to the premises. Variable lease costs are excluded from the calculation of minimum lease payments.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Future minimum lease payments as of March 31, 2026 were as follows: </w:t>
      </w:r>
    </w:p>
    <w:p>
      <w:pPr>
        <w:pStyle w:val="TextBody"/>
        <w:bidi w:val="0"/>
        <w:jc w:val="both"/>
        <w:rPr/>
      </w:pPr>
      <w:r>
        <w:rPr/>
        <w:t> </w:t>
      </w:r>
    </w:p>
    <w:tbl>
      <w:tblPr>
        <w:tblW w:w="4700" w:type="dxa"/>
        <w:jc w:val="left"/>
        <w:tblInd w:w="0" w:type="dxa"/>
        <w:tblLayout w:type="fixed"/>
        <w:tblCellMar>
          <w:top w:w="28" w:type="dxa"/>
          <w:left w:w="28" w:type="dxa"/>
          <w:bottom w:w="28" w:type="dxa"/>
          <w:right w:w="28" w:type="dxa"/>
        </w:tblCellMar>
      </w:tblPr>
      <w:tblGrid>
        <w:gridCol w:w="3181"/>
        <w:gridCol w:w="346"/>
        <w:gridCol w:w="211"/>
        <w:gridCol w:w="57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9"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2031 and thereafter</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Accounts payable and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and accrued liabilities consisted of the following:</w:t>
      </w:r>
    </w:p>
    <w:p>
      <w:pPr>
        <w:pStyle w:val="TextBody"/>
        <w:bidi w:val="0"/>
        <w:jc w:val="left"/>
        <w:rPr/>
      </w:pPr>
      <w:r>
        <w:rPr/>
        <w:t> </w:t>
      </w:r>
    </w:p>
    <w:tbl>
      <w:tblPr>
        <w:tblW w:w="7572" w:type="dxa"/>
        <w:jc w:val="left"/>
        <w:tblInd w:w="0" w:type="dxa"/>
        <w:tblLayout w:type="fixed"/>
        <w:tblCellMar>
          <w:top w:w="28" w:type="dxa"/>
          <w:left w:w="28" w:type="dxa"/>
          <w:bottom w:w="28" w:type="dxa"/>
          <w:right w:w="28" w:type="dxa"/>
        </w:tblCellMar>
      </w:tblPr>
      <w:tblGrid>
        <w:gridCol w:w="4761"/>
        <w:gridCol w:w="146"/>
        <w:gridCol w:w="211"/>
        <w:gridCol w:w="676"/>
        <w:gridCol w:w="146"/>
        <w:gridCol w:w="146"/>
        <w:gridCol w:w="260"/>
        <w:gridCol w:w="835"/>
        <w:gridCol w:w="391"/>
      </w:tblGrid>
      <w:tr>
        <w:trPr/>
        <w:tc>
          <w:tcPr>
            <w:tcW w:w="4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benefits, and related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and other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Share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2020, the Company entered into an “at-the-market” equity offering sales agreement, amended as of March 2022, with Jefferies LLC and Stifel, Nicolaus &amp; Company, Incorporated, pursuant to which the Company may sell common shares from time to time (the “ATM Program”). Pursuant to a prior prospectus, the Company sold an aggregate of 3,134,119 common shares for proceeds of $129,975, net of commissions and transaction expenses, during the period from January 1, 2026 to February 26, 2026. On February 27, 2026, a new prospectus supplement was filed replacing the prior prospectus, pursuant to which the Company refreshed the ATM Program and may sell common shares having gross proceeds of up to $400,000, from time to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2026, the Company entered into an underwriting agreement with J.P. Morgan Securities LLC, Jefferies LLC, TD Securities (USA) LLC, Stifel, Nicolaus &amp; Company, Incorporated, RBC Capital Markets, LLC, and William Blair &amp; Company, L.L.C., relating to an underwritten public offering of 12,236,843 common shares, including 1,710,526 shares sold upon the full exercise of the underwriters' over-allotment option, at a public offering price of $57.00 per common share and pre-funded warrants to purchase 877,194 common shares at $56.9999 per pre-funded warrant (note 7b), with each pre-funded warrant having an exercise price of $0.0001. The public offering was completed in March 2026, and the Company received proceeds of $707,551, net of underwriting discounts, commissions, and offering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pre-funded warrants activity:</w:t>
      </w:r>
    </w:p>
    <w:p>
      <w:pPr>
        <w:pStyle w:val="TextBody"/>
        <w:bidi w:val="0"/>
        <w:jc w:val="both"/>
        <w:rPr/>
      </w:pPr>
      <w:r>
        <w:rPr/>
        <w:t> </w:t>
      </w:r>
    </w:p>
    <w:tbl>
      <w:tblPr>
        <w:tblW w:w="5639" w:type="dxa"/>
        <w:jc w:val="left"/>
        <w:tblInd w:w="0" w:type="dxa"/>
        <w:tblLayout w:type="fixed"/>
        <w:tblCellMar>
          <w:top w:w="28" w:type="dxa"/>
          <w:left w:w="28" w:type="dxa"/>
          <w:bottom w:w="28" w:type="dxa"/>
          <w:right w:w="28" w:type="dxa"/>
        </w:tblCellMar>
      </w:tblPr>
      <w:tblGrid>
        <w:gridCol w:w="2836"/>
        <w:gridCol w:w="146"/>
        <w:gridCol w:w="146"/>
        <w:gridCol w:w="931"/>
        <w:gridCol w:w="166"/>
        <w:gridCol w:w="146"/>
        <w:gridCol w:w="146"/>
        <w:gridCol w:w="931"/>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March 31, 2026, the Company issued 118,980 common shares upon the exercise of 118,982 pre-funded warrants pursuant to a net exercise mechanism under the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pre-funded warrant is exercisable for the purchase of a common share at the holder’s discretion at an exercise price of $0.0001, subject to certain post-exercise beneficial ownership limitations as provided under the terms of the pre-funded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the pre-funded warrants meet the condition for equity classification, net proceeds from issuances of the pre-funded warrants are recorded in additional paid-in capital. Upon exercise of the pre-funded warrants, the historical costs recorded in additional paid-in capital along with the exercise price collected from holder will be recorded in common shares. Pre-funded warrants to purchase 2,931,293 (2025 – 2,173,081) common shares are not included in the number of issued and outstanding common shares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Amended and Restated 2025 Inducement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2025, the board of directors of the Company adopted Amended and Restated 2025 Inducement Equity Incentive Plan. Pursuant to the terms of the Amended and Restated 2025 Inducement Plan, the Company may grant nonstatutory stock options, stock appreciation rights, restricted share units, restricted stock, and performance share units as an inducement material to individuals being hired, or rehired following a bona fide period of interruption of employment, as an employee of the Company or any of its subsidiaries, and its terms are substantially similar to the Company’s Amended and Restated 2014 Equity Incentive Plan, including with respect to treatment of equity awards in the event of a “merger” or “change of control” as defined under the 2025 Inducement Plan, but with such other terms and conditions intended to comply with the Nasdaq inducement award exception or to comply with the Nasdaq acquisition and merger exception. The Company has reserved 900,000 common shares for issuance under the Amended and Restated 2025 Inducement Plan. In accordance with Nasdaq Listing Rule 5635(c)(4), the Company did not seek approval of the Amended and Restated 2025 Inducement Plan by its shareholders. On April 7, 2026, the Company amended and restated the Amended and Restated 2025 Inducement Equity Incentive Plan to increase the aggregate number of common shares reserved for issuance from 900,000 shares to 1,175,000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components of stock-based compensation expense:</w:t>
      </w:r>
    </w:p>
    <w:p>
      <w:pPr>
        <w:pStyle w:val="TextBody"/>
        <w:bidi w:val="0"/>
        <w:jc w:val="both"/>
        <w:rPr/>
      </w:pPr>
      <w:r>
        <w:rPr/>
        <w:t> </w:t>
      </w:r>
    </w:p>
    <w:tbl>
      <w:tblPr>
        <w:tblW w:w="6995" w:type="dxa"/>
        <w:jc w:val="left"/>
        <w:tblInd w:w="0" w:type="dxa"/>
        <w:tblLayout w:type="fixed"/>
        <w:tblCellMar>
          <w:top w:w="28" w:type="dxa"/>
          <w:left w:w="28" w:type="dxa"/>
          <w:bottom w:w="28" w:type="dxa"/>
          <w:right w:w="28" w:type="dxa"/>
        </w:tblCellMar>
      </w:tblPr>
      <w:tblGrid>
        <w:gridCol w:w="4246"/>
        <w:gridCol w:w="146"/>
        <w:gridCol w:w="211"/>
        <w:gridCol w:w="676"/>
        <w:gridCol w:w="146"/>
        <w:gridCol w:w="146"/>
        <w:gridCol w:w="211"/>
        <w:gridCol w:w="676"/>
        <w:gridCol w:w="146"/>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by award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share units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share units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stock option activity: </w:t>
      </w:r>
    </w:p>
    <w:p>
      <w:pPr>
        <w:pStyle w:val="TextBody"/>
        <w:bidi w:val="0"/>
        <w:jc w:val="both"/>
        <w:rPr/>
      </w:pPr>
      <w:r>
        <w:rPr/>
        <w:t> </w:t>
      </w:r>
    </w:p>
    <w:tbl>
      <w:tblPr>
        <w:tblW w:w="9217" w:type="dxa"/>
        <w:jc w:val="left"/>
        <w:tblInd w:w="0" w:type="dxa"/>
        <w:tblLayout w:type="fixed"/>
        <w:tblCellMar>
          <w:top w:w="28" w:type="dxa"/>
          <w:left w:w="28" w:type="dxa"/>
          <w:bottom w:w="28" w:type="dxa"/>
          <w:right w:w="28" w:type="dxa"/>
        </w:tblCellMar>
      </w:tblPr>
      <w:tblGrid>
        <w:gridCol w:w="2836"/>
        <w:gridCol w:w="146"/>
        <w:gridCol w:w="146"/>
        <w:gridCol w:w="1036"/>
        <w:gridCol w:w="166"/>
        <w:gridCol w:w="296"/>
        <w:gridCol w:w="1159"/>
        <w:gridCol w:w="146"/>
        <w:gridCol w:w="146"/>
        <w:gridCol w:w="146"/>
        <w:gridCol w:w="1036"/>
        <w:gridCol w:w="166"/>
        <w:gridCol w:w="296"/>
        <w:gridCol w:w="1159"/>
        <w:gridCol w:w="14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11,074,720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12,096,485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end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months ended March 31, 2026, 510,000 (2025 – 80,086) stock options were exercised for the same number of common shares in exchange for cash. In the same period, the Company issued 459,263 (2025 – 90,187) common shares for the cashless exercise of 866,361 (2025 – 179,729) 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stock option granted is estimated using the Black-Scholes option-pricing model with the following weighted-average assumptions:</w:t>
      </w:r>
    </w:p>
    <w:p>
      <w:pPr>
        <w:pStyle w:val="TextBody"/>
        <w:bidi w:val="0"/>
        <w:jc w:val="both"/>
        <w:rPr/>
      </w:pPr>
      <w:r>
        <w:rPr/>
        <w:t> </w:t>
      </w:r>
    </w:p>
    <w:tbl>
      <w:tblPr>
        <w:tblW w:w="7271" w:type="dxa"/>
        <w:jc w:val="left"/>
        <w:tblInd w:w="0" w:type="dxa"/>
        <w:tblLayout w:type="fixed"/>
        <w:tblCellMar>
          <w:top w:w="28" w:type="dxa"/>
          <w:left w:w="28" w:type="dxa"/>
          <w:bottom w:w="28" w:type="dxa"/>
          <w:right w:w="28" w:type="dxa"/>
        </w:tblCellMar>
      </w:tblPr>
      <w:tblGrid>
        <w:gridCol w:w="4411"/>
        <w:gridCol w:w="146"/>
        <w:gridCol w:w="255"/>
        <w:gridCol w:w="692"/>
        <w:gridCol w:w="328"/>
        <w:gridCol w:w="176"/>
        <w:gridCol w:w="255"/>
        <w:gridCol w:w="692"/>
        <w:gridCol w:w="3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of stock options granted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the unrecognized stock-based compensation expense related to unvested stock options was $137,568, which is expected to be recognized over 2.93 years.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RSU activity: </w:t>
      </w:r>
    </w:p>
    <w:p>
      <w:pPr>
        <w:pStyle w:val="TextBody"/>
        <w:bidi w:val="0"/>
        <w:jc w:val="both"/>
        <w:rPr/>
      </w:pPr>
      <w:r>
        <w:rPr/>
        <w:t> </w:t>
      </w:r>
    </w:p>
    <w:tbl>
      <w:tblPr>
        <w:tblW w:w="8687" w:type="dxa"/>
        <w:jc w:val="left"/>
        <w:tblInd w:w="0" w:type="dxa"/>
        <w:tblLayout w:type="fixed"/>
        <w:tblCellMar>
          <w:top w:w="28" w:type="dxa"/>
          <w:left w:w="28" w:type="dxa"/>
          <w:bottom w:w="28" w:type="dxa"/>
          <w:right w:w="28" w:type="dxa"/>
        </w:tblCellMar>
      </w:tblPr>
      <w:tblGrid>
        <w:gridCol w:w="2836"/>
        <w:gridCol w:w="146"/>
        <w:gridCol w:w="146"/>
        <w:gridCol w:w="781"/>
        <w:gridCol w:w="166"/>
        <w:gridCol w:w="296"/>
        <w:gridCol w:w="1159"/>
        <w:gridCol w:w="146"/>
        <w:gridCol w:w="146"/>
        <w:gridCol w:w="146"/>
        <w:gridCol w:w="781"/>
        <w:gridCol w:w="146"/>
        <w:gridCol w:w="296"/>
        <w:gridCol w:w="1159"/>
        <w:gridCol w:w="14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RSUs generally vest annually over a one-year period for directors and a four-year period for employees and officers, subject to continued service on each vesting date. As of March 31, 2026, the unrecognized stock-based compensation expense related to unvested RSUs was $24,882, which is expected to be recognized over 3.50 years.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PSU activity: </w:t>
      </w:r>
    </w:p>
    <w:p>
      <w:pPr>
        <w:pStyle w:val="TextBody"/>
        <w:bidi w:val="0"/>
        <w:jc w:val="both"/>
        <w:rPr/>
      </w:pPr>
      <w:r>
        <w:rPr/>
        <w:t> </w:t>
      </w:r>
    </w:p>
    <w:tbl>
      <w:tblPr>
        <w:tblW w:w="8707" w:type="dxa"/>
        <w:jc w:val="left"/>
        <w:tblInd w:w="0" w:type="dxa"/>
        <w:tblLayout w:type="fixed"/>
        <w:tblCellMar>
          <w:top w:w="28" w:type="dxa"/>
          <w:left w:w="28" w:type="dxa"/>
          <w:bottom w:w="28" w:type="dxa"/>
          <w:right w:w="28" w:type="dxa"/>
        </w:tblCellMar>
      </w:tblPr>
      <w:tblGrid>
        <w:gridCol w:w="2836"/>
        <w:gridCol w:w="146"/>
        <w:gridCol w:w="146"/>
        <w:gridCol w:w="781"/>
        <w:gridCol w:w="166"/>
        <w:gridCol w:w="296"/>
        <w:gridCol w:w="1159"/>
        <w:gridCol w:w="146"/>
        <w:gridCol w:w="146"/>
        <w:gridCol w:w="146"/>
        <w:gridCol w:w="781"/>
        <w:gridCol w:w="166"/>
        <w:gridCol w:w="296"/>
        <w:gridCol w:w="1159"/>
        <w:gridCol w:w="14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PSUs vest upon the achievement of certain predefined company-specific performance-based criteria, subject to continued employment to each performance objective achievement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there was no unrecognized stock-based compensation expense related to unvested PSUs that is probable to be achieved. There is $6,867 of unrecognized stock-compensation expense related to PSUs that is not considered probable to be achieved. The recognition of these expenses is subject to the achievement of the performance-based criteria, which are reassessed at each reporting date.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2019, the Company entered into a license and collaboration agreement with Neurocrine Biosciences, Inc. to develop treatments for epilepsy, as described in the Company’s 2025 Annual Report on Form 10-K. The agreement also included a multi-year research collaboration to discover, identify and develop additional novel Nav1.6 and dual Nav1.2/1.6 inhibitors, which was completed in June 2022. As part of this ongoing collaboration, in February 2025, NBI-921355 progressed into a Phase 1 first-in-human study as a potential treatment for certain types of epilepsy and a $7,500 milestone was recognized in the three months ended March 31, 2025. Consideration associated with performance milestones is recognized as revenue using the most likely amount method when it is probable that a significant reversal of the cumulative revenue recognized will not occur.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common share:</w:t>
      </w:r>
    </w:p>
    <w:p>
      <w:pPr>
        <w:pStyle w:val="TextBody"/>
        <w:bidi w:val="0"/>
        <w:jc w:val="both"/>
        <w:rPr/>
      </w:pPr>
      <w:r>
        <w:rPr/>
        <w:t> </w:t>
      </w:r>
    </w:p>
    <w:tbl>
      <w:tblPr>
        <w:tblW w:w="7924" w:type="dxa"/>
        <w:jc w:val="left"/>
        <w:tblInd w:w="0" w:type="dxa"/>
        <w:tblLayout w:type="fixed"/>
        <w:tblCellMar>
          <w:top w:w="28" w:type="dxa"/>
          <w:left w:w="28" w:type="dxa"/>
          <w:bottom w:w="28" w:type="dxa"/>
          <w:right w:w="28" w:type="dxa"/>
        </w:tblCellMar>
      </w:tblPr>
      <w:tblGrid>
        <w:gridCol w:w="4561"/>
        <w:gridCol w:w="146"/>
        <w:gridCol w:w="211"/>
        <w:gridCol w:w="1036"/>
        <w:gridCol w:w="166"/>
        <w:gridCol w:w="146"/>
        <w:gridCol w:w="211"/>
        <w:gridCol w:w="1036"/>
        <w:gridCol w:w="41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shares (weighted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84,998,027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76,514,422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Pre-funded warrants (weighted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 basic </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87,345,717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78,687,503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number of common shares used in the basic and diluted net loss per common share calculations includes the weighted average pre-funded warrants outstanding during the period, as they are exercisable at any time for nominal cash consideration (note 7b).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reported net losses for the three months ended March 31, 2026 and 2025, and therefore excluded the potentially dilutive outstanding securities from the computation of diluted net loss per common share as their inclusion would have had an anti-dilutive effect.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potentially dilutive securities: </w:t>
      </w:r>
    </w:p>
    <w:p>
      <w:pPr>
        <w:pStyle w:val="TextBody"/>
        <w:bidi w:val="0"/>
        <w:jc w:val="both"/>
        <w:rPr/>
      </w:pPr>
      <w:r>
        <w:rPr/>
        <w:t> </w:t>
      </w:r>
    </w:p>
    <w:tbl>
      <w:tblPr>
        <w:tblW w:w="4385" w:type="dxa"/>
        <w:jc w:val="left"/>
        <w:tblInd w:w="0" w:type="dxa"/>
        <w:tblLayout w:type="fixed"/>
        <w:tblCellMar>
          <w:top w:w="28" w:type="dxa"/>
          <w:left w:w="28" w:type="dxa"/>
          <w:bottom w:w="28" w:type="dxa"/>
          <w:right w:w="28" w:type="dxa"/>
        </w:tblCellMar>
      </w:tblPr>
      <w:tblGrid>
        <w:gridCol w:w="1246"/>
        <w:gridCol w:w="146"/>
        <w:gridCol w:w="146"/>
        <w:gridCol w:w="1036"/>
        <w:gridCol w:w="146"/>
        <w:gridCol w:w="146"/>
        <w:gridCol w:w="146"/>
        <w:gridCol w:w="1036"/>
        <w:gridCol w:w="146"/>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12,096,485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Asset purchase agreement with 1st Order Pharmaceuticals, Inc.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2017, the Company acquired azetukalner from 1st Order pursuant to an asset purchase agreement. In August 2020, the Company and 1st Order amended the asset purchase agreement to amend certain definitions in the agreement and to modify the payment schedule for certain milestones. Through March 31, 2026, the Company has paid $2,000 based on progress against these milestones. Future potential payments to 1st Order include up to $6,000 in regulatory milestones. There are no royalty obligations to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is subject to claims and legal proceedings arising in the ordinary course of business, and such claims, individually or in the aggregate, are not likely to have a material adverse effect on the Company’s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Guarantees and indemnifications: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third-party claims or damages arising from these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as a single reportable segment dedicated to drug discovery, clinical development, and commercialization of life-changing therapeutics for patients in need. The Company has no products approved for sale and has not generated any revenue from product sales. The Company’s Chief Executive Officer acts as the chief operating decision maker and manages the Company’s operations on a consolidated basis, using net loss to assess performance and allocate resources. The accounting policies for the operating segment are the same as those disclosed in the Company’s 2025 Annual Report on Form 10-K. The measure of segment assets is reported on the condensed consolidated balance sheet as total consolidated assets, with a majority of these assets located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information about reported segment revenues, significant segment expenses, and segment loss:</w:t>
      </w:r>
    </w:p>
    <w:p>
      <w:pPr>
        <w:pStyle w:val="TextBody"/>
        <w:bidi w:val="0"/>
        <w:jc w:val="both"/>
        <w:rPr/>
      </w:pPr>
      <w:r>
        <w:rPr/>
        <w:t> </w:t>
      </w:r>
    </w:p>
    <w:tbl>
      <w:tblPr>
        <w:tblW w:w="6926" w:type="dxa"/>
        <w:jc w:val="left"/>
        <w:tblInd w:w="0" w:type="dxa"/>
        <w:tblLayout w:type="fixed"/>
        <w:tblCellMar>
          <w:top w:w="28" w:type="dxa"/>
          <w:left w:w="28" w:type="dxa"/>
          <w:bottom w:w="28" w:type="dxa"/>
          <w:right w:w="28" w:type="dxa"/>
        </w:tblCellMar>
      </w:tblPr>
      <w:tblGrid>
        <w:gridCol w:w="3991"/>
        <w:gridCol w:w="146"/>
        <w:gridCol w:w="219"/>
        <w:gridCol w:w="873"/>
        <w:gridCol w:w="172"/>
        <w:gridCol w:w="151"/>
        <w:gridCol w:w="219"/>
        <w:gridCol w:w="764"/>
        <w:gridCol w:w="3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Pain programs (XEN1701, XEN1120)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discovery and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(102,302</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items include foreign exchange gain and income tax (recovery)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_discussion_analysis"/>
      <w:bookmarkEnd w:id="9"/>
      <w:r>
        <w:rPr>
          <w:rFonts w:ascii="Times New Roman" w:hAnsi="Times New Roman"/>
          <w:b/>
          <w:color w:val="000000"/>
          <w:sz w:val="20"/>
        </w:rPr>
        <w:t>ITEM 2. MANAGEMENT’S DISCUSSION AND ANALYSIS OF FINANCIAL CONDITION AND RESULTS OF OPERATIONS</w:t>
      </w:r>
    </w:p>
    <w:p>
      <w:pPr>
        <w:pStyle w:val="TextBody"/>
        <w:bidi w:val="0"/>
        <w:jc w:val="left"/>
        <w:rPr>
          <w:rFonts w:ascii="Times New Roman" w:hAnsi="Times New Roman"/>
          <w:sz w:val="20"/>
        </w:rPr>
      </w:pPr>
      <w:r>
        <w:rPr>
          <w:rFonts w:ascii="Times New Roman" w:hAnsi="Times New Roman"/>
          <w:i/>
          <w:color w:val="000000"/>
          <w:sz w:val="20"/>
        </w:rPr>
        <w:t>This section should be read in conjunction with our unaudited interim condensed consolidated financial statements and related notes included in Part I, Item 1 of this report and our audited consolidated financial statements and related notes thereto and management’s discussion and analysis of financial condition and results of operations for the year ended December 31, 2025 included in our Annual Report on Form 10-K filed with the U.S. Securities and Exchange Commission on February 26, 2026 and with the securities commissions in British Columbia, Alberta and Ontario on February 26, 2026.</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32" w:after="283"/>
        <w:jc w:val="left"/>
        <w:rPr>
          <w:rFonts w:ascii="Times New Roman" w:hAnsi="Times New Roman"/>
          <w:sz w:val="20"/>
        </w:rPr>
      </w:pPr>
      <w:r>
        <w:rPr>
          <w:rFonts w:ascii="Times New Roman" w:hAnsi="Times New Roman"/>
          <w:i/>
          <w:color w:val="000000"/>
          <w:sz w:val="20"/>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additional products or product candidates either from our internal research efforts or through acquiring or in-licensing other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timing, cost, progress and success of our research and development programs, pre-clinical studies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sufficient numbers of patients for our current and future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 sufficient amounts or on terms acceptable to us, including funding necessary to complete further development, approval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independently develop and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the success of competing therapies that are or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pre-commercial,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 candidates and the duration of such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benefits, effectiveness and safety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our and our collaborators’ ability to obtain and maintain, regulatory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of the size and characteristics of the markets that may be addressed by our products and product candidates and our ability to serve those markets, either alone or in partnership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federal, state and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current and future healthcare reforms, including those affecting the delivery of or payment for healthcare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market risk, including interest rate changes and foreign currency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engage and retain the employees required to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 and indirect impact of pandemics, epidemics and other public health emergencies on our business and operations, including supply chain, manufacturing, research and development costs, clinical study conduct, clinical study data and employees.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and its subsidiary. Unless otherwise noted, all dollar amounts in this report are expressed in United States dollars.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neuroscience-focused biopharmaceutical company dedicated to discovering, developing, and delivering life-changing therapeutics. We are advancing an ion channel product portfolio to address areas of high unmet medical need, including epilepsy and depression.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Azetukalner Clinical Development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Azetukalner is a novel, potent Kv7 potassium channel opener in Phase 3 clinical development for multiple indications, including two in epilepsy – focal onset seizures (FOS) and primary generalized tonic-clonic seizures (PGTCS) – as well as neuropsychiatric disorders, including major depressive disorder (MDD) and bipolar depression (BPD).</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Epilepsy Programs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announced positive topline data from the Phase 3 X-TOLE2 study in March 2026. The study met its primary endpoint of median percent change (MPC) in monthly FOS frequency from baseline to week 12 in both the 25 mg and 15 mg azetukalner dose groups compared to placebo (MPC of -53.2%, -34.5% and -10.4%, respectively; p&lt;0.0001 for both 25 and 15 mg vs. placebo). The placebo-adjusted MPC in the 25 mg group was -42.7%, outperforming the previously completed Phase 2b X-TOLE study and demonstrating the highest placebo-adjusted efficacy ever observed in a pivotal FOS study, to our knowledge. The safety and tolerability profile of azetukalner was consistent with the previously disclosed data from the Phase 2b X-TOLE study. Based on the positive results from X-TOLE2 and X-TOLE, we anticipate submitting a New Drug Application (NDA) to the U.S. Food and Drug Administration (FDA) in the third quarter of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X-TOLE2 topline efficacy and safety results were featured as a Late Breaking Science oral and poster presentation at the American Academy of Neurology (AAN) Annual Meeting in Chicago, Illinois, April 18-22. Also at AAN, we presented 48-month data from the ongoing X-TOLE open-label extension study, which demonstrated continued reductions in monthly FOS frequency with longer azetukalner treatment, greater seizure reductions in less refractory patients, and sustained periods of seizure freedom. We also presented real-world data regarding unmet needs in epilepsy, including the need for no-titration options.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Phase 3 X-TOLE3 study of azetukalner in FOS continues to enroll and is intended to support regulatory submissions outside the United States. X-TOLE3 enrollment outside of Japan is expected to complete in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Phase 3 X-ACKT study of azetukalner in PGTCS continues to enroll and is intended to support regulatory submissions for an additional epilepsy indication.</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Depression Programs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Enrollment is ongoing for the Phase 3 X-NOVA2 and X-NOVA3 studies evaluating azetukalner in patients with MDD, with topline data from X-NOVA2 expected in H1 2027.</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Enrollment is ongoing in the Phase 3 X-CEED study evaluating azetukalner in patients with BPD I or II.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Early-Stage R&amp;D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continue to expand our portfolio of potent, selective ion channel modulators using our strong heritage in human genetics, deep understanding of ion channel biology, and expertise in novel chemistries. This includes clinical-stage candidates targeting Nav1.7 and Kv7, which are important targets for pain.</w:t>
      </w:r>
    </w:p>
    <w:p>
      <w:pPr>
        <w:pStyle w:val="TextBody"/>
        <w:bidi w:val="0"/>
        <w:jc w:val="left"/>
        <w:rPr>
          <w:rFonts w:ascii="Times New Roman" w:hAnsi="Times New Roman"/>
          <w:i/>
          <w:color w:val="000000"/>
          <w:sz w:val="20"/>
        </w:rPr>
      </w:pPr>
      <w:r>
        <w:rPr>
          <w:rFonts w:ascii="Times New Roman" w:hAnsi="Times New Roman"/>
          <w:i/>
          <w:color w:val="000000"/>
          <w:sz w:val="20"/>
        </w:rPr>
        <w:t>Nav1.7 and Kv7 in Pain</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Phase 1 Single Ascending Dose (SAD)/Multiple Ascending Dose (MAD) study in healthy adult participants is ongoing for XEN1701 targeting Nav1.7. Study completion is expected in H2 2026 to support initiating a Phase 2 proof-of-concept study in acute pain.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Phase 1 SAD/MAD study in healthy adult participants is ongoing for XEN1120 targeting Kv7. Study completion is expected in H2 2026 to support initiating a Phase 2 proof-of-concept study in acute pain.</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Nav1.1 in Epilepsy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IND-enabling studies are ongoing for our Nav1.1 program. Pre-clinical data suggest that targeting Nav1.1 could potentially address the underlying cause and symptoms of Dravet syndrome.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presented pre-clinical data for our Nav1.1 program in an oral session at the AAN meeting, demonstrating that selective potentiation of Nav1.1 channels in Dravet mice improves motor performance, suppresses spontaneous seizures, prevents Sudden Unexpected Death in Epilepsy (SUDEP), increases long-term potentiation (a potential cellular correlate of learning and memory), and produces more mature dendritic spine morphology.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Partnered Program</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collaboration with Neurocrine Biosciences, a Phase 1b study is ongoing for NBI-921355, an investigational, selective inhibitor of voltage-gated sodium channels Nav1.2 and Nav1.6 in development for the potential treatment of certain types of epilepsy. Data from the Phase 1b study are expected in 2027.</w:t>
      </w:r>
    </w:p>
    <w:p>
      <w:pPr>
        <w:pStyle w:val="TextBody"/>
        <w:bidi w:val="0"/>
        <w:jc w:val="left"/>
        <w:rPr>
          <w:rFonts w:ascii="Times New Roman" w:hAnsi="Times New Roman"/>
          <w:color w:val="000000"/>
          <w:sz w:val="20"/>
        </w:rPr>
      </w:pPr>
      <w:r>
        <w:rPr>
          <w:rFonts w:ascii="Times New Roman" w:hAnsi="Times New Roman"/>
          <w:color w:val="000000"/>
          <w:sz w:val="20"/>
        </w:rPr>
        <w:t>We have funded our operations primarily through the sale of equity securities, funding received from our licensees and collaborators, and debt financing. For the three months ended March 31, 2026 and 2025, we recognized revenue of nil and $7.5 million, respectively, in connection with our agreement with Neurocrine Biosciences. To date, we have not had any products approved for sale and have not generated any revenue from product sales. We do not expect to generate revenue from product sales unless and until we successfully complete development and obtain regulatory approval for a product candidate, which we expect will take a number of years, if ever, and the outcome of which is subject to significant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require additional capital to develop our product candidates and fund operations for the foreseeable future. We have incurred net losses in each year since inception and expect to continue to incur net losses for the foreseeable future. We had a net loss of $102.3 million and $65.0 million for the three months ended March 31, 2026 and 2025, respectively. As of March 31, 2026, we had an accumulated deficit of $1,347.7 million. Substantially all of our net losses have resulted from costs incurred in connection with our research and development programs and from general and administrative costs associated with our operations. We anticipate that our operating expenses will increase substantially, particularly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significantly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any of our product candidates that successfully complete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our product candidates for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commercial, clinical, scientific, management and administrative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assets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additional infrastructure to support our operations and any future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revenue has been primarily derived from collaboration and licensing agreements and we have not generated any revenue from product sales. If our development efforts for our product candidates are successful and result in regulatory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generate revenue in the future from payments as a result of license or collaboration agreements for any of our product candidates or intellectual property, such as our license and collaboration agreement with Neurocrine Biosciences, or the Neurocrine Collaboration. We cannot provide assurance as to the timing of future milestone or royalty payments under the Neurocrine Collaboration, or that we will receive any of these payments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NBI-921355, a Nav1.2 and Nav1.6 sodium channel inhibitor in development for the potential treatment for certain types of epilepsy, progressed into a Phase 1 clinical study in healthy adult participants, triggering a $7.5 million milestone which was recognized as revenue.</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represent costs incurred to conduct development of our proprietary product candidates and our drug discovery efforts, including any acquired or in-licensed product candidates or technology, and costs to support any partnered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incurred in performing research and development activities,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consisting of salaries, benefits and stock-based compensation for employees engaged in scientific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incurred in connection with the pre-clinical and clinical development of our product candidates, including under agreements with clinical research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relating to formulation, process development and manufacture of drug substance and drug product for use in our pre-clinical testing, clinical studies and potential commercial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acquisition, license and collaboration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indirect costs incurred in support of overall research and development activities, including facilities, depreciation and information technology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Project-specific expenses reflect costs directly attributable to our clinical development candidates for which we have incurred significant expenses. All remaining research and development expenses are reflected in pre-clinical, discovery and other program expenses.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all research and development costs as incurred. Payments we make for research and development services prior to the services being rendered are recorded as prepaid assets in our consolidated balance sheets and are expensed as the services are provided. Costs for certain development activities are recognized based on an evaluation of the progress to completion of specific tasks using information and data provided to us by our vendors and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research and development expenses will increase substantially in the future as we continue to invest in research and development activities related to developing our product candidates, including investments in manufacturing, as our programs advance into later stages of development and we continue to conduct clinical studies, advance our internal drug discovery programs into pre-clinical development and continue our early-stage research. Product candidates in later stages of clinical development generally have higher development costs than those in earlier stages of clinical development, primarily due to the increased size, scope and duration of later-stage clinical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timelines, likelihood of regulatory approval, and commercialization and associated costs are uncertain, difficult to estimate, and can vary significantly. The process of conducting the necessary clinical research to obtain regulatory approval is costly and time-consuming, and the successful development of our product candidates is highly uncertain. As a result, we cannot accurately estimate or know the nature, timing and costs that will be necessary to complete the pre-clinical and clinical development for any of our product candidates or when and to what extent we may generate revenue from the commercialization and sale of any of our product candidates or achieve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consisting of salaries, benefits and stock-based compensation for our employees engaged in executive, finance, legal, business development, commercial and administrative functions, insurance costs, professional fees for auditing, tax and legal services, costs related to maintenance and filing of intellectual property, costs incurred as we prepare for commercialization, and allocated facility-related and information technology costs not otherwise included in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general and administrative expenses will increase in the future as we expand our operating activities to support our continued research activities and development of our product candidates, and as we prepare for commercialization. We will also continue to incur increased accounting, audit, legal, regulatory, compliance and director and officer insurance costs as well as investor and public relations expenses associated with operating as a public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consists of income earned on our cash and investment balances. We anticipate that our interest income will continue to fluctuate depending on our cash and investment balances and interest rates.</w:t>
      </w:r>
    </w:p>
    <w:p>
      <w:pPr>
        <w:pStyle w:val="TextBody"/>
        <w:bidi w:val="0"/>
        <w:spacing w:before="120" w:after="283"/>
        <w:jc w:val="left"/>
        <w:rPr>
          <w:rFonts w:ascii="Times New Roman" w:hAnsi="Times New Roman"/>
          <w:sz w:val="20"/>
        </w:rPr>
      </w:pPr>
      <w:r>
        <w:rPr>
          <w:rFonts w:ascii="Times New Roman" w:hAnsi="Times New Roman"/>
          <w:i/>
          <w:color w:val="000000"/>
          <w:sz w:val="20"/>
        </w:rPr>
        <w:t>Foreign exchange gain.</w:t>
      </w:r>
      <w:r>
        <w:rPr>
          <w:rFonts w:ascii="Times New Roman" w:hAnsi="Times New Roman"/>
          <w:color w:val="000000"/>
          <w:sz w:val="20"/>
        </w:rPr>
        <w:t xml:space="preserve"> Foreign exchange gain consists of gains from the impact of foreign exchange fluctuations on our monetary assets and liabilities that are denominated in currencies other than the U.S. dollar (principally the Canadian dollar). We will continue to incur substantial expenses in Canadian dollars and will remain subject to risks associated with foreign currency fluctuations.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condensed consolidated financial statements, which have been prepared in conformity with generally accepted accounting principles in the United States, or GAAP. The preparation of our condensed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 research and development costs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and significant judgments and estimates during the three months ended March 31, 2026, as compared to those disclosed in “Management’s Discussion and Analysis of Financial Conditions and Results of Operations - Critical Accounting Policies and Significant Judgments and Estimates” included in our 2025 Annual Report on Form 10-K filed with the U.S. Securities and Exchange Commission, or SEC, and with the securities commissions in British Columbia, Alberta and Ontario, or the Canadian Securities Commissions, on February 26, 2026. We believe that the accounting policies discussed in the Annual Report are critical to understanding our historical and future performance, as these policies relate to the more significant areas involving management’s judgments and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together with changes in those items (in thousands):</w:t>
      </w:r>
    </w:p>
    <w:p>
      <w:pPr>
        <w:pStyle w:val="TextBody"/>
        <w:bidi w:val="0"/>
        <w:jc w:val="left"/>
        <w:rPr/>
      </w:pPr>
      <w:r>
        <w:rPr/>
        <w:t> </w:t>
      </w:r>
    </w:p>
    <w:tbl>
      <w:tblPr>
        <w:tblW w:w="7786" w:type="dxa"/>
        <w:jc w:val="left"/>
        <w:tblInd w:w="0" w:type="dxa"/>
        <w:tblLayout w:type="fixed"/>
        <w:tblCellMar>
          <w:top w:w="28" w:type="dxa"/>
          <w:left w:w="28" w:type="dxa"/>
          <w:bottom w:w="28" w:type="dxa"/>
          <w:right w:w="28" w:type="dxa"/>
        </w:tblCellMar>
      </w:tblPr>
      <w:tblGrid>
        <w:gridCol w:w="3091"/>
        <w:gridCol w:w="146"/>
        <w:gridCol w:w="211"/>
        <w:gridCol w:w="841"/>
        <w:gridCol w:w="166"/>
        <w:gridCol w:w="146"/>
        <w:gridCol w:w="211"/>
        <w:gridCol w:w="736"/>
        <w:gridCol w:w="166"/>
        <w:gridCol w:w="146"/>
        <w:gridCol w:w="337"/>
        <w:gridCol w:w="1178"/>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recognize any revenue during the three months ended March 31, 2026. Collaboration revenue of $7.5 million recognized during the three months ended March 31, 2025 was related to a milestone payment in connection with the Neurocrine Collaboration.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research and development expenses together with changes in those items (in thousands):</w:t>
      </w:r>
    </w:p>
    <w:p>
      <w:pPr>
        <w:pStyle w:val="TextBody"/>
        <w:bidi w:val="0"/>
        <w:jc w:val="left"/>
        <w:rPr/>
      </w:pPr>
      <w:r>
        <w:rPr/>
        <w:t> </w:t>
      </w:r>
    </w:p>
    <w:tbl>
      <w:tblPr>
        <w:tblW w:w="8151" w:type="dxa"/>
        <w:jc w:val="left"/>
        <w:tblInd w:w="0" w:type="dxa"/>
        <w:tblLayout w:type="fixed"/>
        <w:tblCellMar>
          <w:top w:w="28" w:type="dxa"/>
          <w:left w:w="28" w:type="dxa"/>
          <w:bottom w:w="28" w:type="dxa"/>
          <w:right w:w="28" w:type="dxa"/>
        </w:tblCellMar>
      </w:tblPr>
      <w:tblGrid>
        <w:gridCol w:w="3741"/>
        <w:gridCol w:w="146"/>
        <w:gridCol w:w="211"/>
        <w:gridCol w:w="676"/>
        <w:gridCol w:w="146"/>
        <w:gridCol w:w="146"/>
        <w:gridCol w:w="211"/>
        <w:gridCol w:w="676"/>
        <w:gridCol w:w="146"/>
        <w:gridCol w:w="146"/>
        <w:gridCol w:w="360"/>
        <w:gridCol w:w="1155"/>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Pain programs (XEN1701, XEN1120)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discovery and 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Personnel-related (including stock-based </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unallocated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external costs related to azetukalner increased by $15.6 million for the three months ended March 31, 2026, primarily due to our ongoing Phase 3 clinical studies in the MDD and BPD programs. Pain programs costs increased by $3.3 million due to our ongoing Phase 1 clinical studies of XEN1701 and XEN1120. Personnel-related costs increased by $8.6 million due to higher headcount to support late-stage development.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general and administrative expenses together with changes in those items (in thousands):</w:t>
      </w:r>
    </w:p>
    <w:p>
      <w:pPr>
        <w:pStyle w:val="TextBody"/>
        <w:bidi w:val="0"/>
        <w:jc w:val="left"/>
        <w:rPr/>
      </w:pPr>
      <w:r>
        <w:rPr/>
        <w:t> </w:t>
      </w:r>
    </w:p>
    <w:tbl>
      <w:tblPr>
        <w:tblW w:w="7691" w:type="dxa"/>
        <w:jc w:val="left"/>
        <w:tblInd w:w="0" w:type="dxa"/>
        <w:tblLayout w:type="fixed"/>
        <w:tblCellMar>
          <w:top w:w="28" w:type="dxa"/>
          <w:left w:w="28" w:type="dxa"/>
          <w:bottom w:w="28" w:type="dxa"/>
          <w:right w:w="28" w:type="dxa"/>
        </w:tblCellMar>
      </w:tblPr>
      <w:tblGrid>
        <w:gridCol w:w="3481"/>
        <w:gridCol w:w="146"/>
        <w:gridCol w:w="211"/>
        <w:gridCol w:w="676"/>
        <w:gridCol w:w="146"/>
        <w:gridCol w:w="146"/>
        <w:gridCol w:w="211"/>
        <w:gridCol w:w="676"/>
        <w:gridCol w:w="146"/>
        <w:gridCol w:w="146"/>
        <w:gridCol w:w="408"/>
        <w:gridCol w:w="1107"/>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Personnel-related (including stock-based </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Personnel-related costs increased by $2.5 million for the three months ended March 31, 2026, primarily due to higher headcount to support our expanding research and development activities and future potential commercialization. Professional and consulting fees increased by $1.8 million due to an increase in pre-commercial expenses and higher expenses related to maintenance and filing of intellectual property.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other income together with changes in those items (in thousands):</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1981"/>
        <w:gridCol w:w="146"/>
        <w:gridCol w:w="211"/>
        <w:gridCol w:w="571"/>
        <w:gridCol w:w="146"/>
        <w:gridCol w:w="146"/>
        <w:gridCol w:w="211"/>
        <w:gridCol w:w="571"/>
        <w:gridCol w:w="146"/>
        <w:gridCol w:w="146"/>
        <w:gridCol w:w="379"/>
        <w:gridCol w:w="1136"/>
        <w:gridCol w:w="21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2026 vs.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by $1.2 million for the three months ended March 31, 2026, driven by lower average market yields on investments, partially offset by a higher average balance of cash and cash equivalents and marketable securities.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of equity securities, funding received from collaboration and license agreements, and debt financing. Since our initial public offering through March 31, 2026, we have raised aggregate net cash proceeds of approximately $2.3 billion primarily from the issuance of equity securities. As of March 31, 2026, we had cash and cash equivalents and marketable securities of $1,339.6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any obligations of our collaborators to make milestone payments under our agreements with them, we do not have any committed external sources of capital. Until such time as we can generate substantial product revenue, if ever, we expect to finance our cash needs through a combination of collaboration agreements and equity or debt financings.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an “at-the-market” equity offering sales agreement, amended as of March 2022, with Jefferies LLC and Stifel, Nicolaus &amp; Company, Incorporated, pursuant to which we may sell common shares from time to time (the “ATM Program”). Pursuant to a prior prospectus, we sold an aggregate of 3,134,119 common shares for proceeds of $130.0 million, net of commissions and transaction expenses, during the period from January 1, 2026 to February 26, 2026. On February 27, 2026, a new prospectus supplement was filed replacing the prior prospectus, pursuant to which we refreshed the ATM Program and may sell common shares having gross proceeds of up to $400.0 million,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10, 2026, we entered into an underwriting agreement with J.P. Morgan Securities LLC, Jefferies LLC, TD Securities (USA) LLC, Stifel, Nicolaus &amp; Company, Incorporated, RBC Capital Markets, LLC, and William Blair &amp; Company, L.L.C., relating to an underwritten public offering of 12,236,843 common shares, including 1,710,526 shares sold upon the full exercise of the underwriters' over-allotment option, at a public offering price of $57.00 per common share and pre-funded warrants to purchase 877,194 common shares at $56.9999 per pre-funded warrant, with each pre-funded warrant having an exercise price of $0.0001. The public offering was completed in March 2026, and we received proceeds of $707.6 million, net of underwriting discounts, commissions, and offering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As of March 31, 2026, we had an accumulated deficit of $1,347.7 million. We expect to continue to incur significant expenses in excess of our revenue and expect to incur operating losses over the next several years. Our net losses may fluctuate significantly from quarter to quarter and year to year. We expect to incur significant expenses and increasing operating losses for the foreseeable future as we prepare for the potential commercial launch of azetukalner; invest significantly to further develop azetukalner for our current and future indications; advance additional product candidates into pre-clinical and clinical development; seek regulatory and marketing approvals for any of our product candidates that successfully complete clinical studies; manufacture larger quantities of our product candidates of clinical development and potential commercialization; hire additional commercial, clinical, scientific, management and administrative personnel; acquire or in-license other product candidates and technologies; make milestone or other payments under our in-license or other agreements, including, without limitation, payments to 1st Order Pharmaceuticals, Inc and other third parties; maintain, protect and expand our intellectual property portfolio; establish a sales, marketing, distribution and other commercial infrastructure to commercialize any products for which we may obtain marketing approval; create additional infrastructure and incur additional costs to support our operations and our product development and planned future commercialization efforts; and experience any delays or encounter issues with any of the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current product candidates, as well as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the costs involved in, obtaining marketing approvals for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future product candidates that we may pursue and their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receipt of regulatory approval, revenue, if any, received from commercial sales of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existing collaborations generate substantial milestone payments and, ultimately, royalties on future approved products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collaborations and to establish new collaborations, licensing or other arrangements and the financial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and initiate pre-commercial and commercial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patents, including litigation costs and the outcome of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However, our estimates and assumptions may prove to be wrong, and we cannot guarantee that our existing capital resources will be sufficient to conduct and complete all of our anticipated research and development efforts and future commercialization efforts. Additionally, the process of testing drug candidates in clinical studies is costly, and the timing of progress in these studies remains uncertain. Further, inflation may affect our use of capital resources by increasing our cost of labor and research and development expenses. Our long-term funding requirements will consist of operational, capital, and manufacturing expenditures, including those contractual commitments described below. Because of the inherent risks and uncertainties associated with the development and commercialization of our product candidates, we are unable to estimate the amounts of capital outflows and operating expenditures associated with our long-term anticipated pre-clinical studies and clinical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 for the three months ended March 31, 2026 and 2025 (in thousands):</w:t>
      </w:r>
    </w:p>
    <w:p>
      <w:pPr>
        <w:pStyle w:val="TextBody"/>
        <w:bidi w:val="0"/>
        <w:jc w:val="left"/>
        <w:rPr/>
      </w:pPr>
      <w:r>
        <w:rPr/>
        <w:t> </w:t>
      </w:r>
    </w:p>
    <w:tbl>
      <w:tblPr>
        <w:tblW w:w="6956" w:type="dxa"/>
        <w:jc w:val="left"/>
        <w:tblInd w:w="0" w:type="dxa"/>
        <w:tblLayout w:type="fixed"/>
        <w:tblCellMar>
          <w:top w:w="28" w:type="dxa"/>
          <w:left w:w="28" w:type="dxa"/>
          <w:bottom w:w="28" w:type="dxa"/>
          <w:right w:w="28" w:type="dxa"/>
        </w:tblCellMar>
      </w:tblPr>
      <w:tblGrid>
        <w:gridCol w:w="4201"/>
        <w:gridCol w:w="146"/>
        <w:gridCol w:w="219"/>
        <w:gridCol w:w="873"/>
        <w:gridCol w:w="172"/>
        <w:gridCol w:w="151"/>
        <w:gridCol w:w="219"/>
        <w:gridCol w:w="764"/>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(407,282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843,013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2026, net cash used in operating activities totaled $88.9 million, compared to $61.7 million for the same period in 2025. The increase in cash used in operating activities was primarily driven by higher research and development and general and administrative expenses and no revenue recognized in the period ended March 31, 2026, lower interest income, partially offset by changes in operating assets and liabilities.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net cash used in investing activities totaled $407.3 million, compared to net cash provided of $34.5 million for the same period in 2025. The change was driven primarily by an increase in the purchase of marketable securities, net of redemptions.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net cash provided by financing activities was $843.0 million, compared to $1.2 million for the same period in 2025. The increase was primarily related to $837.5 million net proceeds from offerings, as well as an increase in proceeds from stock option exercises.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significant contractual obligations as of December 31, 2025 were reported in our Annual Report on Form 10-K, filed with the SEC and the Canadian Securities Commissions on February 26,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there have been no material changes from the contractual commitments previously disclosed in the Annual Report on Form 10-K. </w:t>
      </w:r>
    </w:p>
    <w:p>
      <w:pPr>
        <w:pStyle w:val="TextBody"/>
        <w:bidi w:val="0"/>
        <w:spacing w:before="36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w:t>
      </w:r>
      <w:r>
        <w:rPr>
          <w:rFonts w:ascii="Times New Roman" w:hAnsi="Times New Roman"/>
          <w:color w:val="000000"/>
          <w:sz w:val="20"/>
        </w:rPr>
        <w:t xml:space="preserve"> </w:t>
      </w:r>
      <w:r>
        <w:rPr>
          <w:rFonts w:ascii="Times New Roman" w:hAnsi="Times New Roman"/>
          <w:b/>
          <w:color w:val="000000"/>
          <w:sz w:val="20"/>
        </w:rPr>
        <w:t>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various market risks, including changes in currency exchange rates and interest rates. Market risk is the potential loss arising from adverse changes in market rates and prices.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U.S. dollar denominated cash and cash equivalents and marketable securities of $1,306.7 million and Canadian dollar denominated cash and cash equivalents and marketable securities of CAD$46.0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foreign currency exchange rate risk in part, as a result of entering into transactions denominated in currencies other than U.S. dollars, particularly those denominated in Canadian dollars. We also hold Canadian dollar denominated cash and cash equivalents, other receivables, and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foreign currency exchange rates can create significant foreign exchange gains or losses to us. We do not currently hedge our exposure and thus assume the risk of future gains or losses on the amounts of Canadian dollars held. We do not believe that an immediate 10% increase or decrease in the relative value of the U.S. dollar to the Canadian dollar would have a material effect on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had cash and cash equivalents and marketable securities of $1,339.6 million. Interest rate risk relates to potential changes in interest income and the fair value of our investment portfolio. Cash and cash equivalents are short-term in nature and would not have a material impact from changes in interest rates. Marketable securities are primarily fixed-income securities and are subject to fair value changes as interest rates fluctuate. A 100 basis point, or 1%, unfavorable change in interest rates would have resulted in approximately a $5.9 million decrease in the fair value of our marketable securities as of March 31, 2026. We do not enter into investments for speculative purposes and have not used any derivative financial instruments to manage interest rate exposure.</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 at the reasonable assurance level.</w:t>
      </w:r>
    </w:p>
    <w:p>
      <w:pPr>
        <w:pStyle w:val="TextBody"/>
        <w:bidi w:val="0"/>
        <w:spacing w:before="120" w:after="283"/>
        <w:jc w:val="left"/>
        <w:rPr>
          <w:rFonts w:ascii="Times New Roman" w:hAnsi="Times New Roman"/>
          <w:sz w:val="20"/>
        </w:rPr>
      </w:pPr>
      <w:r>
        <w:rPr>
          <w:rFonts w:ascii="Times New Roman" w:hAnsi="Times New Roman"/>
          <w:color w:val="000000"/>
          <w:sz w:val="20"/>
        </w:rPr>
        <w:t>(b) Changes in internal control over financial reporting</w:t>
      </w:r>
      <w:r>
        <w:rPr>
          <w:rFonts w:ascii="Times New Roman" w:hAnsi="Times New Roman"/>
          <w:i/>
          <w:color w:val="000000"/>
          <w:sz w:val="20"/>
        </w:rPr>
        <w:t>.</w:t>
      </w:r>
      <w:r>
        <w:rPr>
          <w:rFonts w:ascii="Times New Roman" w:hAnsi="Times New Roman"/>
          <w:color w:val="000000"/>
          <w:sz w:val="20"/>
        </w:rPr>
        <w:t xml:space="preserve"> There were no changes in our internal control over financial reporting during the period ended March 31, 2026 that have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 on the effectiveness of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bookmarkStart w:id="14" w:name="about_this_prospectus_supplement"/>
      <w:bookmarkEnd w:id="14"/>
      <w:r>
        <w:rPr>
          <w:rFonts w:ascii="Times New Roman" w:hAnsi="Times New Roman"/>
          <w:color w:val="000000"/>
          <w:sz w:val="20"/>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r>
        <w:rPr>
          <w:rFonts w:ascii="Times New Roman" w:hAnsi="Times New Roman"/>
          <w:b/>
          <w:color w:val="000000"/>
          <w:sz w:val="20"/>
        </w:rPr>
        <w:br/>
      </w:r>
      <w:r>
        <w:rPr>
          <w:rFonts w:ascii="Times New Roman" w:hAnsi="Times New Roman"/>
          <w:color w:val="000000"/>
          <w:sz w:val="20"/>
        </w:rPr>
        <w:t> </w:t>
      </w:r>
    </w:p>
    <w:p>
      <w:pPr>
        <w:pStyle w:val="TextBody"/>
        <w:bidi w:val="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capital expenditures and significant risk that a product candidate may fail to demonstrate adequate efficacy or an acceptable safety profile, gain regulatory approval and become commercially viable. We have no products approved for commercial sale and have not generated any revenue from product sales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manufacturing of investigational drug and our clinical studies. Our financial condition and operating results, including net losses, may fluctuate significantly from quarter to quarter and year to year. Accordingly, you should not rely upon the results of any quarterly or annual periods as indications of future operating performance. We do not expect to have sustained profitability for the foreseeable future. We had net losses of $102.3 million and $65.0 million for the three months ended March 31, 2026 and 2025, respectively, and an accumulated deficit of $1,347.7 million as of March 31, 2026, which were driven by expenses incurred in connection with our research and development programs and from general and administrative costs associated with our operations. We expect to continue to incur significant losses for the foreseeable future, and we expect these losses to increase as we continue our research and development of, and seek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significant expenses and increasing operating losses for the foreseeable future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authorization for and 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any of our product candidates that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our product candidates for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commercial, clinical, scientific, management and administrative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assets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additional infrastructure to support our operations and any future commercialization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could increase beyond expectations for a variety of reasons, including if we are required by the U.S. Food and Drug Administration, or FDA, the European Medicines Agency, or EMA, or other regulatory authorities to perform clinical and other studies including post-approval commitments in addition to those that we currently anticipate, or if there are any delays in establishing appropriate manufacturing arrangements to support our clinical studies, the development of any of our product candidates or commercialization. Our prior losses, combined with expected future losses, have had and will continue to have an adverse effect on our shareholders’ equity and working capital.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generate any revenue from product sales and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on our ability, alone or with collaborators, to successfully complete the development of, and obtain the regulatory approvals necessary to commercialize, our product candidates. Successful commercialization will require achievement of many key milestones, including demonstrating safety and efficacy in clinical studies, obtaining regulatory, including marketing, approval for these product candidates, manufacturing, marketing and selling those products for which we, or any of our existing or future collaborators, may obtain regulatory approval, satisfying any post-marketing requirements and obtaining reimbursement for our products from private insurance or government payers. Because of the uncertainties and risks associated with these activities, we are unable to accurately and precisely predict the timing and amount of revenues, the extent of any further losses or if or when we might achieve profitability. We and our existing or future collaborators may never succeed in these activities and, even if we do, we may never generate revenues that are large enough for us to achieve profitability. Even if we do achieve profitability, we may not be able to sustain or increase profitability on a quarterly or annual basis. Additionally, our expenses could increase if we are required by the FDA, EMA or other regulatory authorities to perform clinical studies in addition to those currently expected, or if there are any delays in completing our clinical studies or the development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fail in clinical studies or do not gain regulatory approval, or if any of our future products, if any, once approved, fail to achieve market acceptance or adequate market share, we may never become profitable. If we are unable to generate sufficient revenue to become profitable and remain so, our financial condition and operating results will be negatively impacted, and the market price of our common shares might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dedicated most of our resources to the discovery and development of our pre-clinical and clinical product candidates. We expect to continue to spend substantial amounts of resources to continue the pre-clinical and clinical development of our current and future programs. If we are able to gain marketing approval for product candidates that we develop, we will require significant additional amounts of capital in order to launch and commercialize such product candidates to the extent that such launch and commercialization are not the responsibility of a collaborator. In addition, other unanticipated costs may arise in the course of our development efforts. Because the design and outcome of our planned and anticipated clinical studies is highly uncertain, we cannot reasonably estimate the actual amounts necessary to successfully complete the development and commercialization of any product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current product candidates, as well as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future product candidates that we may pursue and their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receipt of regulatory approval, revenue, if any, received from commercial sales of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existing collaborations generate substantial milestone payments and, ultimately, royalties on future approved products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collaborations and to establish new collaborations, licensing or other arrangements and the financial terms of such arrangements;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any transactions to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efforts and initiate pre-commercial and commercial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defending and enforcing patents, including litigation costs and the outcome of such litigation;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ongoing costs of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plan may change as a result of many factors currently unknown to us, and we may need to seek additional funds sooner than planned. Raising funds in the future may present additional challenges and future financing may not be available in sufficient amounts or on terms acceptable to us, if at all. If we are unable to raise additional capital in sufficient amounts or on terms acceptable to us, we may have to significantly delay, reduce or terminate our product development programs or plans for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allocate our limited resources to pursue a particular product candidate or indication and fail to capitalize on other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a limited number of research programs and product candidates. As a result, we may forgo or delay pursuit of opportunities with other product candidates or for our current product candidates in other indications that later prove to have greater commercial potential. Our resource allocation decisions may cause us to fail to capitalize on viable commercial drugs or profitable market opportunities. Our spend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existing shareholders,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planned operations. Unless and until we can generate a substantial amount of revenue from any approved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also would dilute all of our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also financed our operations through the incurrence of debt. Any future incurrence of indebtedness would result in increased fixed payment obligations and, potentially, the imposition of restrictive covenants. Such covenants could include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be required to seek funds through collaborations or marketing, distribution or licensing arrangements, or royalty-based financings with third parties, and we may have to relinquish valuable rights to our technologies, future revenue streams or product candidates, or grant licenses on terms that may not be favorable to us. If we are unable to raise additional capital when needed, we may be required to delay, reduce or terminate our product discovery and development programs, commercialization efforts, or grant rights to develop and market product candidates that we would otherwise prefer to develop and market ourselves. In addition, any additional fundraising efforts may divert our management from their day-to-day activities, which may adversely affect our ability to develop and commercialize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risks associated with currency fluctuations which could impact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cash and cash equivalents and marketable securities are denominated in Canadian dollars, and we incur significant expenses in Canadian dollars in connection with our operations in Canada. We do not currently engage in foreign currency hedging arrangements for our Canadian dollar expenditures, and, consequently, foreign currency fluctuations, including as a result of trade relations between Canada and the United States, may adversely affect our earnings; however, in the future, we may engage in exchange rate hedging activities in an effort to mitigate the impact of exchange rate fluctuations. Any hedging technique we implement may fail to be effective. If our hedging activities are not effective, changes in currency exchange rates may have a more significant impact on the market price of our common shares.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and our collaborators face substantial competition in the markets for our product candidates, which may result in others discovering, developing or commercializing products before us or doing so more successfully than we, or our collaborators,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products. We face potential competition in drug discovery and product development from many different approaches and sources, including major pharmaceutical, specialty pharmaceutical and biotechnology companies, academic institutions, governmental agencies, as well as public and private research institutions. Any product candidates that we, or our collaborators, successfully develop and commercialize will compete with existing products and any new products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key competitive factors affecting the success of all of our product candidates, if approved, are likely to be their efficacy, safety and/or tolerability, convenience and ease of administration, price, the potential advantages of alternative products, the level of generic competition, and the availability of coverage and adequate reimbursement from government and other third-party payers.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studies,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foreign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third-party payers or public health systems to secure favorable coverage and reimbursement as well as the commercial success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one or more of our proprietary or partnered products were approved for the treatment of epilepsy, we anticipate that they could potentially compete with other anti-seizure medications, or ASMs, or one another. If one or more of our proprietary products were approved for the treatment of major depressive disorder, or MDD, we anticipate that they could potentially compete with other anti-depressant medications, or ADs. In addition, we plan to develop one or more proprietary products for the treatment of bipolar disorder, or BPD, and if any such products were approved for treatment of BPD, we anticipate that they could potentially compete with other anticonvulsant and antipsychotic medications.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 marketed proprietary products and are advancing clinical development through Phase 3 clinical studies for our azetukalner program in epilepsy, major depressive disorder, and bipolar depression. These studies may not result in regulatory approval or successful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company, we have no previous experience in completing a Phase 3 clinical study and related regulatory requirements including a New Drug Application, or NDA, or equivalent submission, or the commercialization of products. We have not yet demonstrated our ability to independently and repeatedly conduct clinical development after Phase 2, obtain regulatory approval, manufacture drug substance or drug product on a registrational and commercial scale or arrange for a third-party to do so on our behalf, and commercialize therapeutic products. We will need to develop such abilities if we are to execute on our business strategy to develop and independently commercialize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are advancing our Phase 3 clinical studies in azetukalner, significant risks remain. There can be no assurance that these or any future clinical studies will be successful, that we will be able to obtain regulatory approval, or that we will be able to manufacture or independently commercialize any product candidates. We may encounter delays or difficulties in advancing our product candidates through late-stage development, obtaining regulatory approval, or achieving commercial success, which could adversely affect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execute on our business plan for the development of independent programs, we will need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 agreement with multiple regulatory agencies on clinical and pre-clinical studies required for registration;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execute our clinical development and manufacturing plans for later-stage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required regulatory approvals in each jurisdiction in which we will seek to commercialize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maintain appropriate pre-commercialization capabilities as well as commercial sales, distribution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implement effective market access strategy and gain market acceptance for our future products,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our spending as costs and expenses increase due to clinical studies, regulatory approvals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unsuccessful in accomplishing these objectives, we will not be able to develop and commercialize any future product candidates independently and could fail to realize the potential advantages of doing so.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successful in discovering, developing and commercializing additional product candidates, our ability to expand our business and achieve our strategic objectives may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product development pipeline by identifying product candidates either from our internal research efforts or through acquiring or in-licensing other product candidates or technologies. Both our internal discovery efforts and our assessment of potential acquisition or in-licensing opportunities require substantial technical, financial and human resources, regardless of whether we identify any viable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identify additional product candidates suitable for clinical development and commercialization either from our internal research efforts or through acquiring or in-licensing other product candidates or technologies, we may not be able to obtain product revenue in future periods, which likely would result in significant harm to our financial position and adversely impact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attract and retain our executive officers and key personnel, we may be unable to successfully develop our product candidates, perform our obligations under our collaboration agreements, conduct our clinical studies and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clinical and scientific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executive officers, including Mr. Ian Mortimer, our President and Chief Executive Officer. The loss of services of one or more of our executive officers could materially delay or even prevent the successful development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collaborators and other personnel may engage in misconduct or other improper activities, including non-compliance with legal and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collaborators, vendors, investigational site staff, consultants, commercial partners and other personnel. Misconduct by those parties could include intentional, reckless and/or negligent conduct or disclosure of unauthorized activities to us that violates: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of the FDA, EMA and other foreign regulators, including those laws requiring the reporting of true, complete and accurate information to such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insider trading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privacy, data protection and security;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healthcare fraud and abuse laws and regulations in the U.S. and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reporting of financial information or data accurately.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sales, marketing and business arrangements in the healthcare industry are subject to extensive laws and regulations intended to prevent fraud, misconduct, kickbacks, self-dealing and other abusive practices. Additionally, we are subject to applicable foreign, federal and state data privacy and security laws. For additional information, see “Risk Factors — 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and regulations may restrict or prohibit a wide range of pricing, discounting, marketing and promotion, sales commission, customer incentive programs and other business arrangements. Any misconduct could also involve the improper use or misrepresentation of information obtained in the course of clinical studies or creating fraudulent data in our pre-clinical studies or clinical studies, which could result in regulatory sanctions and cause serious harm to our reputation. We have adopted a code of conduct applicable to all of our employees, officers, directors, agents and representatives, including consultants, but it is not always possible to identify and deter misconduct, and the precautions we take to detect and prevent misconduct may not be effective in controlling unknown or unmanaged risks or losses or in protecting us from governmental investigations or other actions or claims, demands, or lawsuits stemming from an actual or alleged failure to comply with these laws and regulations. Additionally, we are subject to the risk that a person or government could allege such fraud or other misconduct, even if none occurred. If any such actions are instituted against us, and we are not successful in defending ourselves, achieving a favorable settlement or otherwise asserting our rights, those actions could have a significant impact on our business,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Additionally, 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encounter difficulties in managing our growth, including headcount, and expanding our operations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involves continued development and, where development is successful, commercialization of select product candidates. In order to execute on this strategy, we will need to build out a regulatory, sales, manufacturing, supply chain and marketing infrastructure and expand our development capabilities or contract with third parties to provide these capabilities and infrastructure for us. To achieve this, we will need to identify, hire and integrate personnel, compensate our employees on adequate terms in an increasingly competitive, inflationary market and continue to implement and improve our managerial, operational and financial systems. As our operations expand, we expect that we will need to manage additional relationships with various strategic collaborators, suppliers and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growth will impose significant added responsibilities on members of management including the need to identify, recruit, maintain, motivate and integrate additional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business, give rise to operational errors, loss of business opportunities, loss of employees and reduced productivity amongst remaining employees. Our expected growth could require significant capital expenditures and may divert financial resources from other projects, such as the development of existing and additional product candidates. 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process personal data and other sensitive information, including our proprietary and confidential business data, trade secrets, intellectual property, data about study participants collected in connection with clinical studies, and other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federal, state, and local governments have enacted numerous data privacy and security laws, including data breach notification laws, personal data privacy laws, and consumer protection laws. For example, the U.S. federal Health Insurance Portability and Accountability Act of 1996, or HIPAA, as amended by the Health Information Technology for Economic and Clinical Health Act of 2009, or HITECH, imposes specific requirements relating to the privacy, security, and transmission of individually identifiable health information that apply to most U.S. healthcare providers with which we interact, such as our U.S. clinical study sites. At the state level, many jurisdictions in which we are operating also have laws and regulations relating to data privacy, cybersecurity and protection of personal information, including the California Consumer Privacy Act, or CCPA. CCPA and similar state comprehensive consumer privacy laws create consumer rights protection and impose obligations on businesses on which they apply, including requirements to conduct data processing risk assessments, to enter data processing agreements with vendors and other third-parties with whom a business shares personal information, and to make detailed disclosures to residents of those states about the business' data collection, use and sharing practices. Many of these state laws also allow for statutory fines for noncompliance. In addition, several states have enacted health-focused consumer privacy laws, such as Washington state's My Health, My Data Act, which impose obligations related to the collection and sharing of certain health-related information that is not subject to HIPAA and that does not fall within certain other exceptions in the law. Although these state consumer data and consumer health data privacy laws generally exempt some data processed in the context of clinical studies, to the extent they are applicable in our business and operations, these laws may increase compliance costs and potential liability with respect to other personal information we maintain about residents of these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data privacy and security laws have been proposed and enacted at the federal, state, and local levels in recent years, which could further complicate compliance efforts. For example, in June 2024, the Protecting Americans’ Data from Foreign Adversaries Act of 2024 took effect. This law prohibits data brokers from making available certain personally identifiable sensitive data of U.S. individuals to “foreign adversary” countries, such as the People’s Republic of China, or the PRC, and entities controlled by such countries. Additionally, in January 2025, the U.S. Department of Justice published a final rule implementing President Biden’s Executive Order 14117, “Preventing Access to Americans’ Bulk Sensitive Personal Data and United States Government-Related Data by Countries of Concern,” which became effective in April 2025. This final rule prohibits certain data brokerage transactions involving certain bulk sensitive personal information, including human genomic data and biospecimens from which such data can be derived, with restricted persons and jurisdictions, such as the PRC. The final rule also places restrictions on certain vendor, employment and investment agreements with such jurisdictions. These restrictions may affect our ability to engage in collaborations or license agreements with entities in restricted countries or with a nexus to such countries going forward.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U.S., the European Union’s General Data Protection Regulation, or EU GDPR, and the United Kingdom’s GDPR, or UK GDPR, impose strict requirements for processing the personal data of individuals.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Certain foreign jurisdictions have enacted data localization laws and cross-border personal data transfer laws, which could make it more difficult to transfer information across jurisdictions, such as transferring or receiving personal data that originates in the European Union, or EU. Additional jurisdictions have enacted and continue to enact and modify their data privacy laws, which increases the complexity of the data privacy landscape.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endeavor to comply with all applicable data privacy and security obligations, these obligations are quickly changing in an increasingly stringent fashion, creating some uncertainty as to how to comply, and potentially requiring us to modify our policies and practices, which may be costly and may divert the attention of management and technical personnel. Further, we may at times fail, or be perceived to have failed, to have complied and could face significant consequences. These consequences may include, but are not limited to, government enforcement actions, investigations and other proceedings;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our clinical studies;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both internal information technology systems and networks, and those of third-party vendors and contractors, to acquire, transmit, store and otherwise process information in connection with our business activities. Our ability to effectively manage our business depends on the security, reliability and adequacy of our and our third-party contractors’ and vendors’ technology systems. Any incident, whether hostile or inadvertent, that adversely impacts the confidentiality, integrity or availability of our systems and/or data, including phishing, business email compromise, social engineering, ransomware or other malware, or any security breach, security incident or other destruction, loss, or unauthorized use or other processing of data maintained or otherwise processed by us or on our behalf could result in a loss of intellectual property or misappropriation of trade secrets, disruptions to our business and operations, subject us to increased costs and require us to expend time and resources to address the matter, may subject us to claims, demands, and proceedings by private parties, regulatory investigations and other proceedings, and fines, penalties, and other liability and have a material adverse effect on our business. In addition, the loss, alteration or other damage to or other unavailability of pre-clinical data or clinical study data from completed or ongoing clinical studies for our product candidates could result in delays in our development and regulatory approval efforts and significantly increase our costs to recover or reproduce the data. Any cyberattack, security breach or incident, or other destruction, loss or unauthorized processing of data maintained or otherwise processed by us or on our behalf, or the perception any such matter has occurred, could result in actual or alleged violations of applicable U.S. and international privacy, data protection, information security and other laws and regulations, harm our reputation and subject us to litigation and governmental investigations and proceedings by federal, state and local regulatory entities in the U.S. and by international regulatory entities, resulting in exposure to material civil and/or criminal proceedings and liability. In addition, we may incur significant additional expense to implement further measures relating to privacy, data protection and information security, whether in response to an actual or perceived security breach or incident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experienced any material impact to our business, financial position or operations resulting from cyberattacks or other information security incidents; however, because of frequently changing attack techniques, along with the increased volume and sophistication of such attacks, our business, financial position or operations could be adversely impacted in the future. Moreover, the increasingly distributed nature of computing, including prevalent use of mobile devices to access confidential information and widespread use of cloud-based applications hosted in remote data centers, increases the risk of security breaches and incidents. These risks may be heightened due to the increasing number of our and our third-party vendors’ and contractors’ personnel working remotely. As cyber threats continue to evolve, we may be required to expend significant additional resources to continue to modify or enhance our protective measures or to investigate and remediate information security vulnerabilities, threats and incidents. While we have implemented layered security measures, our computer systems and the external systems and services used by our third-party contract manufacturers, or CMOs, and contract research organizations, or CROs, and their vendors and contractors remain potentially vulnerable to these events and there can be no assurance that we will be successful in preventing cyberattacks or successfully mitigating their effects. Our liability insurance may not be sufficient in type or amount to cover us against claims related to security breaches, cyberattacks and other related breaches.</w:t>
      </w:r>
    </w:p>
    <w:p>
      <w:pPr>
        <w:pStyle w:val="TextBody"/>
        <w:bidi w:val="0"/>
        <w:spacing w:before="360" w:after="283"/>
        <w:jc w:val="left"/>
        <w:rPr>
          <w:rFonts w:ascii="Times New Roman" w:hAnsi="Times New Roman"/>
          <w:sz w:val="20"/>
        </w:rPr>
      </w:pPr>
      <w:r>
        <w:rPr>
          <w:rFonts w:ascii="Times New Roman" w:hAnsi="Times New Roman"/>
          <w:b/>
          <w:i/>
          <w:color w:val="000000"/>
          <w:sz w:val="20"/>
        </w:rPr>
        <w:t>A variety of risks associated with international operations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dedicate additional resources to comply with numerous laws and regulations in each jurisdiction in which we operate and plan to operate outside the U.S., including those countries outside the U.S. in which we are conducting clinical studies. As we engage in significant cross-border and international activities, we will be subject to risks related to international operations,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conducting clinical studies, registering and maintaining approval of, manufacturing and advertising drugs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in certain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tariffs, trade barriers and regulatory requirements, including tariffs that have been imposed on certain goods by the current presidential administration and reciprocal tariffs imposed by Canada and other countries in which we do business, as well as potential tariffs on pharmaceutical products and components manufactured outside the United States that the current presidential administration has contemplated;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political instability or open conflict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multiple payer reimbursement regimes, government payers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of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North America;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or actual violations of domestic and international anti-corruption laws, such as the U.S. Foreign Corrupt Practices Act and the U.K. Bribery Act, or of U.S. and international import, export and re-export control and sanctions laws and regulations, the likelihood of which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studies, selling our products, and obtaining necessary permits, licenses, patent registrations, and other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tighter restrictions on privacy and data protection, and more burdensome obligations associated with the collection, use and retention of data, including clinical data and genetic material, may apply in jurisdictions outside of North America;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civil and political unrest and terrorism, or natural disasters including earthquakes, typhoons, floods and fires;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supply and other disruptions resulting from the impact of public health pandemics or epidemics on our strategic partners, third-party manufacturers, suppliers and other third parties upon which we rely;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increased government scrutiny on the use of certain foreign biotechnology service providers due to national security concerns, including the potential for legislation that restricts or prohibits the use of such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manage these risks associated with cross-border and international activities, our business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U.S. holders of our common shares may suffer adverse tax consequences if we are characterized as a passive foreign investment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investors should be aware that based on our gross income and gross assets, we were a passive foreign investment company, or PFIC, for the taxable year ended December 31, 2025 and we may be a PFIC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for any taxable year in which 75% or more of our gross income is passive income, or at least 50% of the quarterly average percentage of our assets (as determined under applicable Treasury Regulations) are held for the production of, or produce, passive income, we would be characterized as a PFIC, for U.S. federal income tax purposes. For PFIC testing purposes, a range of factors can affect the determination including the market price of our common shares and how we spend or otherwise hold our cash. Thus, our status as a PFIC is a fact-intensive determination made on an annual basis and the applicable law is subject to varying interpretation. In addition, a company’s PFIC status can be made only after the end of each taxable year. Accordingly, we cannot provide any assurance regarding our PFIC status for the current taxable year or future taxable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a PFIC for any year in which a U.S. investor hold our shares, such U.S. holders of our common shares may suffer adverse tax consequences including in years after we cease to be classified as a PFIC. Gains realized by such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 U.S. holders should consult their own tax advisors with respect to their particular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We will provide, upon request, our U.S. holders with the information that is necessary in order for them to make a qualified electing fund election and to report their pro rata shares of ordinary earnings and net capital gains for each year we believe we were a PFIC. U.S. holders should consult their own tax advisors with respect to making this election and the related reporting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also mitigate the adverse tax consequences by timely making a mark-to-market election. Generally, for each year that we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 U.S. holders should consult their own tax advisors with respect to the possibility of making this election.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are or become a PFIC (or our PFIC status is uncertain), it may deter certain U.S. investors from purchasing our common shares, which could have an adverse impact on the market price of our common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significant Canadian federal net operating loss carryforwards which are limited in life, Canadian federal investment tax credit carryforwards and provincial investment tax credit carryforwards which could expire unused and be unavailable to offset future income tax liabilities. The rules dealing with Canadian and U.S. federal, provincial, state, and local income taxation are constantly under review by persons involved in the legislative process and by the Canada Revenue Agency, Internal Revenue Service and the U.S. Treasury Department. Changes to tax laws, or changes in interpretations of existing laws (which changes may have retroactive application), including with respect to net operating losses and tax credits, could adversely affect us or holders of our common shares. In recent years, many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income tax in jurisdictions in which we are organized or operate, which would reduce our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risk that we may become subject to income tax in jurisdictions outside of Canada and the U.S.,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 or other strategic transactions could disrupt our business, cause dilution to our shareholders and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actively evaluate various strategic transactions on an ongoing basis, including the acquisition of other businesses, products or technologies as well as pursuing strategic alliances, licensing transactions or investments in complementary businesses. Any of these transactions could be material to our financial condition and operating results and expose us to many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relationships with collaborators or suppliers as a result of such a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liabilities related to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integrating acquired personnel, technologies and operations into our existing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pursuing strategic transactions and managing any such strategic alliances, joint ventures or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dilution to our shareholders if we issue equity in connection with such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our expenses and reductions in our cash available for operations and other uses;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write-offs or impairment charges relating to acquired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strategic alliance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acquisitions, or the effect that any such transactions might have on our operating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operations in the U.S. and elsewhere will be subject, directly or indirectly, to applicable federal and state fraud and abuse, government pricing and transparency, health information privacy and security, and other healthcare laws and regulations, non-compliance with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and third-party payers in the U.S. and national health systems in other jurisdictions play a primary role in the recommendation and prescription of any product candidates for which we obtain marketing approval. Our arrangements with healthcare providers, third-party payers, patients and other parties within the healthcare delivery system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healthcare and data privacy laws and regulations include the following, some of which will apply only if and when we have a marketed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federal False Claims Act, which can be enforced through civil whistleblower, or qui tam actions, as well as civil monetary penalty laws can impose criminal and civil penalties, assessment, and exclusion from participation for various forms of fraud and abuse involving the federal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as amended,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payers with whom we interact;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FDCA, which, among other things, strictly regulates drug product and medical device marketing, prohibits manufacturers from marketing such products for off-label use and regulates the distribution of samples;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so-called federal "sunshine law" or Open Payments which requires manufacturers of drugs, devices, biologics, and medical supplies to report to the Centers for Medicare &amp; Medicaid Services information related to payments and other transfers of value to teaching hospitals, physicians, and other healthcare practitioners,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limit financial interactions between manufacturers and healthcare providers; require manufacturers to adopt certain compliance standards; require disclosure to the government and public of financial interactions; require disclosure of marketing expenditures or pricing information, regulate drug pricing and/or require the registration of pharmaceutical sales representatives; and state and foreign laws governing the collection, export, privacy, use, protection and security of biological materials and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activities comply with applicable healthcare laws and regulations will involve substantial costs and, if and when one of our product candidates is approved, our compliance efforts will need to expand and evolve to address newly applicable laws. Given the breadth of the laws and regulations, limited guidance for certain laws and regulations and evolving government interpretations of the laws and regulations, governmental authorities may possibly conclude that our business practices may not comply with such laws.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Canadian federal, provincial, and local laws and regulations and may be subject to U.S. and/or foreign,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climate change or other natural disasters and our business continuity and disaster recovery plans may not adequately protect us from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CMOs upon whom we rely, or that otherwise disrupted operations, it may be difficult or, in certain cases, impossible for us to continue our business for a substantial period of time. Such events may result in damage or loss of our products and product candidates during their manufacture and shipment, cause delays in clinical development due to study site disasters or result in losses of critical data, any of which may adversely impact our operations. Although we carry insurance for earthquakes and other natural disasters, we may not carry sufficient business interruption insurance to compensate us for all losses that may occur. The disaster recovery and business continuity plans that we have in place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foregoing could have a material adverse effect on our business.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substantially depends upon the successful development of azetukalner. If we are unable to obtain regulatory approval for, and successfully commercialize, azetukalner,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products approved for commercial sale and are investing significant efforts and financial resources in the development of our clinical-stage product candidate, azetukalner for the treatment of epilepsy, MDD, BPD and potentially other neurological disorders. While we are advancing our Phase 3 clinical studies in azetukalner, there can be no assurance that these or any future clinical studies will be successful, that we will be able to obtain regulatory approval, or that we will be able to manufacture or independently commercialize any product candidates. Our future business success depends on the continued development and ultimate regulatory approval of azetukalner. The future regulatory and commercial success of azetukalner is subject to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clinical studies and ultimate completion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and efficacy data from our clinical programs that support acceptable risk-benefit profiles of azetukalner in the intended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any post-marketing studies required by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for both clinical and commercial supplies of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commercial launch of azetukalner,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of azetukalner, if and when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azetukalner, if and when approved, by patients, the medical community, third-party payers, national health systems, and health technology authorities where applicable to ensure effective market access and adoption by healthcare providers and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acceptable pricing, third-party insurance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and durable efficacy profile of azetukalner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raising sufficient funds to support regulatory approval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the regulatory submission and approval process, potential threats to our intellectual property rights and the manufacturing, marketing and sales efforts of any future collaborator. If we or any collaborator are unable to develop, receive regulatory approval for, or successfully commercialize azetukalner for our initial or potential additional indications, or if we experience delays as a result of any of these risks or otherwise, our business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of the large number of drugs in development in the pharmaceutical industry, only a small percentage result in the submission of an NDA to the FDA or the equivalent foreign regulatory authorities and even fewer are approved for commercialization. Furthermore, even if we do receive regulatory approval for azetukalner for any indication, any such approval may be subject to limitations on the indications or uses or patient populations for which we may market azetukalner. Accordingly, even if we are able to obtain the requisite financing to continue to fund our development programs, we cannot ensure that we will successfully develop or commercialize azetukalner for any indication.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approach to drug discovery is unproven, and we do not know whether we will be able to develop any products of commercial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drug discovery may not reproducibly or cost-effectively result in the discovery of product candidates and development of commercially viable products that safely and effectively treat human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discovery efforts may initially show promise in identifying additional product candidates yet fail to yield viable product candidates for clinical development or commercialization. Such failure may occur for many reasons, including that any product candidate may, on further study, be shown to have serious or unexpected side effects or other characteristics that indicate it is unlikely to be safe or otherwise does not meet applicable regulatory criteria and/or not be capable of being produced in commercial quantities at an acceptable cost,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discovery activities fail to identify novel targets for drug discovery, or such targets prove to be unsuitable for treating human disease, or if we are unable to develop product candidates with specificity and selectivity for such targets, we will fail to develop viable products. If we fail to develop and commercialize viable products, we will not achieve commercial success.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pre-clinical studies and/or earlier clinical studies may not be predictive of the results of later-stage clinical studies and the results of our clinical studies may not satisfy regulatory requirements and we may experience delays or unexpected difficulties in obtaining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pre-clinical studies, either generated by us, by our CROs or by other third parties from which we have in-licensed or acquired a product candidate, may not be predictive of results in clinical testing. Moreover, pre-clinical results can often be difficult to compare across different studies for a variety of reasons, including differences in experimental protocols and techniques, personnel, equipment and other factors, which may make the pre-clinical results less reliable and predictive of clinical study results. In addition, published clinical data or case reports from third parties or early clinical study data of our product candidates may not be predictive of the results of later-stage clinical studies. Interpretation of results from early, usually smaller, studies that suggest a clinically meaningful response in some patients, requires caution. Results from later stages of clinical studies enrolling more patients may fail to show acceptable safety and efficacy results according to applicable regulatory requirements or otherwise fail to be consistent with the results of earlier studies of the same product candidate. Later clinical study results may not replicate earlier clinical studies for a variety of reasons, including differences in study design, different study endpoints (or lack of study endpoints in exploratory studies), patient population, number of patients, patient selection criteria, study duration, drug dosage and formulation and lack of statistical power in the earlier studies. These uncertainties are enhanced where the diseases or disorders under study lack established clinical endpoints, validated measures of efficacy, as is often the case with disorders for which no drugs have been developed previously and where the product candidates target novel mechanisms. The absence of well-defined regulatory pathways and recognized efficacy benchmarks can make clinical development, regulatory approval, and commercialization more challenging and unpredictable.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product candidates may not be approved even if they achieve their primary endpoints in our Phase 3 clinical studies. The FDA, EMA or other foreign regulatory authorities may disagree with our study design and our interpretation of data from pre-clinical studies and clinical studies or require additional data. In addition, any of these regulatory authorities may change its requirements or recommendations for the approval of a product candidate at any time in the future, even after reviewing and providing comments or advice on a protocol for a pivotal clinical study that, if successful, would potentially form the basis for an application for approval by the FDA, EMA or another foreign regulatory authority. For example, the FDA may refuse to accept our planned NDA for substantive review or may conclude after review of our data that our application is insufficient to obtain regulatory approval. If the FDA does not approve our planned NDA, it may require that we conduct additional clinical, nonclinical or manufacturing studies before it will reconsider our application. Depending on the extent of these or any other studies required by the FDA or another regulatory authority, approval of an NDA or equivalent filing may be significantly delayed or we may be unable to obtain approval of an NDA or equivalent filing because such studies may require us to expend more resources than we have available. Furthermore, applicable regulatory authorities may also approve our product candidates for a narrower indication or population than we request or may grant approval contingent on the performance of costly post-marketing commitments.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initial, “topline” and preliminary data from our clinical studies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studies, which are based on preliminary analyses of then-available data, and the results and related findings and conclusions are subject to change following a more comprehensive review of the complete data set for the relevant pre-clinical or clinical study. We also make assumptions, estimations, calculations and conclusions as part of our analyses of data, and we may not have received or have access to all data, and we may not have had the opportunity to fully and carefully evaluate all data. As a result, the topline or preliminary results that we report may differ from future results of the same studies, or different conclusions or considerations may qualify the initial findings, once additional data have been received and fully evaluated. Topline data also remain subject to audit and verification procedures that may result in the final data being materially different from the preliminary data we previously published or disclosed. As a result, topline data should be interpreted with caution until the final, comprehensive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perceived value of the particular program, the approvability or commercial potential of the particular product candidate or product and could have a material adverse effect on our business prospects. In addition, the information we choose to publicly disclose regarding a particular study is based on what is typically extensive complex body of information, and others may not agree with our determination of what constitutes material or otherwise appropriate information for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negatively impact our business, results of operations, prospects or financial condition. Further, disclosure of interim, topline or preliminary data by us or by our competitors could result in volatility in the price of our common shares.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studies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product candidates, which include azetukalner and NBI-921355 (being developed by our collaborator Neurocrine Biosciences), along with product candidates we expect to enter clinical development, which include our pre-clinical compounds, are in varying stages of development and will require substantial clinical development, testing and regulatory approval prior to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or our collaborators, must demonstrate through lengthy, complex and expensive pre-clinical testing and clinical studies that each product candidate is both safe and effective for use in each target indication. Failure can occur at any time during the clinical study process. Clinical studies often fail to demonstrate safety and efficacy of the product candidate studied for the target indication. Most product candidates that commence clinical studies are never approved as products. A number of companies in the biopharmaceutical industry have suffered significant setbacks in advanced clinical studies due to lack of efficacy or adverse safety profiles, notwithstanding promising results in earlier studies. In addition to the safety and efficacy studies of any product candidate, clinical study failures may result from a multitude of factors including flaws in study design, dose selection, statistical analysis plan, placebo effect, patient enrollment criteria, patient compliance and study execution. Data obtained from studies are susceptible to varying interpretations, and regulators may not interpret our data as favorably as we do, which may delay, limit or prevent regulatory approval. Failure of a clinical study due to any of these reasons could materially harm our business and the market price of our common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some of our and our collaborators’ product candidates, we and our collaborators are seeking to develop treatments for certain diseases or disorders for which there is relatively limited clinical experience, and clinical studies may use novel endpoints and measurement methodologies or subjective patient feedback, which adds a layer of complexity to these clinical studies and may delay regulatory approval. Negative or inconclusive results from our, or our collaborators’, clinical studies could lead to a decision or requirement to conduct additional pre-clinical testing or clinical studies or result in a decision to terminate the continued development of a product candidate. For example, on March 9, 2026, we released topline data from our Phase 3 X-TOLE2 clinical study of epilepsy in adult patients with FOS. In addition, our Phase 3 X-NOVA2 and X-NOVA3 studies in MDD and our Phase 3 X-CEED study in BPD are ongoing and continue to recruit patients. There can be no assurance that our ongoing azetukalner Phase 3 clinical studies or any other future Phase 3 clinical studies will demonstrate adequate efficacy and safety results and that we will be able to obtain regulatory approval of azetukalner. Any of the foregoing outcomes would materially and adversely impact our business, product candidate pipeline and future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or our collaborators’, product candidates are not shown to be both safe and effective in clinical studies, such product candidates will be unable to obtain regulatory approval or be successfully commercialized. In addition, our, or our collaborators’, failure to demonstrate positive results in clinical studies in any indication for which we, or our collaborators, are developing clinical product candidates could adversely affect development efforts in other indications. In such case, we would need to develop other compounds and conduct associated pre-clinical testing and clinical studies, as well as potentially seek additional financing, all of which would have a material adverse effect on our business, growth prospects, operating results,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find it difficult to enroll patients in our clinical studies which could delay or prevent the successful completion of clinical studies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not be able to identify, recruit and enroll a sufficient number of patients, or those with required or desired characteristics to achieve diversity in a study, to complete clinical studies in a timely manner, or at all. Patient enrollment for clinical studies is affected by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or disorder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study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of the patient population and geographic dispersion;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identification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for the study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study investigators with the appropriate competencies, staff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study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therapies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studies;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studies will compete with other clinical studies for product candidates that are in the same therapeutic areas as our product candidates, and this competition will reduce the number and types of patients available to us, because some patients who might have opted to enroll in our studies may instead opt to enroll in a study being conducted by one of our competitors. Since the number of qualified clinical investigators is limited, we expect to conduct some of our clinical studies at the same clinical study sites that some of our competitors use, which will reduce the number of patients who are available for our clinical studies at such clinical study sites.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inability to enroll a sufficient number of patients for our clinical studies would result in significant delays or might require us to abandon one or more clinical studies altogether. Delays in patient enrollment may result in increased costs, affect the timing or outcome of the planned clinical studies, affect product candidate development and approval process and jeopardize our ability to seek and obtain the regulatory approval required to commence product sales and generate revenue, any of which could cause the value of our company to decline and limit our ability to obtain additional financing if needed.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also depends on the collective performance, contributions, and expertise of the personnel who manage our clinical study sites. There is significant competition for qualified personnel, particularly those with higher educational degrees, in the biopharmaceutical and related services industries. Increased personnel turnover and labor shortages facing the biopharmaceutical services industry could have a negative impact on the third parties we rely on to execute our clinical studies. While we seek to choose study sites with adequate staffing support, we cannot be certain that personnel turnover or the broader labor market dynamics in this industry will not negatively impact our study sites. If our clinical study sites are negatively impacted by these factors, our ability to enroll our clinical studies in a timely fashion may be hindered and might negatively affect our business, development timelines,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incur unexpected costs or experience delays in completing, or ultimately be unable to complete, the development and commercialization of our, or our collaborators’,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commercialize any of our product candidates, we, or our collaborators, must demonstrate through extensive pre-clinical and clinical studies that our, or our collaborators’, product candidates are safe and effective in humans. We, or our collaborators, may experience delays in completing our, or our collaborators’, pre-clinical or clinical studies, and initiating or completing additional pre-clinical or clinical studies, including as a result of regulators not allowing or delay in allowing clinical studies to proceed under an IND, or not approving or delaying approval for any clinical study application or similar approval we need to initiate a clinical study. We, or our collaborators, may also experience numerous unforeseen events during our clinical studies that could delay or prevent our, or our collaborators’, ability to complete development for a product candidate, or receive marketing approval or commercialize the product candidates we, or our collaborators,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or failure in obtaining the necessary approvals from regulators or institutional review boards, or IRBs, in order to commence a clinical study at a prospective study site, or their suspension or termination of a clinical study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reach agreement with prospective CROs and clinical study sites, the terms of which can be subject to extensive negotiation and may vary significantly among different CROs and study sites, or the breach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challenges or delays in recruiting principal investigators or study sites to lead our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side effects or adverse events in study participants presenting an unacceptable safety risk;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third-party contractors, such as CROs, or investigators to comply with regulatory requirements, including good clinical practices, or GCPs;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having patients complete a study, adhere to the study protocol,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or patients required for clinical studies of our product candidates may be larger than we anticipate, enrollment in these clinical studies may be insufficient or slower than we anticipate, and the number of clinical studies being conducted at any given time may be high and result in fewer available patients for any given clinical study, or patients may drop out of these clinical studies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study protocol or dropping out of a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to amend clinical study protocols submitted to regulatory authorities or conduct additional studies to reflect changes in regulatory requirements or guidance, which it may be required to resubmit to an IRB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or delays with accessing certain species of animals to complete our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problems with investigational medicinal product storage, stability and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manufacture, or obtain from third parties, adequate supply of drug substance or drug product sufficient to complete our pre-clinical and clinical studies, including supply chain issues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undertake and complete additional pre-clinical studies to generate data required to initiate clinical development or to support the continued clinical development of a product candidate or submission of an NDA or equivalent;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disruptions, caused by man-made or natural disasters, public health pandemics or epidemics, civil unrest or military conflict, or other business interruptions;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governmental or regulatory delays;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policies, regulations and guidelines of the FDA, EMA or other foreign regulators regarding development, approval, and marketing of biopharmaceutical products, including but not limited to, in the U.S., as a result of policies implemented by the current presidential administration that may, for example, render our clinical data insufficient for approval or restrict us from marketing our product candidates in the manner in which we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risks and uncertainties could impact any of our, or our collaborators’, clinical programs and any of the clinical, regulatory or operational events described above could change our, or our collaborators’, planned clinical and regulatory activities. Challenges in enrolling and retaining patients in our clinical studies, including in our azetukalner Phase 3 clinical studies, whether as a result of pandemics, geopolitical events, or for any other reasons, may further delay the studies or cause them to be discontinued.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any Phase 3 or other pivotal clinical studies may not be adequate to support marketing approval. These clinical studies are lengthy and usually involve many hundreds to thousands of patients, which can be complicated by the difficulty of identifying eligible patients. Even if patients are successfully identified, they may fail to meet screening criteria, including baseline seizure burden for epilepsy clinical studies, and, as a result, may not be enrolled. Difficulties in identifying, screening and/or enrolling patients in our studies may extend the time needed to complete our clinical studies or require the initiation of additional sites to achieve target enrollment numbers to complete our clinical studies. These may increase the cost of our operations and/or delay the timing of our regulatory approval. In addition, if the FDA, EMA or another foreign regulator disagrees with our, or our collaborators’, choice of the key testing criterion, or primary endpoint, or if the results for the primary endpoint are not sufficiently robust or statistically significant or clinically meaningful relative to the control group of patients not receiving the experimental therapy, or our statistical analysis is inconclusive, such regulator may refuse to approve our product candidate in the region in which it has jurisdiction. The FDA, EMA or other foreign regulators also may require additional clinical studies as a condition for approving any of these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could also encounter delays if a clinical study is suspended or terminated by us, by our collaborators, by the IRBs of the institutions in which such study is being conducted, by any Data Safety Monitoring Board for such study, or by the FDA, EMA or other foreign regulatory authorities. Such suspensions or terminations may arise from a variety of factors, including failure to conduct the clinical study in accordance with regulatory requirements or our clinical protocols, regulatory inspections, imposition of a clinical hold, manufacturing problems, unforeseen safety issues or adverse side effects, lack of demonstrated benefit, changes in governmental regulations or administrative actions or insufficient funding to continue the clinical study. In addition, delays can occur due to safety concerns arising from studies or other clinical data regarding another company’s product candidate in the same compound class as one of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applicable regulatory requirements and guidance may occur and we may need to amend clinical study protocols to reflect these changes or to include additional objectives that could yield important scientific information critical to our overall development strategy. The protocol amendment process often requires review and approval by several review bodies, including regulatory agencies and scientific, regulatory and ethics boards and IRBs which may affect timely completion of a clinical study. Further, there is no guarantee that these protocol amendments will be accepted by the review bodies in the form submitted, or at all, which may impact costs, timing or successful completion of a clinical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experience delays in the completion of, or termination of, any clinical study of one of our product candidates, the commercial prospects of the product candidate may be harmed, the period during which we may have the exclusive right to commercialize our products under patent protection could be shortened, and our, or our collaborators’, ability to commence product sales and generate product revenue from the product will be delayed. In addition, any delays in completing our clinical studies will increase our costs and slow down our product candidate development and approval process and may ultimately lead to the termination of a clinical study and development of a product candidate.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or our collaborators’,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any of our product candidates could cause us or regulatory authorities to interrupt, delay or halt clinical studies and could result in a more restrictive label or the delay or denial of regulatory approval by the FDA, EMA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studies could reveal a high and unacceptable severity and prevalence of side effects or unexpected characteristics. For example, while adverse events in our X-TOLE and X-NOVA clinical studies were generally mild or moderate in severity, there can be no guarantee that we will observe a similar tolerability profile of azetukalner in our ongoing Phase 3 clinical studies or in other future clinical studies. Many compounds that initially showed promise in clinical or earlier-stage testing are later found to cause undesirable or unexpected side effects that prevented further development of the compound.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side effects arise in the development of our product candidates, we, the FDA, EMA or comparable foreign regulatory authorities, the IRBs, or independent ethics committees at the institutions in which our studies are conducted, could suspend, limit or terminate our clinical studies, or the independent safety monitoring committee could recommend that we suspend, limit or terminate our studies, or the FDA, EMA or comparable foreign regulatory authorities could order us to cease clinical studies or deny approval of our product candidates for any or all targeted indications. Treatment-emergent side effects that are deemed to be drug-related could delay recruitment of clinical study subjects or cause subjects that enroll in our clinical studies to discontinue participation in our clinical studies. In addition, these side effects may not be appropriately recognized or managed by the treating medical staff. We may need to train medical personnel using our product candidates to understand the side effect profiles for our clinical studies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clinical studies of our product candidates are conducted in carefully defined sets of patients who have agreed to enter into clinical studies. Consequently, it is possible that our clinical studies may indicate an apparent positive effect of a product candidate that is greater than the actual positive effect, if any, or alternatively fail to identify undesirable side effects.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product candidates are developed through pre-clinical to late-stage clinical studies towards approval and commercialization, it is common that various aspects of the development program, such as manufacturing methods and formulations, are altered along the way in an effort to optimize products, processes and results, and/or to target different populations. Such changes may also result in inventions that result in additional patent protection. Any of these changes could cause our product candidates to perform differently and not provide the same drug exposure profile in children and/or cause side effects different to those observed with the same formulation in adults or with other formulations. Unexpected changes in the performance of a new formulation may affect the results of planned clinical studies or other future clinical studies conducted with the altered materials. This could delay completion of clinical studies, require the conduct of additional bridging clinical studies or the repetition of one or more clinical studies, increase clinical study costs and/or delay or jeopardize approval of our product candidates and/or jeopardize our, or our collaborators’, ability to commence product sales and generate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 is expensive and the time required to obtain approval from the FDA, EMA or other foreign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Moreover, pre-clinical and clinical data are often susceptible to varying interpretations and analyses, and even if the pre-clinical studies show promising results and clinical studies are successfully completed, we cannot guarantee that the FDA, EMA or other foreign regulatory authorities in other jurisdictions will interpret the results as we do, and more clinical studies, manufacturing-related studies or non-clinical studies could be required before we submit our product candidates for approval. Many companies that have believed their product candidates performed satisfactorily in pre-clinical and clinical studies have nonetheless failed to obtain marketing approval of their products. To the extent that the results of our studies are not satisfactory to the FDA, EMA or other foreign regulatory authorities in other jurisdictions for support of a marketing application, approval of our product candidates may be significantly delayed, or we may be required to expend significant additional resources, which may not be available to us, to conduct additional studies in support of potential approval of our product candidates. It is also possible that none of our existing product candidates or any of our future product candidates will ever obtain regulatory approval, even if we expend substantial time and resources seeking such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the design or implementation of our, or our collaborators’,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to the satisfaction of the FDA, EMA or other foreign regulatory authorities that a product candidate is safe and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studies may not meet the level of statistical significance required by the FDA, EMA or other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that a product candidate’s clinical and other benefits outweigh its safety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our, or our collaborators’, interpretation of data from pre-clinical studies or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studies of our product candidates may not be sufficient to support the submission of an NDA, or other submission or to obtain regulatory approval in the U.S.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fail to approve the manufacturing processes, controls or facilities of third-party manufacturers with which we, or our collaborators,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pre-approval inspections of Xenon, manufacturing, clinical sites, pre-clinical or clinical service providers, conducted by regulatory authorities may identify errors or omissions that may result in the product candidate not being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other foreign regulatory authorities may significantly change in a manner rendering our, or our collaborators’,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or our collaborators, obtain approval for a particular product, regulatory authorities may grant approval contingent on the performance of costly post-approval commitments including clinical studies, or may approve a product with a label that does not include the labeling claims necessary or desirable for the successful commercialization of that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FDA's, EMA's or other foreign regulatory authorities’ policies with respect to clinical studies may change and additional government regulations may be enacted. For instance, the regulatory landscape related to clinical studies in the EU recently evolved. The EU Clinical Trials Regulation, or CTR, which was adopted in April 2014 and repealed the EU Clinical Trials Directive, became applicable on January 31, 2022. The implementation of the CTR also includes the implementation of the Clinical Trials Information System, or CTIS, a new clinical study portal and database that will be maintained by the EMA in collaboration with the European Commission and the EU Member States. The objectives of the CTR include consistent rules for conducting studies throughout the EU, consistent data standards and adverse events listing, and consistent information on the authorization status. Information on the conduct and results of each clinical study carried out in the EU will be made publicly available. The CTR authorizes EU Member States to regulate certain aspects of clinical studies at the national level. To the extent an EU Member State where we plan to conduct any of our clinical studies is slow to adopt CTIS or implements other regulatory changes at the national level, or technical issues are encountered with the CTIS system and/or process, our clinical study may be delayed in such EU Member State, and our costs may be increased. The main legislation that applies to clinical studies in the United Kingdom, or UK, is the UK Medicines for Human Use (Clinical Trials) Regulations 2004, which transposes the EU Clinical Trials Directive into domestic law. The UK has implemented the Integrated Research Application System, which allows a single application to be reviewed by both the Medicines and Healthcare products Regulatory Agency and a research ethics committee at the same time. Requirements and obligations that relate to the conduct of clinical studies in the UK remain largely aligned with the EU position. A statutory instrument to amend the Medicines for Human Use (Clinical Trials) Regulations 2004 was laid before parliament on December 12, 2024. The new regulations will take full effect on April 10, 2026 after a 12-month implementation period to address the research sector’s need for a more efficient, streamlined and adaptable regulatory framework for clinical studies. Complying with changes in regulatory requirements in different jurisdictions can result in additional costs, delay our clinical development plans, or expose us to greater liability if we are slow or unable to adapt to changes in existing requirements or the adoption of new requirements or policies governing clinical studies, our development plans, including our azetukalner Phase 3 clinical studies, may be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because there may be approved treatments for some of the diseases or disorders for which we may seek approval, in order to receive regulatory approval, we may need to demonstrate in clinical studies that the product candidates we develop to treat those diseases or disorders are not only safe and effective, but may need to be compared to existing methods of treatment within healthcare systems, which may make it more difficult for our product candidates to receive regulatory approval or adequate reimbursement. Demonstrating superiority or added value over existing therapies is often a critical factor for both regulators and payers, and failure to do so may limit market access and adoption within healthcare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and maintain approval for our product candidates from one jurisdiction, we may never obtain approval for our product candidates in other jurisdictions, which would limit our market opportunities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approved products, if any, will be subject to the regulatory requirements governing marketing approval in the countries in which we obtain regulatory approval, and we plan to seek, ourselves or with collaborators, regulatory approval to commercialize our product candidates in North America, the EU and in additional foreign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the FDA, EMA or regulatory authorities in other countries. Approval procedures vary among jurisdictions and can be lengthy and expensive, and involve requirements and administrative review periods different from, and potentially greater than, those in the U.S., including additional pre-clinical studies or clinical studies. Even if our product candidates are approved, regulatory approval for any product may be withdrawn by the regulatory authorities in a particular jurisdiction. We do not have experience in obtaining regulatory approval in international markets. If we, or our collaborators, fail to comply with regulatory requirements or to obtain and maintain required approvals, our target market will be reduced and our ability to realize the full market potential of our product candidates will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in excess of our limited product liability insurance coverage and may be required to limit commercialization of our current and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with other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or provincial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 candidates or any resulting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study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study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carry product liability insurance with amounts of coverage that we believe are appropriate relative to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certain of the diseases, or disorders, targeted by our product candidates are often already in severe and advanced stages of disease and have both known and unknown significant pre-existing and potentially life-threatening conditions. During the course of treatment, patients have in the past and may in the future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regulatory agencies grant marketing approvals to azetukalner or any other of our product candidates, we may not be successful in commercializing any of our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commercialization of any our current or future product candidates, if approved, could be materially adversely impacted by a number of foreseen and unforeseen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our ability to produce sufficient quantities of or our current or future product candidates, at an acceptable cost or quality, including such delays arising out of quality assurance concerns or changes in regulatory guidance, or those caused by our reliance on our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marketing, access, and payer and patient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prescribers and accounts;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inadequate number of prescribers or accounts prescribing any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provide acceptable evidence of safety and efficacy;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side effects associated with any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compete with current or future competitor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and ease of administration of our future products relative to alternative therapies,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or delay in gaining or maintaining reimbursement and broad patient access at a price that reflects the value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address product labeling or product insert requirements, including any changes mandated by regulatory authorities after initial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the content or form of the consumer and/or prescriber-facing marketing materials that we may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equip customer-facing personnel with effective materials, including medical and sales literature to help them educate physicians and other healthcare professionals regarding applicable diseases relevant to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of scientific literature, consensus papers and treatment guidelines unfavorable to the administration of our products and product candidates and/or the positioning of the class of drugs to which each of our products and product candidates belongs;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develop or obtain and sustain sufficient operational functions and infrastructure to support our commercial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incidence and prevalence for target populations of azetukalner and our other product candidates has not been established with precision. If the market opportunities for our product candidates are smaller than we estimate, or if any approval that we obtain is based on a narrower definition of our targeted patient population, our revenue may be materially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precise incidence and prevalence for all the conditions we aim to address with our programs are not known with specificity. Our projections of both the number of people who have these diseases, as well as the subset of people with these diseases who have the potential to benefit from treatment with our product candidates, if approved, are based largely on our extrapolation from available population studies and estimates. These estimates have been derived from a variety of sources, including scientific literature, surveys of clinics, patient foundations, pharmacy claims analyses, large national surveillance databases or market research, and may prove to be incorrect. Further, new trials and therapeutic options may lead to changes in the estimated incidence or prevalence of these diseases, or relevant subpopulations thereof. As a result, the number of patients who may benefit from our product candidates, if approved, may be lower than expected.</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our own sales, marketing and distribution capabilities or enter into agreements for these purposes, we may not be successful in independently commercializing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as a company, have no sales, marketing or distribution experience. Our strategy involves building our own commercial infrastructure to selectively commercialize future products in certain commercial markets which will be expensive and time consuming. For certain products, including azetukalner, and/or specific commercial markets, we evaluate commercial partners from time to time. In some cases, we may seek to retain the right to participate in the future development and commercialization of such products if we believe such involvement would advance our business. We cannot be certain that we will be successful in consummating any such commercial partnerships or, if consummated, whether such partnerships will be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develop internal sales, distribution and marketing capabilities in the U.S., we will have to invest significant amounts of financial and management resources, some of which will need to be committed prior to any confirmation that any of our product candidates will be approved. We have no prior experience as a company in the marketing, sale and distribution of biopharmaceutical products and there are significant risks involved in building and managing a commercial organization. For any future products for which we decide to perform sales, marketing and distribution functions ourselves, we could face a number of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supply arrangements with third-party logistics providers and secondary packagers;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scaled production arrangements with third-party manufacturers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and retain adequate numbers of qualified sales and marketing personnel or develop alternative sales channels;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products to secure acceptance from physicians, healthcare providers, patients, third-party payers and the medical community including identifying an adequate number of physicians and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and maintaining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with other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and when appropriate, we may elect to utilize contract sales forces, distribution partners or collaborators that have sales, marketing and distribution capabilities to assist in the commercialization of or to independently commercialize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which may result in significant additional expense and delays.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product candidates for which we, or any existing or future collaborators, obtain regulatory approval, as well as the manufacturing processes, post-approval studies,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our contract manufacturers will also be subject to user fees and periodic inspection by the FDA and other regulatory authorities to monitor compliance with these requirements and the terms of any product approval we may obtain. In addition, our product candidates may receive schedule classifications under the Controlled Substances Act of 1970 (or scheduling classifications under similar legislation outside of the U.S.) which will result in additional complexity and may result in delays and restrictions with respect to manufacturing, supply chain, licensing, import/export and distribution.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is approved, the FDA or another applicable regulatory authority, as the case may be, may limit the indications for which the product may be marketed, require extensive precautions and warnings on the product labeling or require expensive and time-consuming post-approval commitments including clinical studies or onerous risk management activities, including Risk Evaluation and Mitigation Strategies, or REMS, in the U.S. as conditions of approval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any approved product, we, or our collaborators, will need to ensure continued compliance with extensive regulations and requirements regarding the manufacturing processes, labeling, packaging, serialization,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good distribution practices, or GDP, and current good clinical practices, or cGCP, for any clinical studies that we, or our collaborators, are required to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discovery of previously unknown problems with a product, including adverse events of unanticipated severity or frequency, or other problems with our product or with third-party manufacturers or manufacturing processes, or failure to comply with regulatory requirements, may result in, amongst other things, restrictions on the labeling or marketing, withdrawals, consent decrees, clinical holds, post-approval requirements or restrictions, recalls, fines, warning letters, injunctions, penalties, exclusions from federal healthcare programs, seizures and/or detentions, among other consequences and adverse actions. Occurrence of any of the foregoing could have a material and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we must comply with requirements concerning the advertising and promotion of our products, which are subject to a variety of legal and regulatory restrictions and may be promoted only for the approved indications in accordance with the approved label. The FDA and other agencies actively enforce the laws and regulations prohibiting the promotion of off-label uses, and a company that is found to have improperly promoted off-label use may be subject to significant liability. However, physicians may, in their independent medical judgment, prescribe legally available products for off-label uses. The FDA does not regulate the behavior of physicians in their choice of treatments but the FDA and other foreign regulators do restrict manufacturers' communications on the subject of off-label use of their products. The EU and other foreign jurisdictions also prohibit direct-to-consumer advertising for prescription-only medicines. Even if any of our product candidates receive regulatory approval, our sales and marketing efforts may not be successful or may be limited by future governmental policies or initiatives. For example, the FDA stated in September 2025 that it intends to more aggressively enforce requirements for direct-to-consumer drug advertising and sent warning or untitled letters to a significant number of pharmaceutical companies alleging deceptive prescription drug advertising, which represents a dramatic increase in FDA actions compared to prior years. The current administration’s focus on pharmaceutical advertising heightens the risk that we may, in the future, receive a warning letter or be subject to enforcement action related to our advertising and marketing practices, which could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To the extent we develop and commercialize product candidates that contain or are considered controlled substances, any failure by us or our CROs, CMOs and other contractors to comply with controlled substance laws and regulations, may adversely affect the results of our business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develop product candidates that are considered controlled substances in multiple jurisdictions, such as the U.S., Canada, and the EU, which will expose us to additional controlled substance regulatory requirements in each applicable jurisdiction where we engage in regulated activities, including storage, manufacture, research, clinical studies, import, and export, among other activities. For example, obtaining and maintaining the necessary registrations may result in delay of the importation, manufacturing or distribution of our controlled substance product candidates and may extend our anticipated timelines for clinical studies we run.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Controlled substances or scheduled substances are regulated by the DEA under the CSA. The DEA regulates compounds as Schedule I, II, III, IV or V substances. Pharmaceutical products approved for use in the U.S. may be listed as Schedule II, III, IV or V, with Schedule II substances considered to present the highest potential for abuse or dependence and Schedule V substances the lowest relative risk of abuse among such substances. Authorities outside the U.S. apply the United Nations International Drug Control Conventions to control substances or schedule substances that are liable to abuse or ill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Scheduling determinations by the DEA are dependent on FDA approval of a substance or a specific formulation of a substance. This scheduling determination will be dependent on FDA approval and the FDA’s recommendation as to the appropriate schedule, which may introduce a delay into the approval and any potential rescheduling process. There can be no assurance that the DEA will make a favorable scheduling decision. Substances that are Schedule II, III, IV or V controlled substances at the federal level may also require scheduling determinations under state laws and regulations, as well as similar foreign controlled substances regulations, if applicable. If approved by the FDA, a number of post-approval activities involving controlled substances will be subject to regulation by the DEA, including DEA regulations relating to registration and inspection of facilities, manufacturing, storage, distribution and physician prescription procedures, among others. Furthermore, failure of our contractors, such as our CROs and CMOs, to maintain compliance with the CSA during development and/or commercialization, as applicable, can result in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U.S. states and countries outside of the U.S. have also established controlled substance laws and regulations. Those laws and regulations, including state-controlled substances laws that often but not necessarily mirror federal law, may separately schedule our product candidates. Complying with different controlled substances requirements across different jurisdictions can increase the cost of our operations and expose us to additional liabilities.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marketing approval for our product candidates, the presence of a controlled substance in the product candidate may lead to adverse publicity or public perception regarding our current or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 candidates that are subject to controlled substances regulation are approved for commercial sale, adverse publicity or public perception of controlled substances in general or other controlled substances could negatively impact market acceptance or consumer perception of our product candidates. We may face limited adoption if clinicians or patients are unwilling to try a novel treatment that contains a controlled substance. Any adverse publicity associated with illness or other adverse effects resulting from patients’ use or misuse of our or similar therapies distributed by other companies could have a material adverse impact on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and research in controlled substances that are present in the product candidates could also result in greater governmental regulation, stricter labeling requirements and potential regulatory delays in the testing or approvals of our product candidates. Any increased scrutiny could delay or increase the costs of obtaining regulatory approval for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candidates for which we obtain approval may become subject to unfavorable third-party coverage and reimbursement practices, as well as pricing regulations, which may adversely affect demand for such products as well as our ability to obtain an appropriate return from the sale of the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our collaborators’, ability to commercialize any products successfully if and when approved for marketing will depend, in part, on the extent to which coverage and adequate reimbursement for these products and related treatments will be available from government healthcare programs, such as Medicare and Medicaid, and private third-party payers, such as private health insurers, managed care plans, and other organizations. Government authorities and private third-party payers decide which drugs they will pay for and establish reimbursement levels. A primary trend in the U.S. healthcare industry is cost containment. Government authorities and third-party payers have attempted to control costs by limiting coverage and the amount of reimbursement for particular medications. We cannot be sure that coverage and reimbursement will be available for any product that we, or our collaborators,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are limited, we, or our collaborators, may not be able to successfully commercialize any product candidate for which marketing approval is obtained.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payer coverage and reimbursement of newly approved products. Within the U.S., coverage and reimbursement varies from one third-party payer to another. One third-party payer’s determination to provide coverage for a product candidate does not assure that other third-party payers will also provide coverage for the product candidate. As a result, the coverage determination process is often time-consuming and costly. Factors payers consider in determining reimbursement are based on whether the product is: (i) a covered benefit under a payer health plan; (ii) safe, effective and medically necessary; (iii) appropriate for the specific patient; (iv) cost-effective; and (v) neither experimental nor investigational. We may be required to provide scientific and clinical support for the use of our products to each third-party payer separately, with no assurance that coverage and adequate reimbursement will be obtained or applied consistently. Even if a third-party payer provides coverage and adequate reimbursement, the payer may implement controls to manage utilization (e.g., requiring specific approval in advance to cover a product when used by a specific patient).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healthcare cost containment measures, including measures to lower prescription drug pricing, we cannot be sure that our products, if approved, will be covered by private or public payers, and if covered, that the reimbursement will be adequate or competitive with other marketed products. Actions by federal and state governments and health plans may put additional downward pressure on pharmaceutical pricing and healthcare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net prices for drugs may be reduced by mandatory discounts or rebates required by government healthcare programs or demanded by private payers and by any future change in laws related to imports of drugs from other countries, including where they may be sold at lower prices than in the U.S. In order to obtain and maintain acceptable reimbursement levels and access for patients at copay levels that are reasonable and customary, we may have to offer discounts or rebates from list prices or to implement other unfavorable pricing modifications. We cannot be sure that reimbursement will be available for any product candidate that we commercialize and, if reimbursement is available, the level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These jurisdictions consistently encounter market access challenges for innovative therapies, particularly with respect to the breadth, speed, and cost of adoption. Market access decisions are principally guided by rigorous assessments of cost-effectiveness and affordability. As a result, access to new medical technologies or interventions may be denied or restricted to smaller patient populations than those covered by the approved label, based on these assessments. Additionally, concerns regarding the potential impact on healthcare budgets can cause the speed and rate of uptake for new therapies to be slower than anticipated. In many countries, particularly the countries of the EU, medical product prices are subject to varying price control, reimbursement restrictions or mandatory rebate mechanisms. These requirements are often imposed as conditions for new products to be adopted and reimbursed for use in national health systems. Such mechanisms can further limit the commercial potential of new therapies by reducing pricing flexibility and potentially delaying or restricting market access. In these countries, pricing negotiations with governmental authorities can take considerable time after a product receives marketing approval. To obtain reimbursement or pricing approval in some countries, we, or our collaborators, may be required to conduct a clinical study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or our collaborators, are able to charge for our product candidates. Accordingly, in markets outside the U.S., the reimbursement for our products may be reduced compared with the U.S. and may be insufficient to generate commercially reasonable revenue and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or our collaborators' target patient populations may be in orphan or niche indications, such as SCN8A-DEE. In order for therapies that are designed to treat smaller patient populations to be commercially viable, the pricing, coverage and reimbursement for such therapies needs to be higher, on a relative basis, to account for the lack of volume. Accordingly, we or our collaborators may need to implement pricing, coverage and reimbursement strategies for any approved product that accounts for the smaller potential market size. If we or our collaborators are unable to establish or sustain coverage and adequate reimbursement for our or our collaborators’ current and any future products from third-party payers or the government, the adoption of those products and sales revenue will be adversely affected, which, in turn, could adversely affect the ability to market or sell those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and other reforms may increase the difficulty and cost for us to commercialize any products that we, or our collaborators, develop and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and some foreign jurisdictions are considering or have enacted a number of legislative and regulatory proposals to change the healthcare system generally and drug pricing and payment specifically,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2010, the Patient Protection and Affordable Care Act, as amended by the Health Care and Education Reconciliation Act of 2010, collectively, the PPACA, was enacted and includes measures that have significantly changed the way healthcare is financed by both governmental and private insurers.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in recent years, including under the current presidential administration, the pharmaceutical industry has been a particular focus of such reform efforts and has been significantly affected by major legislative, administrative and executive initiatives. For example, the Inflation Reduction Act (IRA) of 2022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PPACA Medicare Part D coverage gap discount program) and a drug price negotiation program for certain high-spend Medicare Part B and D drugs. The IRA has had and will likely continue to have a significant impact on the pharmaceutical industry. More recently, an Executive Order was issued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another Executive Order was issued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 nation price. In the wake of the Executive Orders and related executive initiatives, some pharmaceutical manufacturers have announced direct-to-consumer offerings with discounted prices or reached agreements with the federal government regarding pricing for drugs, including prices for Medicaid drugs and newly launched products. A future website sponsored by the federal government that is anticipated to offer pharmaceutical direct-to-consumer channels has also been announced. Federal agencies are developing new drug pricing pilot programs, such as a Medicaid model which would authorize the federal government to negotiate Medicaid supplemental rebates with participating manufacturers on behalf of state Medicaid programs, in exchange for standardized coverage criteria for participating manufacturer drugs, and proposed Medicare Part B and Part D pilot models that, if finalized as proposed, would replace existing inflation-based Medicare rebates with rebates determined on the basis of international prices, for drugs and patients subject to the model. Changes to certain Medicare price reporting requirements for drugs beginning in 2026 will likely increase the administrative and compliance burden for manufacturers. Many of these reform initiatives would require additional legal and/or administrative action to implement and may be subject to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passed legislation and implemented regulations designed to control pharmaceutical and biological product pricing, including price or patient reimbursement constraints, discounts, restrictions on certain product access and marketing costs disclosure and transparency measures, and in some cases designed to encourage importation from other countries and bulk purchasing. Additionally, a number of states have enacted state drug price transparency and reporting laws that increase compliance burdens and exposure for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 number of states have enacted state drug price transparency and reporting laws that could substantially increase our compliance burdens and expose us to greater liability under such state laws if and when we have marketed products. These and other health reform measures that are implemented may have a material adverse effect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efforts have been and may continue to be subject to scrutiny, legal challenge and subsequent amendment, creating further uncertainty. Other government actions could have an adverse effect upon, and could prevent, our products’ commercial success. For example, the current presidential administration’s announced tariff on branded or patented drugs may increase the cost of drug products that are imported from abroad or manufactured using products or materials imported from abroad. The timeline for implementation of this tariff has not yet been finalized. As another example, the Budget Control Act of 2011, as amended, resulted in the imposition of reductions in Medicare (but not Medicaid) payments to providers in 2013 and remains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the U.S. Supreme Court’s June 2024 decision in </w:t>
      </w:r>
      <w:r>
        <w:rPr>
          <w:rFonts w:ascii="Times New Roman" w:hAnsi="Times New Roman"/>
          <w:i/>
          <w:color w:val="000000"/>
          <w:sz w:val="20"/>
        </w:rPr>
        <w:t xml:space="preserve">Loper Bright Enterprises v. Raimondo </w:t>
      </w:r>
      <w:r>
        <w:rPr>
          <w:rFonts w:ascii="Times New Roman" w:hAnsi="Times New Roman"/>
          <w:color w:val="000000"/>
          <w:sz w:val="20"/>
        </w:rPr>
        <w:t xml:space="preserve">overturned the longstanding </w:t>
      </w:r>
      <w:r>
        <w:rPr>
          <w:rFonts w:ascii="Times New Roman" w:hAnsi="Times New Roman"/>
          <w:i/>
          <w:color w:val="000000"/>
          <w:sz w:val="20"/>
        </w:rPr>
        <w:t xml:space="preserve">Chevron </w:t>
      </w:r>
      <w:r>
        <w:rPr>
          <w:rFonts w:ascii="Times New Roman" w:hAnsi="Times New Roman"/>
          <w:color w:val="000000"/>
          <w:sz w:val="20"/>
        </w:rPr>
        <w:t xml:space="preserve">doctrine, under which courts were required to give deference to regulatory agencies’ reasonable interpretations of ambiguous federal statutes. The </w:t>
      </w:r>
      <w:r>
        <w:rPr>
          <w:rFonts w:ascii="Times New Roman" w:hAnsi="Times New Roman"/>
          <w:i/>
          <w:color w:val="000000"/>
          <w:sz w:val="20"/>
        </w:rPr>
        <w:t xml:space="preserve">Loper </w:t>
      </w:r>
      <w:r>
        <w:rPr>
          <w:rFonts w:ascii="Times New Roman" w:hAnsi="Times New Roman"/>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and extent of future healthcare reforms cannot be predicted. There is uncertainty regarding the nature or impact of any drug pricing or broader healthcare reform implemented at the federal or state level and the extent to which such action may be subject to litigation or other challenges. Ongoing efforts to contain or reduce costs of healthcare and/or impose price controls may adversely affect the demand for our product candidates, if approved, and our ability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similar political, economic and regulatory developments may affect our, or our collaborators’,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The EU is undergoing a revision of its general pharmaceutical legislation to consolidate various legal instruments and achieve key policy objectives such as improving patient access to medicines, enhancing supply chain security, promoting innovation, ensuring environmental sustainability, and addressing antimicrobial resistance. The legislative proposal was considered by the European Parliament in April 2024 for a position to be adopted. The legislative process will take considerable time to complete as the proposal will require agreement by the European Parliament and the European Council.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360" w:after="240"/>
        <w:jc w:val="left"/>
        <w:rPr>
          <w:rFonts w:ascii="Times New Roman" w:hAnsi="Times New Roman"/>
          <w:sz w:val="20"/>
        </w:rPr>
      </w:pPr>
      <w:r>
        <w:rPr>
          <w:rFonts w:ascii="Times New Roman" w:hAnsi="Times New Roman"/>
          <w:b/>
          <w:i/>
          <w:color w:val="000000"/>
          <w:sz w:val="20"/>
        </w:rPr>
        <w:t>Disruptions at the FDA and other government agencies caused by staffing or funding shortages could prevent our product candidates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ability of the FDA and foreign regulatory authorities to review or approve new product candidates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For example, over the last several years, the U.S. federal government has shut down several times and certain regulatory agencies, such as the FDA, have had to furlough critical FDA employees and stop critical activities. If a prolonged government shutdown occurs, preventing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current presidential administration has taken several actions that could impose significant burdens on, or otherwise materially delay, the FDA’s ability to engage in routine regulatory and oversight activities. Further, the current presidential administration has substantially reduced the FDA’s workforce and may make further reductions, which may lead to disruptions and delays in the FDA’s review and oversight of our product candidates and impact the FDA’s ability to provide timely feedback on our development programs. Although it has been reported that there have not been reductions in workforce in the review or inspection divisions, any such reductions could extend review timelines, delay or prevent pre-approval inspections, and limit opportunities for FDA feedback on pending applications. It is difficult to predict how these executive actions and executive actions that may be taken under the current presidential administration may affect the FDA’s ability to exercise its regulatory authority. If these executive actions impose constraints on the FDA’s ability to engage in oversight and implementation activities in the normal course, our business may be negatively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prospects for successful development and commercialization of our partnered products and product candidates are dependent upon the research, development and marketing efforts of our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control over the resources, time and effort that our collaborators may devote to our programs and limited access to information regarding or resulting from such programs. We are dependent on our collaborators, including Neurocrine Biosciences, to fund and conduct the research and any clinical development of product candidates under our agreements with each of them, and for the successful regulatory approval, marketing and commercialization of one or more of such products or product candidates. Such success will be subject to significant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recognize revenue from successful collaborations may be impaired by multiple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shift its priorities and resources away from our programs due to a change in business strategies, or a merger, acquisition, sale or downsizing of its company or business unit;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cease development in therapeutic areas which are the subject of our strategic alliances;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change the success criteria for a particular program or product candidate thereby delaying or ceasing development of such program or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delay in initiation of certain development activities by a collaborator will also delay payment of milestones tied to such activities, thereby impacting our ability to fund our own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could develop a product that competes, either directly or indirectly, with our current or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commercialization obligations may not commit sufficient financial or human resources to the marketing, distribution or sale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manufacturing responsibilities may encounter regulatory, resource or quality issues and be unable to meet demand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exercise its rights under the agreement to terminate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not adequately protect the intellectual property rights associated with a product or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use our proprietary information or intellectual property in such a way as to invite litigation from a third-party;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could be required to limit the size and scope of one or more of our independent programs or increase our expenditures and seek additional funding which may not be available on acceptable terms or at all, and our business could be materially and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establishing new collaborations or maintaining our existing alliances, which could adversely affect our ability to develop product candidates and commercialize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we engage with other biotechnology and pharmaceutical companies to discuss potential in-licensing, out-licensing, alliances and other strategic transactions. The advancement of our product candidates and development programs and the potential commercialization of our current and future product candidates will require substantial additional cash to fund expenses. Additionally, there are certain jurisdictions where a collaborator may be able to realize the market potential of our product candidates better than us. For these or other reasons, we may decide to collaborate with additional pharmaceutical and biotechnology companies with respect to development and potential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the negotiation process is time-consuming and complex. Moreover, we may not be successful in our efforts to establish other collaborations or other alternative arrangements for any current or future product candidates because our research and development pipeline may be insufficient, our current or future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existing collaboration agreements are terminated, or if we determine that entering into other product collaborations is in our best interest but we either fail to enter into, delay in entering into or fail to maintain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certain of our current or future product candidates may be terminated or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expenditures related to development or commercialization of any such product candidates would increase significantly and we may need to seek additional financing sooner than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hire additional employees or otherwise develop expertise, such as clinical, regulatory, sales and marketing expertise, some of which we do not currently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delay commercialization or reduce the scope of any sales or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bear all of the risk related to the development or commercialization of any such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competitiveness of any product that is commercialized could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reliance on third parties to manufacture our product candidates may increase the risk that we will not have sufficient quantities of our raw materials, APIs or drug products when needed or at an acceptable cost.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or testing facilities for the production of clinical or commercial quantities of our product candidates, and we lack the resources and the capabilities to do so. As a result, we currently rely on third parties for the manufacture and supply of the active pharmaceutical ingredients, or APIs, in our product candidates and the final drug product formulation for all of our product candidates that are being used in our clinical studies and pre-clinical studies as well as packaging, labelling and distribution of clinical study supplies. Our current strategy is to outsource all manufacturing of our product candidates to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our collaborators, either directly or through CMOs, to manufacture product candidates licensed to them or to work with CMOs to produce sufficient quantities of materials required for the manufacture of our product candidates for pre-clinical testing and clinical studies and intend to do so for the commercial manufacture of our products. If we, or our collaborators, are unable to arrange for such third-party manufacturing sources, or fail to do so on commercially reasonable terms, we, or our collaborators, may not be able to successfully produce sufficient supply of a product candidate or we, or our collaborators, may be delayed in doing so. Such failure or substantial delay could delay our clinical studies and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third-party manufacturers entails risks to which we would not be subject if we manufactured product candidates ourselves, including reliance on these third parties for regulatory compliance and quality control and assurance, volume production, the possibility of breach of the manufacturing agreement by the third-party because of factors beyond our control (including a failure to synthesize and manufacture our product candidates in accordance with our product specifications), the impact of industry consolidation, including business combinations involving such third parties, and the possibility of termination or nonrenewal of the agreement by the third-party at a time that is costly or damaging to us. Although we believe that there are several potential alternative manufacturers who could manufacture our product candidates, we may incur added costs and delays in identifying and qualifying any such replacement.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typically order raw materials, APIs and drug product and services on a purchase order basis and do not enter into long-term dedicated capacity or minimum supply arrangements with any commercial manufacturer. There is no assurance that we will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FDA, EMA and other foreign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EMA and other foreign regulatory agencies. They are also subject to pre-approval inspections and periodic unannounced inspections by the FDA, EMA and other foreign regulatory agencies. Any subsequent discovery of problems with a product, or a manufacturing or laboratory facility used by us or our collaborators, may result in restrictions on the product or on the manufacturing or laboratory facility, including product recall, suspension of manufacturing, importation bans, product seizure or a voluntary withdrawal of the drug from the market. Any failure by our, or our collaborators’, third-party manufacturers to comply with cGMP or any failure to deliver sufficient quantities of product candidates in a timely manner, could lead to a delay in, or failure to obtain, regulatory approval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third-party manufacturers, we rely on other third parties to store, test, monitor, label, package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third-party manufacturer of our product candidates is unable to increase the scale of its production of our product candidates, and/or increase the product yield of its manufacturing, then our costs and time to manufacture the product may increase and commercialization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produce sufficient quantities to meet the demand for clinical studies and, if approved, subsequent commercialization of our product candidates,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requirements for registration and validation and the demands of clinical studies or market demands, which could delay regulatory approvals and decrease our ability to generate profits and have a material adverse impact on our business and results of operation.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conduct our pre-clinical and clinical studies. If these third parties do not successfully carry out their contractual duties, including to comply with applicable laws and regulations or meet expected deadlines,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collaborators, to monitor, support, conduct and/or oversee pre-clinical and clinical studies of our current and future product candidates. As a result, we have less control over the timing and cost of these studies and the ability to recruit study subjects than if we conducted these studies with our own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maintain or enter into agreements with these third parties on acceptable terms, or if any such engagement is terminated prematurely, we may be unable to enroll patients on a timely basis or otherwise conduct our studies in the manner we anticipate. In addition, there is no guarantee that these third parties will devote adequate time and resources to our studies or perform as required by our contract or in accordance with regulatory requirements, including maintenance of clinical study information regarding our product candidates. If these third parties fail to meet expected deadlines, fail to transfer to us any regulatory information in a timely manner, fail to adhere to protocols or fail to act in accordance with regulatory requirements to ensure the quality and integrity of the data generated by them or our agreements with them, or if they otherwise perform in a substandard manner or in a way that compromises the quality or accuracy of their activities or the data they obtain, then clinical studies of our future product candidates may be extended or delayed with additional costs incurred, or our data may be rejected by the FDA, EMA or other foreign regulatory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we are responsible for ensuring that each of our clinical studies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CROs and CMOs are required to comply with current good laboratory practices, or cGLP, cGCP and cGMP regulations and guidelines enforced by the FDA, the competent authorities of the member states of the European Economic Area and comparable foreign regulatory authorities for products in clinical development. Regulatory authorities enforce these regulations through periodic inspections of clinical study sponsors, principal investigators, clinical study sites, manufacturing facilities, nonclinical testing facilities and other contractors. If we or any of our CROs or CMOs fail to comply with these applicable regulations, the clinical data generated in our non-clinical and clinical studies may be deemed unreliable and our submission of marketing applications may be delayed or the FDA, EMA or another foreign regulatory authority may require us to perform additional clinical studies before approving our marketing applications. Upon inspection, the FDA, EMA or another foreign regulatory authority could determine that any of our clinical studies fail or have failed to comply with applicable cGCP regulations. In addition, our clinical studies must be conducted with product produced under the cGMP regulations enforced by the FDA, EMA and other foreign regulatory authorities, and our clinical studies may require a large number of test subjects. Our failure to comply with cGLP, cGCP and cGMP regulations may require us to repeat clinical studies or manufacture additional batches of drug, which would delay the regulatory approval process and increase our costs. Moreover, our business may be implicated if any of our CROs or CMOs violates federal or state fraud and abuse or false claims laws and regulations or healthcare privacy and security laws, or if this is asserted or reported to have occurred.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clinical study sites terminates for any reason, we may experience the loss of follow-up information on patients enrolled in our ongoing clinical studies unless we are able to transfer the care of those patients to another qualified clinical study site. Further, if our relationship with any of our CROs or CMOs is terminated, we may be unable to enter into arrangements with alternative CROs or CMOs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foreign CROs and CMOs in some jurisdictions, such as China, may be or may become subject to U.S. legislation, sanctions, trade restrictions and other regulatory requirements which may increase the cost of and cause delays for our pre-clinical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CROs, CMOs or other suppliers can involve substantial cost and require extensive management time and focus. The process of transitioning to new partners often necessitates significant planning, coordination, and oversight to ensure that ongoing projects are not disrupted and that quality and regulatory standards are maintained. Any delays or issues during this transition period could adversely affect timelines, increase operational risks, and potentially impact the overall success of our development and commercialization efforts. In addition, there is a natural transition period when a new CRO, CMO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could be unsuccessful in obtaining or maintaining adequate patent protection for one or more of our product candidates or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part, on our ability to obtain and maintain patent, trademark and trade secret protection of our product candidates and future products, their respective components, formulations, methods used to manufacture them and methods of treatment, as well as successfully defending against possible third-party challenges. We evaluate our global patent portfolio in the ordinary course of business to enhance patent protection in areas of our strategic focus and in key markets for our product candidates and future products and may abandon existing patents or patent applications related to terminated development programs, areas, or markets of low strategic importance. Patents might not issue with respect to our patent applications that are currently pending, and issued patents might later be found to be invalid or unenforceable, be interpreted in a manner that does not adequately protect our product candidates or any future products, or fail to otherwise provide us with any competitive advantage. The patent position of biotechnology and pharmaceutical companies is generally highly uncertain because it involves complex legal and factual considerations that may be impacted by changes in the law. In addition, the standards applied by the U.S. Patent and Trademark Office, or USPTO, and foreign patent offices in issuing patents are not always applied uniformly or predictably, and also may be subject to changing law. Consequently, patents may not issue from our pending patent applications, or we may end up with patent claims of different scope in different jurisdictions. As such, we do not know the degree of future protection that we will have on our future products and proprietary technology, if any, and a failure to obtain adequate intellectual property protection with respect to our product candidates and future products, as well as other proprietary technology could have a material adverse impact on our business and ability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patent applications will be due to be paid to the USPTO and various governmental patent offices outside of the U.S. in several stages over the lifetime of the patents and/or patent applications. The USPTO and foreign governmental patent offices require compliance with a number of procedural, documentary, fee payment and other provisions during the patent application and maintenance process. We employ reputable law firms and other professionals to help us comply with respect to the patents and patent applications that we own or co-own, and we rely upon collaborators to effect compliance with such requirements with respect to some patents and patent applications that we out-license and/or in-license.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may not permit us to maintain our competitive advantage. The following non-exhaustive examples are by way of illustration only: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our product candidates or future products but that are not covered by the claims of the patents that we own, co-own or may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we own, co-own or may in-license may not provide us with any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certain compounds many years before we obtain marketing approval for products containing such compounds, and because patents have a limited life, the term(s) may expire prior to or soon after the commercial sale of the related product, thereby limiting the commercial value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or file upon the inventions covered by the patents or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issue as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from our patent applications, including whether the patent applications that we own will result in patents with claims directed to our product candidates or future products or uses thereof in the United States or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develop additional proprietary technologies that are patentable and/or may fail to adequately protect such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U.S., or we may fail to apply for or obtain adequate intellectual property protection in all the jurisdictions in which we operate;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for example by preventing us from commercializing our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intellectual property rights in some countries outside the U.S. can be less extensive than those in the U.S. In addition, the laws of some foreign countries may not protect intellectual property rights to the same extent as the laws in the U.S. Consequently, we may not be able to prevent third parties from practicing our inventions in all countries outside the U.S., or from offering to sell, selling, using, making or importing products made using our inventions in and into the U.S.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future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enforcing and defending intellectual property rights in certain foreign countries. The legal systems of some countries, particularly certain developing countries, do not favor the enforcement of patents, trade secrets and other intellectual property rights, particularly those relating to biotechnology and pharmaceutical products, which could make it difficult for us to stop the infringement of our patents or marketing of competing products in violation of our proprietary rights generally. </w:t>
      </w:r>
    </w:p>
    <w:p>
      <w:pPr>
        <w:pStyle w:val="TextBody"/>
        <w:bidi w:val="0"/>
        <w:spacing w:before="120" w:after="283"/>
        <w:jc w:val="left"/>
        <w:rPr>
          <w:rFonts w:ascii="Times New Roman" w:hAnsi="Times New Roman"/>
          <w:sz w:val="20"/>
        </w:rPr>
      </w:pPr>
      <w:r>
        <w:rPr>
          <w:rFonts w:ascii="Times New Roman" w:hAnsi="Times New Roman"/>
          <w:color w:val="000000"/>
          <w:sz w:val="20"/>
        </w:rPr>
        <w:t>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our intellectual property</w:t>
      </w:r>
      <w:r>
        <w:rPr>
          <w:rFonts w:ascii="Arial" w:hAnsi="Arial"/>
          <w:color w:val="000000"/>
          <w:sz w:val="24"/>
        </w:rPr>
        <w: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enforce our patents or the patents of our licensors, which could be expensive, time consuming and unsuccessful, and those patents could be found invalid or unenforceable if challenged</w:t>
      </w:r>
      <w:r>
        <w:rPr>
          <w:rFonts w:ascii="Arial" w:hAnsi="Arial"/>
          <w:b/>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intellectual property rights could be challenged or invalidated despite measures we or our licensors take to obtain patent and other intellectual property protection with respect to our product candidates and proprietary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To stop infringement or unauthorized use, we may be required to file infringement claims, which can be expensive and time-consuming. In addition, in an infringement proceeding, a court may decide that a patent in suit is not valid or is not enforceable. In such cases, third parties may be able to use our technology without paying licensing fees or royalties. Even if the validity of our patents is upheld, a court may refuse to stop the other party from using the technology at issue on the ground that the other party’s activities are not covered by our patents or that the legal requirements for imposing injunctive relief are not met. In addition, third parties may affirmatively challenge our rights to, or the scope or validity of, our patents. An adverse result in any litigation or post-grant proceeding could put additional patents at risk of being invalidated, held unenforceable or interpreted narrowly, and could put any of our patent applications at risk of not yielding an issued patent. Any efforts to enforce our intellectual property rights are likely to be costly and may divert the efforts of our scientific and management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we were to initiate legal proceedings against a third-party to enforce a patent covering one of our product candidates or future products, the defendant could defend or counterclaim that our patent is invalid and/or unenforceable. In patent litigation in the U.S. and in some foreign countries, defendant defenses and counterclaims alleging invalidity and/or unenforceability are commonplace. Grounds for a validity challenge could be an alleged failure to meet any of several statutory requirements, for example, lack of novelty, obviousness, patent ineligibility, loss of priority claims, lack of written description, or lack of enablement. Grounds for an assertion of unenforceability could be an allegation that someone connected with prosecution of the patent knowingly withheld material information from the USPTO or an applicable foreign counterpart where such a duty to disclose exists, or made a misleading statement, during prosecution. Patents may be subject to challenge in multiple different ways. For example, administrative proceedings such as derivation proceedings, entitlement proceedings, ex parte reexamination, inter partes review, post-grant review, or opposition proceedings, provoked by third parties or initiated by the USPTO or any foreign patent authority may be used to challenge inventorship, ownership, claim scope, or validity of our patents or a patent of our licensor. An unfavorable outcome in any of these proceedings could require us to cease using the related technology or to attempt to license rights to it from the prevailing party. Our business could be harmed if the prevailing party does not offer us a license on commercially reasonable terms, if any license is offered at all. Litigation and/or other administrative proceedings may fail and, even if successful, may result in substantial costs and distract our management and other employees. Certain foreign countries may provide for compulsory licensing of our patent rights that would preclude us from enforcing our patents against a third 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challenges to the validity of our patents or the patents of our licensors, for example, there might be prior art of which we and the patent examiner were unaware during prosecution. If a defendant were to prevail on a legal assertion of invalidity and/or unenforceability, we would lose at least part, and perhaps all, of the patent protection on a product candidate or future product. As another example, a litigant or the USPTO itself could challenge our patents on this basis even if we believe that we have conducted our patent prosecution in accordance with the duty of candor and in good faith. The outcome following such challenges is unpredictable. Even if a challenger does not prevail, our patent claims may be construed in a manner that would limit our ability to enforce such claims against the challenger and others. The cost of defending such a challenge, particularly in a foreign country, and any resulting loss of patent protection could have a material adverse impact on one or more of our product candidates and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protection and patent prosecution for some of our product candidates and future products is dependent on, and the ability to assert patents and defend them against claims of invalidity is maintained by,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and may be times in the future when certain patents that relate to our product candidates or any future products are controlled by our collaborators, including licensees, sublicensees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For example, currently the rights relating to the patent portfolio for certain selective Nav1.6 inhibitors and dual Nav1.2/1.6 inhibitors are exclusively licensed to Neurocrine Biosciences, and Neurocrine Biosciences has the first right to bring and control any action in connection with product 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current or future collaborator with rights to file, prosecute, enforce and/or defend patents related to our product candidates or future products fails to appropriately prosecute and maintain patent protection for patents covering any of our product candidates, or if patents covering any of our product candidates or future products are asserted against infringers or defended against claims of invalidity or unenforceability in a manner which adversely affects such coverage, our ability to develop and commercialize any such product candidates or future products may be adversely affected and we may not be able to prevent competitors from making, using, importing, offering for sale, and/or selling competing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that our product candidates or the sale, offer for sale, importation, manufacture, or use of our future products infringe the patent or other intellectual property rights of third parties could result in costly litigation, could require substantial time and money to resolve, even if litigation is avoided, and could prevent or delay us from developing or commercializing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upon our ability to develop product candidates and commercialize our future products, without infringing the intellectual property rights or other proprietary rights of others. Third parties might allege that we, or our collaborators, are infringing, misappropriating, or otherwise violating their intellectual property rights. Such third parties might resort to litigation against us or other parties we have agreed to indemnify, which litigation could be based on either existing intellectual property or intellectual property that arises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relevant patents or patent applications held by third parties will cover our product candidates at the time of launch and we may also fail to identify relevant patents or patent applications held by third parties that might be asserted to cover our product candidates. For example, U.S. applications filed before November 29, 2000, and certain applications filed after that date that were not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will be issued in the future. Additionally, pending patent applications and patents which have been published can, subject to certain limitations, be later amended in a manner that could cover our current or future products, if any, or their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coverage of patents is subject to interpretation by the courts, and the interpretation is not always uniform. If we were sued for patent infringement, we would need to demonstrate that our product candidates, our future products, or methods of use either do not infringe the patent claims of the relevant patent or that the patent claims are invalid or unenforceable, and we may not be able to do this. Proving invalidity may be difficult.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we may not have sufficient resources to bring these actions to a successful conclusion.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challenge the enforceability or validity of claims of a third party’s patent by requesting an administrative proceeding, for example, derivation proceedings, entitlement proceedings, ex parte reexamination, inter partes review, post-grant review, or opposition proceedings, before the USPTO or proceedings before any foreign patent authority. The costs of these administrative proceedings could be substantial and may consume our time or other resources. If we fail to obtain a favorable result in the USPTO or any foreign patent office, we may be exposed to litigation by a third party alleging that the patent may be infringed by our product candidates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claims of patent infringement or other violations of intellectual property rights could be costly and time consuming, regardless of the outcome. Thus, even if we were to ultimately prevail, or to settle at an early stage, such litigation or threatened litigation could burden us with substantial unanticipated costs. In addition, litigation or threatened litigation could result in significant demands on the time and attention of our management team, distracting them from the pursuit of other company business. Claims that the selling, using, making, offering to sell, or importing, of our product candidates or future products infringe, misappropriate or otherwise violate third-party intellectual property rights could therefore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be able to sustain the costs of complex intellectual property litigation or proceedings more effectively than we can. In addition, the uncertainties associated with litigation could have a material adverse effect on our ability to raise the funds necessary to conduct our clinical studies, continue our internal research programs, in-license needed technology, or enter into strategic collaborations that would help us bring our product candidates to market.</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outcomes in intellectual property litigation could limit our research and development activities and/or our ability to commercialize certain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intellectual property litigation and/or other administrative proceedings will result in additional expense and distraction of our personnel. There is inevitable uncertainty in intellectual property litigation, and we could lose, even if the case against us is weak or flawed. An unfavorable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 If we are found to infringe a third-party’s intellectual property rights, we could be forced, including by court order, to cease developing, manufacturing or commercializing the infringing product candidate or future product. Alternatively, we may be required to obtain a license from such third-party in order to use the infringing technology and continue developing, manufacturing or marketing the infringing product candidate or future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if third parties successfully assert their intellectual property rights against us, we might be barred from using certain aspects of our technology or barred from developing and commercializing certain future products. Alternatively, we may be required to pay substantial damage awards to the plaintiff, including up to treble damages and attorneys’ fees if we are found to have willfully infringed a patent. As another alternative, we may be required to obtain a license from the intellectual property owner to continue our research and development programs or to market any resulting product. It is also possible that we may be required to modify or redesign our product candidates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or are required to seek a license from a third-party, we may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as a result of actual or threatened litigation. Further, we could be found liable for significant monetary damages as a result of claims of intellectual property infringement. In the future, we may receive offers to license and demands to license from third parties claiming that we are infringing their intellectual property or owe license fees and, even if such claims are without merit, we could fail to successfully avoid or settle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Neurocrine Biosciences or other collaborators license or otherwise acquire rights to intellectual property controlled by a third party in various circumstances, for example, where a product could not be developed or commercialized in a country without the third-party intellectual property rights or, where it is decided that it would be useful to acquire such third-party rights to develop or commercialize the product, they are eligible under our collaboration agreements to decrease payments payable to us on a product-by-product basis and, in certain cases, on a country-by-country basis. Any of the foregoing events could harm our business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any agreement under which we license the use, development and commercialization rights to our product candidates or technology from third parties,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existing or future license and other agreements, we are or may become subject to various obligations, including diligence obligations such as development and commercialization obligations, as well as potential milestone payments and other obligations. If we fail to comply with any of these obligations or otherwise breach our license agreements, our licensing partners may have the right to terminate the applicable license in whole or in part or convert an exclusive license to a non-exclusive license. Generally, the loss of any such license, or any license exclusivity thereunder, could materially harm our business, prospects,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prevent unauthorized disclosure of trade secrets and other proprietary information, our competitive position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technical know-how and proprietary information concerning our discovery platform, business strategy and product candidates, which can be difficult to protect, in order to maintain our competitive position. In the course of our research and development activities and our business activities, we often rely on confidentiality agreements to protect our proprietary information. Such confidentiality agreements are used, for example, when we talk to vendors of laboratory, manufacturing, pre-clinical development or clinical development goods or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protect our trade secret information would be jeopardized, which would adversely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against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patent law, or laws in other countries, could increase the uncertainties and costs surrounding the prosecution of our patent applications and the enforcement or defense of our patents, thereby impairing our ability to protect our product candidates and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heavily dependent on intellectual property, particularly patents. The patent positions of pharmaceutical and biopharmaceutical companies can be highly uncertain and involve complex legal and factual questions for which important legal principles remain unresolved. No consistent policy regarding the breadth of claims allowed in patents in these fields has emerged to date in the U.S. or other countries. In addition, Congress or other foreign legislative bodies may pass patent reform legislation that is unfavorable to us. For example, there have been recent changes regarding how patent laws are interpreted, and both the USPTO and Congress have recently made significant changes to the patent system. There have been U.S. Supreme Court decisions that indicate a distinctly negative view of some patents. The trend of these decisions along with resulting changes in patentability requirements being implemented by the USPTO could make it increasingly difficult for us to obtain, maintain and/or enforce patents on our products. We cannot accurately predict future changes in the interpretation of patent laws or changes to patent laws which might be enacted into law. Those changes may materially affect our patents, our ability to obtain patents, the costs to prosecute our patent applications and enforce our patents and/or the patents and applications of our collaborators. The patent situation in these fields outside the U.S. also has uncertainties. Changes in either the patent laws or in interpretations of patent laws in the U.S. and other countries may diminish the value of our intellectual property or narrow the scope of our patent protection. Accordingly, we cannot predict the breadth of claims that may be allowed or enforced in the patents we own or to which we have a license or third-party patents. As an example, European patent applications have the option, upon issuance of a patent, of becoming a Unitary Patent, which is subject to the jurisdiction of the Unitary Patent Court, or UPC. The option of a Unitary Patent and the creation of the UPC are significant changes in European patent practice. As the UPC is a new court system, there is little precedent for the court, increasing the uncertainty of any litigation in the UPC.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and/or other administrative proceedings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and/or other administrative proceeding, there could be public announcements of the initiation of the litigation or proceeding as well as results of hearings, rulings on motions, and other interim rulings in the litigation or proceeding.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protection under the Hatch-Waxman Act in the U.S. and similar foreign legislation by extending the patent terms for patents covering our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if any, one or more U.S. patents may be eligible for limited patent term extension under the Hatch-Waxman Act. However, we may not be granted an extension if, for example, we fail to apply within applicable deadlines, fail to apply prior to expiration of relevant patents or otherwise fail to satisfy applicable requirements. Moreover, the applicable time period or the scope of patent protection afforded could be less than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patent term extension or the duration of any such extension is less than we request, the period during which we will have the right to exclusively market our product may be shortened and our competitors may obtain approval of competing products following our patent expiration, and our revenue could be reduced, possibly materially.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products are approved by the FDA, listing patents in the FDA's Approved Drug Products with Therapeutic Equivalence Evaluations (Orange Book) is mandatory, and the decision to list or not list a given patent in the Orange Book could give rise to allegations of antitrust or unfair competition liability, from the Federal Trade Commission, other government entities or private parties. In addition, we may be required by court order to delist patents from the Orange Book that are found to be improperly listed, which could impact our ability to take advantage of the benefits of the Hatch-Waxman Act, including the 30-month stay of generic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are not adequately protected, we may not be able to build name recognition in our markets of interest,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trademarks, including 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patent offices in many foreign countries, third parties are given an opportunity to oppose pending trademark applications and to seek to cancel registered trademarks. Our trademarks may not survive such proceedings. If we do not secure registrations for our trademarks, we may encounter more difficulty in enforcing them against third parties than we otherwise would.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our product candidates in the United States, regardless of whether we have registered it or applied to register it as a trademark, must be approved by the FDA. Similar requirements exist in Europe and other foreign countries. If the FDA (or an equivalent administrative body in a foreign country) objects to any of our proposed product names, we may need to identify a suitable substitute name, for example, that would qualify under applicable trademark laws, not infringe the existing rights of third parties, and be acceptable to the FDA. This may require additional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could be potential trademark infringement claims brought by owners of other registered trademarks that incorporate variations of or allegedly cause confusion with our registered or unregistered trademarks.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If we are unable to establish name recognition based on our trademarks, we may not be able to compete effectively, and our business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expanding use of artificial intelligence exposes us to operational, regulatory, legal, and ethical risks that could adversely affect our business, reputation,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increasingly develop, procure, and deploy artificial intelligence, or AI, and machine learning, or ML, technologies across our operations. While these tools may create efficiencies, they also introduce material risks related to data quality and bias, transparency and explainability, model drift and reliability, cybersecurity, intellectual property, privacy, discrimination, liability, and vendor/supply chain dependencies. Errors or bias in AI outputs, inadequate monitoring, or insufficient documentation could impair clinical development, pharmacovigilance, manufacturing quality, or commercial activities, resulting in delays, higher costs, product or batch actions, or reputational harm.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emergence of AI and other technologies may exacerbate other risks, including those related to regulation, litigation, compliance issues, ethical concerns, confidentiality, and data privacy or security. For example, regulatory uncertainty related to AI or other emerging technologies may require significant resources to adjust business practices to comply with developing laws.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shares may be volatile, and purchasers of our common shares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shares are listed on Nasdaq under the trading symbol “XENE.” 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new products, product candidates or new uses for existing products, significant contracts, commercial relationships or capital commitments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by any of our collaborators regarding our product candidates they are developing, including announcements regarding clinical or regulatory decisions or developments of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any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clinical studies of our product candidates, leading to a decision or requirement to conduct additional pre-clinical testing or clinical studies or resulting in a decision to terminate the continued development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of clinical studies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obtain or delays in obtaining or maintaining product approvals or clearances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or reimbursement announcements;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collaborations, licenses,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or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third parties, including our collaborators, CROs, clinical study sponsors and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Canada, the U.S. or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quarterly variations in our financial results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common shares by us, our insiders or our shareholders in the future, as well as the overall trading volume of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of, or our involvement in,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pandemics, epidemics or other public health crises on our business and the macroeconomic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including changes resulting from governmental actions, such as tariffs;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Nasdaq and the biopharmaceutical industry in particular, have from time to time experienced volatility that often has been unrelated to the operating performance of the underlying companies. Fluctuating inflation and interest rates, for example, can result in significant volatility.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and issuances of our common shares or securities convertible into or exchangeable for common shares would cause our shareholders to incur dilution and could cause the market price of our common shares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equity incentive plans, our compensation committee (or a subset or delegate thereof) is authorized to grant equity-based incentive awards to our employees, directors and consultants. Future stock option grants and issuances of common shares under our share-based compensation plans will result in dilution to all shareholders and may have an adverse effect on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the future, we may issue additional common shares, preferred shares, or other equity or debt securities convertible into common shares in connection with a financing, collaboration agreement, acquisition, litigation settlement, employee arrangements or otherwise. We may also issue additional common shares upon the exercise of pre-funded warrants that we have issued from time to time. Any such issuance, including any issuances pursuant to our “at-the-market” equity offering program under our sales agreement with Jefferies and Stifel, could result in substantial dilution to our existing shareholders and could cause the market price of our common shares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governed by the corporate and securities laws of Canada which in some cases have a different effect on shareholders than the corporate laws of Delaware and U.S. securities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Canada Business Corporations Act, or CBCA, and other relevant laws, which may affect the rights of shareholders differently than those of a company governed by the laws of a U.S. jurisdiction, and may, together with our articles and by-laws,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holders of 5% or more of our shares that carry the right to vote at a meeting of shareholders can requisition a special meeting of shareholders, whereas such right does not exist under the DGCL. In addition, our board of directors is responsible for appointing the members of our management team and certain provisions of the CBCA and our articles and by-laws may frustrate or prevent any attempts by our shareholders to replace or remove our current management by making it more difficult for shareholders to replace members of our board of directors. Certain of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cannot amend our articles unless such amendment is approved by shareholders holding at least two-thirds of the shares entitled to vote on such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must give advance notice to nominate directors or to submit proposals for consideration at shareholders’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Canadian corporate and securities laws generally require, subject to certain exceptions, a tender offer (also known as a take-over bid) to remain open for a minimum of 105 days and that more than 50% of the outstanding securities not owned by the offeror be tendered before the offeror may take up the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 thereby depressing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U.S. civil liabilities may not be enforceable against us, our directors, or our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CBCA and our principal place of business is in British Columbia, Canada. Many of our directors and officers reside outside of the U.S., and all or a substantial portion of their assets as well as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at risk of securities class action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class action litigation has often been brought against a company following a decline in the market price of its securities. This risk is especially relevant for us because biotechnology companies have experienced significant share price volatility in recent years. If we face such litigation, it could result in substantial costs and a diversion of management’s attention and resources, which could harm our business. In addition, an increase in litigation against biotechnology companies may make it more difficult and more expensive for us to obtain director and officer liability insurance, and we may be required to accept reduced policy limits and coverage or incur substantially higher costs to obtain the same or similar coverage. </w:t>
      </w:r>
    </w:p>
    <w:p>
      <w:pPr>
        <w:pStyle w:val="TextBody"/>
        <w:bidi w:val="0"/>
        <w:spacing w:before="360" w:after="283"/>
        <w:jc w:val="left"/>
        <w:rPr>
          <w:rFonts w:ascii="Times New Roman" w:hAnsi="Times New Roman"/>
          <w:sz w:val="20"/>
        </w:rPr>
      </w:pPr>
      <w:r>
        <w:rPr>
          <w:rFonts w:ascii="Times New Roman" w:hAnsi="Times New Roman"/>
          <w:b/>
          <w:i/>
          <w:color w:val="000000"/>
          <w:sz w:val="20"/>
        </w:rPr>
        <w:t>Our management has broad discretion over the use of our cash and we may not use our cash effectively, which could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has broad discretion in the application of our cash resources. Shareholders may not agree with our decisions, and our use of our cash resources may not improve our results of operation or enhance the value of our common shares. Our failure to apply these funds effectively could have a material adverse effect on our business, delay the development of our product candidates and cause the market price of our common shares to decline. In addition, pending their use, they may be placed in investments that do not produce significant income or that may lose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paying any cash dividends on our common shares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shares in the foreseeable future. We currently intend to retain all of our future earnings, if any, to finance the growth and development of our business. As a result, capital appreciation, if any, of our common shares may be investors’ sole source of gain for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Reports published by analysts, including projections in those reports that differ from our actual results, could adversely affect the price and trading volume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shares depends in part on the research and reports that industry or securities analysts publish about us or our business. If one or more of the analysts who cover us issues an adverse opinion about our company, our common share price would likely decline. If one or more of these analysts ceases research coverage of us or fails to regularly publish reports on us, we could lose visibility in the financial markets, which in turn could cause the price of our common shares or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There is no public market for our outstanding 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public trading market for our outstanding pre-funded warrants and we do not expect a market to develop. In addition, we do not intend to list the outstanding pre-funded warrants on Nasdaq or any other national securities exchange or nationally recognized trading system. Without an active trading market, the liquidity of the outstanding pre-funded warrants will be limited.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credit and financial markets have at times experienced extreme disruptions, characterized by increased market volatility, increased rates of inflation, declines in consumer confidence, declines in economic growth, increases in unemployment rates, and uncertainty about economic stability. Current and future global conflicts, such as those between Ukraine and Russia and in the Middle East, have created, and may in future create, volatility in the capital markets and may have further global economic consequences. If the equity and credit markets were to deteriorate significantly in the future, including as a result of a pandemic, political unrest or war, or further instability of the global banking sector, it may make any necessary equity or debt financing more difficult to complete, more costly, and more dilutive. Failure to secure any necessary financing in a timely manner and on favorable terms could have a material adverse effect on our growth strategy, financial performance and the market price of our common shares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and expect to continue to incur, significant costs as a result of laws, regulations and investor-driven standards relating to corporate governance and 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regulations affecting public companies, including provisions of the Dodd-Frank Wall Street Reform and Consumer Protection Act, Sarbanes-Oxley Act of 2002, the CBCA, applicable Canadian securities laws, and rules adopted or proposed by the SEC, Nasdaq, Corporations Canada and applicable Canadian securities regulators have resulted in, and will continue to result in, significant compliance costs to us as we evaluate the implications of these rules and respond to their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various reporting and other requirements applicable to public companies also requires considerable time and attention of management. In the future, if we are not able to issue an evaluation of our internal control over financial reporting, as required, or we or our independent registered public accounting firm determine that our internal control over financial reporting is not effective, this shortcoming could have an adverse effect on our business and financial results and the price of our common shares could be negatively affected. New rules could make it more difficult or more costly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and board committees, and as our executive officers. We cannot predict or estimate the total amount of the costs we may incur or the timing of such costs to comply with these rules and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of the United States, Canadian securities regulators regularly pursue various rulemaking efforts with respect to ESG matters, which has resulted in the adoption of new laws and regulations. A variety of organizations also measure the performance of companies on such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If additional rules regarding ESG matters are formally adopted or if investors continue to increase their focus on ESG matters, we could incur substantially higher costs in our efforts to comply and cannot be certain that our efforts will be viewed as adequate by regulators or by such investors. </w:t>
      </w:r>
    </w:p>
    <w:p>
      <w:pPr>
        <w:pStyle w:val="TextBody"/>
        <w:bidi w:val="0"/>
        <w:spacing w:before="360" w:after="283"/>
        <w:jc w:val="left"/>
        <w:rPr>
          <w:rFonts w:ascii="Times New Roman" w:hAnsi="Times New Roman"/>
          <w:sz w:val="20"/>
        </w:rPr>
      </w:pPr>
      <w:bookmarkStart w:id="16" w:name="item_5_other_information"/>
      <w:bookmarkEnd w:id="16"/>
      <w:r>
        <w:rPr>
          <w:rFonts w:ascii="Times New Roman" w:hAnsi="Times New Roman"/>
          <w:b/>
          <w:color w:val="000000"/>
          <w:sz w:val="20"/>
        </w:rPr>
        <w:t>Item 5. Other Information</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our last fiscal quarter, no director or officer, as defined in Rule 16a-1(f), adopted or terminated a “Rule 10b5-1 trading arrangement” or a “non-Rule 10b5-1 trading arrangement,” each as defined in Item 408 of Regulation S-K.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Exhibits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736"/>
        <w:gridCol w:w="146"/>
        <w:gridCol w:w="146"/>
        <w:gridCol w:w="5473"/>
        <w:gridCol w:w="146"/>
        <w:gridCol w:w="218"/>
        <w:gridCol w:w="293"/>
        <w:gridCol w:w="146"/>
        <w:gridCol w:w="757"/>
        <w:gridCol w:w="146"/>
        <w:gridCol w:w="631"/>
        <w:gridCol w:w="146"/>
        <w:gridCol w:w="1221"/>
      </w:tblGrid>
      <w:tr>
        <w:trPr/>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21" w:type="dxa"/>
            <w:tcBorders/>
            <w:shd w:fill="FFFFFF" w:val="clear"/>
            <w:vAlign w:val="center"/>
          </w:tcPr>
          <w:p>
            <w:pPr>
              <w:pStyle w:val="TableContents"/>
              <w:bidi w:val="0"/>
              <w:spacing w:before="0" w:after="283"/>
              <w:ind w:left="0" w:right="0" w:firstLine="90"/>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90"/>
              <w:jc w:val="left"/>
              <w:rPr>
                <w:rFonts w:ascii="Times New Roman" w:hAnsi="Times New Roman"/>
                <w:b/>
                <w:color w:val="000000"/>
                <w:sz w:val="16"/>
              </w:rPr>
            </w:pPr>
            <w:r>
              <w:rPr>
                <w:rFonts w:ascii="Times New Roman" w:hAnsi="Times New Roman"/>
                <w:b/>
                <w:color w:val="000000"/>
                <w:sz w:val="16"/>
              </w:rPr>
              <w:b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83"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7"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br/>
              <w:t>Incorporated by Reference</w:t>
            </w:r>
          </w:p>
        </w:tc>
      </w:tr>
      <w:tr>
        <w:trPr/>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Articles of Amendment to the Articles of the Company, creating the Series 1 Preferred Shares.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2018</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Employment Agreement by and between the Company and Ian Mortimer, effective as of February 25,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Employment Agreement by and between the Company and Thomas P. Kelly, effective as of February 25,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Employment Agreement by and between the Company and Andrea DiFabio, effective as of February 25, 2026</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Employment Agreement by and between the Company and Christopher Kenney, effective as of February 25,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Employment Agreement by and between the Company and Darren Cline, effective as of February 25,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2025 Inducement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13, 2026</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10_7.htm">
              <w:r>
                <w:rPr>
                  <w:rStyle w:val="InternetLink"/>
                  <w:rFonts w:ascii="Times New Roman" w:hAnsi="Times New Roman"/>
                  <w:color w:val="0000FF"/>
                  <w:sz w:val="20"/>
                  <w:u w:val="single"/>
                </w:rPr>
                <w:t>Form of Restricted Share Unit Award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1_1.htm">
              <w:r>
                <w:rPr>
                  <w:rStyle w:val="InternetLink"/>
                  <w:rFonts w:ascii="Times New Roman" w:hAnsi="Times New Roman"/>
                  <w:color w:val="0000FF"/>
                  <w:sz w:val="20"/>
                  <w:u w:val="single"/>
                </w:rPr>
                <w:t>Certification of Chief Executive Officer pursuant to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1_2.htm">
              <w:r>
                <w:rPr>
                  <w:rStyle w:val="InternetLink"/>
                  <w:rFonts w:ascii="Times New Roman" w:hAnsi="Times New Roman"/>
                  <w:color w:val="0000FF"/>
                  <w:sz w:val="20"/>
                  <w:u w:val="single"/>
                </w:rPr>
                <w:t>Certification of Chief Financial Officer pursuant to Rule 13a-14(a).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2_1.htm">
              <w:r>
                <w:rPr>
                  <w:rStyle w:val="InternetLink"/>
                  <w:rFonts w:ascii="Times New Roman" w:hAnsi="Times New Roman"/>
                  <w:color w:val="0000FF"/>
                  <w:sz w:val="20"/>
                  <w:u w:val="single"/>
                </w:rPr>
                <w:t>Certification of Chief Executive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2_2.htm">
              <w:r>
                <w:rPr>
                  <w:rStyle w:val="InternetLink"/>
                  <w:rFonts w:ascii="Times New Roman" w:hAnsi="Times New Roman"/>
                  <w:color w:val="0000FF"/>
                  <w:sz w:val="20"/>
                  <w:u w:val="single"/>
                </w:rPr>
                <w:t>Certification of Chief Financial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spacing w:before="40" w:after="12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Indicates management contract or compensatory plan.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399" w:type="dxa"/>
        <w:jc w:val="left"/>
        <w:tblInd w:w="0" w:type="dxa"/>
        <w:tblLayout w:type="fixed"/>
        <w:tblCellMar>
          <w:top w:w="28" w:type="dxa"/>
          <w:left w:w="28" w:type="dxa"/>
          <w:bottom w:w="28" w:type="dxa"/>
          <w:right w:w="28" w:type="dxa"/>
        </w:tblCellMar>
      </w:tblPr>
      <w:tblGrid>
        <w:gridCol w:w="1636"/>
        <w:gridCol w:w="406"/>
        <w:gridCol w:w="14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right"/>
        <w:rPr/>
      </w:pPr>
      <w:bookmarkStart w:id="19" w:name="xene-ex10_7.htm"/>
      <w:bookmarkStart w:id="20" w:name="ksxeneex10_7"/>
      <w:bookmarkEnd w:id="19"/>
      <w:bookmarkEnd w:id="20"/>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RESTRICTED SHARE UNIT AWARD AGREEMENT</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AGREEMENT made on [________]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AMONG:</w:t>
      </w:r>
    </w:p>
    <w:p>
      <w:pPr>
        <w:pStyle w:val="TextBody"/>
        <w:bidi w:val="0"/>
        <w:jc w:val="left"/>
        <w:rPr>
          <w:rFonts w:ascii="Times New Roman" w:hAnsi="Times New Roman"/>
          <w:sz w:val="20"/>
        </w:rPr>
      </w:pPr>
      <w:r>
        <w:rPr>
          <w:rFonts w:ascii="Times New Roman" w:hAnsi="Times New Roman"/>
          <w:b/>
          <w:color w:val="000000"/>
          <w:sz w:val="20"/>
        </w:rPr>
        <w:t>Xenon Pharmaceuticals Inc.</w:t>
      </w:r>
      <w:r>
        <w:rPr>
          <w:rFonts w:ascii="Times New Roman" w:hAnsi="Times New Roman"/>
          <w:color w:val="000000"/>
          <w:sz w:val="20"/>
        </w:rPr>
        <w:t>, a company incorporated under the laws of Canada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left"/>
        <w:rPr>
          <w:rFonts w:ascii="Times New Roman" w:hAnsi="Times New Roman"/>
          <w:sz w:val="20"/>
        </w:rPr>
      </w:pPr>
      <w:r>
        <w:rPr>
          <w:rFonts w:ascii="Times New Roman" w:hAnsi="Times New Roman"/>
          <w:b/>
          <w:color w:val="000000"/>
          <w:sz w:val="20"/>
        </w:rPr>
        <w:t>[First Name, Last Name, Title]</w:t>
      </w:r>
      <w:r>
        <w:rPr>
          <w:rFonts w:ascii="Times New Roman" w:hAnsi="Times New Roman"/>
          <w:color w:val="000000"/>
          <w:sz w:val="20"/>
        </w:rPr>
        <w:br/>
        <w:t>(the “Grantee”)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Grantee is a newly employed employee of the Company or one of its subsidiaries who (i) was not previously an employee of the Company or any of its subsidiaries or a Director, or (ii) is returning to employment with the Company following a bona-fide period of non-employment with the Company or any of its subsidiaries;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Company considers that the grant to the Grantee of a Restricted Share Unit Award to be an inducement material to the Grantee’s entering into employment with the Company or any of its subsidiaries in accordance with the Inducement Listing Rule;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This Restricted Share Unit Award is granted pursuant to the exception to shareholder approval provided for inducement grants under the Inducement Listing Rule.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THIS AGREEMENT WITNESSES THAT in consideration of the mutual premises and respective covenants and agreements herein contained, the parties hereto covenant and agree as follows:</w:t>
      </w:r>
    </w:p>
    <w:p>
      <w:pPr>
        <w:pStyle w:val="TextBody"/>
        <w:bidi w:val="0"/>
        <w:jc w:val="center"/>
        <w:rPr>
          <w:rFonts w:ascii="Times New Roman" w:hAnsi="Times New Roman"/>
          <w:b/>
          <w:color w:val="000000"/>
          <w:sz w:val="20"/>
        </w:rPr>
      </w:pPr>
      <w:r>
        <w:rPr>
          <w:rFonts w:ascii="Times New Roman" w:hAnsi="Times New Roman"/>
          <w:b/>
          <w:color w:val="000000"/>
          <w:sz w:val="20"/>
        </w:rPr>
        <w:t>ARTICLE I</w:t>
      </w:r>
    </w:p>
    <w:p>
      <w:pPr>
        <w:pStyle w:val="TextBody"/>
        <w:bidi w:val="0"/>
        <w:jc w:val="center"/>
        <w:rPr>
          <w:rFonts w:ascii="Times New Roman" w:hAnsi="Times New Roman"/>
          <w:b/>
          <w:color w:val="000000"/>
          <w:sz w:val="20"/>
        </w:rPr>
      </w:pPr>
      <w:r>
        <w:rPr>
          <w:rFonts w:ascii="Times New Roman" w:hAnsi="Times New Roman"/>
          <w:b/>
          <w:color w:val="000000"/>
          <w:sz w:val="20"/>
        </w:rPr>
        <w:t>INTERPRETATION</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color w:val="000000"/>
        </w:rPr>
      </w:pPr>
      <w:r>
        <w:rPr>
          <w:color w:val="000000"/>
        </w:rPr>
        <w:t>“</w:t>
      </w:r>
      <w:r>
        <w:rPr>
          <w:rFonts w:ascii="Times New Roman" w:hAnsi="Times New Roman"/>
          <w:color w:val="000000"/>
          <w:sz w:val="20"/>
        </w:rPr>
        <w:t>Affiliate” has the meaning ascribed thereto under the Canada Business Corporations Act in effect on the date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color w:val="000000"/>
        </w:rPr>
      </w:pPr>
      <w:r>
        <w:rPr>
          <w:color w:val="000000"/>
        </w:rPr>
        <w:t>“</w:t>
      </w:r>
      <w:r>
        <w:rPr>
          <w:rFonts w:ascii="Times New Roman" w:hAnsi="Times New Roman"/>
          <w:color w:val="000000"/>
          <w:sz w:val="20"/>
        </w:rPr>
        <w:t>Legal Representative” means a committee or duly appointed attorney of the Grantee or of the estate of the Grantee on the grounds that the Grantee is incapable, by reason of physical or mental infirmity, of managing his or her affairs;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color w:val="000000"/>
        </w:rPr>
      </w:pPr>
      <w:r>
        <w:rPr>
          <w:color w:val="000000"/>
        </w:rPr>
        <w:t>“</w:t>
      </w:r>
      <w:r>
        <w:rPr>
          <w:rFonts w:ascii="Times New Roman" w:hAnsi="Times New Roman"/>
          <w:color w:val="000000"/>
          <w:sz w:val="20"/>
        </w:rPr>
        <w:t>Plan” means the Amended and Restated 2025 Inducement Equity Incentive Plan of the Company, as the same may from time to time be supplemented or amended and in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color w:val="000000"/>
        </w:rPr>
      </w:pPr>
      <w:r>
        <w:rPr>
          <w:color w:val="000000"/>
        </w:rPr>
        <w:t>“</w:t>
      </w:r>
      <w:r>
        <w:rPr>
          <w:rFonts w:ascii="Times New Roman" w:hAnsi="Times New Roman"/>
          <w:color w:val="000000"/>
          <w:sz w:val="20"/>
        </w:rPr>
        <w:t>Separate Agreement” has the meaning under Section 2.6(2) of this Agreement.</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1</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Interpretation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For the purposes of this Agreement, except as otherwise provided: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color w:val="000000"/>
        </w:rPr>
      </w:pPr>
      <w:r>
        <w:rPr>
          <w:color w:val="000000"/>
        </w:rPr>
        <w:t>“</w:t>
      </w:r>
      <w:r>
        <w:rPr>
          <w:rFonts w:ascii="Times New Roman" w:hAnsi="Times New Roman"/>
          <w:color w:val="000000"/>
          <w:sz w:val="20"/>
        </w:rPr>
        <w:t>this Agreement” means this Restricted Share Unit Award Agreement as it may from time to time be supplemented or amended and in effect, and which is deemed to be an Award Agreement in accordance with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references in this Agreement to “Articles”, “Sections” and other subdivisions are to the designated Articles, Sections and other subdivisions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words “herein”, “hereof”, “hereunder” and other words of similar import refer to this Agreement as a whole and not to any particular Article, Section or other subdivision;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headings are for convenience only and do not form a part of this Agreement and are not intended to interpret, define or limit the scope, extent or intent of this Agreement or any provision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singular of any term includes the plural, and vice versa, the use of any term is equally applicable to any gender and, where applicable, a body corporate, the word “or” is not exclusive and the word “including” is not limiting whether or not non</w:t>
        <w:noBreakHyphen/>
        <w:t>limiting language (such as “without limitation” or “but not limited to” or words of similar import) is used with reference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 the time for doing an act falls or expires on a day other than a Business Day, the time for doing such act is extended to the next day which is a Business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other capitalized terms not defined herein but defined in the Plan shall have the meaning as set out in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RSUS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Subject to the provisions of this Agreement and the Plan, on the Date of Grant set forth above, the Company hereby grants to the Grantee a Restricted Share Unit Award consisting of [] restricted share units (the “RSUs”), giving the Grantee the conditional right to receive, on the terms and conditions provided herein and in the Plan, one Common Share with respect to each RSU forming part of this Award, subject to adjustment pursuant to Section 10.3 of the Plan in respect of transactions occurring after the date hereof. The RSUs will vest, if at all, in accordance with the terms set forth on </w:t>
      </w:r>
      <w:r>
        <w:rPr>
          <w:rFonts w:ascii="Times New Roman" w:hAnsi="Times New Roman"/>
          <w:color w:val="000000"/>
          <w:sz w:val="20"/>
          <w:u w:val="single"/>
        </w:rPr>
        <w:t>Exhibit A</w:t>
      </w:r>
      <w:r>
        <w:rPr>
          <w:rFonts w:ascii="Times New Roman" w:hAnsi="Times New Roman"/>
          <w:color w:val="000000"/>
          <w:sz w:val="20"/>
        </w:rPr>
        <w:t xml:space="preserve"> hereto.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2.2 Nontransferability of RSUs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Restricted Share Unit Award is not transferable or assignable by the Grantee except as expressly permitted under Section 10.2 of the Plan.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2.3 Issuance of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will have no obligation to issue Common Shares upon the vesting or settlement of the RSUs unless the Board of Directors is satisfied that the issuance of such Common Shares to the Grantee will be exempt from all registration or qualification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2</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2.4 Compliance with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of Directors may from time to time take such steps and require such documentation from the Grantee which in its opinion is necessary or desirable to ensure compliance with all applicable laws. The Board of Directors may also from time to time take such steps which in its opinion are necessary or desirable to restrict the transferability of any Common Shares acquired on the settlement of any RSUs in order to ensure such compliance, including the endorsement of a legend on any certificate representing Common Shares acquired on the settlement of the RSUs to the effect that such Common Shares may not be offered, sold or delivered except in compliance with the applicable securities laws and regulations of Canada or the United States.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2.5 Delivery of Share Certificates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Sections 2.3 and 2.4, the Company will, as soon as practicable after the issuance of any Common Shares in settlement of the RSUs, issue and deliver a certificate or certificates representing the Common Shares so issued.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2.6 Vesting Conditions; Cessation of Employment; Change of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u w:val="single"/>
        </w:rPr>
        <w:t>Vesting Conditions</w:t>
      </w:r>
      <w:r>
        <w:rPr>
          <w:rFonts w:ascii="Times New Roman" w:hAnsi="Times New Roman"/>
          <w:color w:val="000000"/>
          <w:sz w:val="20"/>
        </w:rPr>
        <w:t xml:space="preserve">. Except as provided in Section 2.6(2) and Section 2.6(3) below, the RSUs shall vest on the applicable “Vesting Date” (as such term is defined in </w:t>
      </w:r>
      <w:r>
        <w:rPr>
          <w:rFonts w:ascii="Times New Roman" w:hAnsi="Times New Roman"/>
          <w:color w:val="000000"/>
          <w:sz w:val="20"/>
          <w:u w:val="single"/>
        </w:rPr>
        <w:t>Exhibit 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no RSUs shall vest pursuant to this Agreement unless the Grantee has continuously remained a Service Provider from the Date of Grant through the applicable Vesting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color w:val="000000"/>
          <w:sz w:val="20"/>
          <w:u w:val="single"/>
        </w:rPr>
        <w:t>Cessation of Employment</w:t>
      </w:r>
      <w:r>
        <w:rPr>
          <w:rFonts w:ascii="Times New Roman" w:hAnsi="Times New Roman"/>
          <w:color w:val="000000"/>
          <w:sz w:val="20"/>
        </w:rPr>
        <w:t>. Except as expressly provided for in this Agreement or in a written employment or service agreement, offer letter, change in control severance agreement, or any other agreement that, prior to the Date of Grant, has been entered into between the Grantee and the Company or any subsidiary of the Company or any Affiliate of the Company (such agreement, a “Separate Agreement”), if the Grantee ceases to be a Service Provider for any reason, including due to termination of employment by the Company or any of its subsidiaries or any of its Affiliates without Cause or alleged constructive dismissal or due to voluntary termination by the Grantee, all outstanding RSUs granted under this Agreement will automatically and immediately be cancelled for no consideration on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RSUs past said deemed termination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color w:val="000000"/>
          <w:sz w:val="20"/>
          <w:u w:val="single"/>
        </w:rPr>
        <w:t>Change of Control</w:t>
      </w:r>
      <w:r>
        <w:rPr>
          <w:rFonts w:ascii="Times New Roman" w:hAnsi="Times New Roman"/>
          <w:color w:val="000000"/>
          <w:sz w:val="20"/>
        </w:rPr>
        <w:t xml:space="preserve">. Notwithstanding anything to the contrary in the Plan or this Agreement, in the event of a Change of Control, the treatment of the RSUs in connection with such Change of Control shall be as set forth in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greater certainty, for the purpose of this Agreement and the Plan, the date on which the employment of the Grantee is terminated without Cause or pursuant to voluntary resignation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Grantee is in receipt of, or entitled to receive, statutory, contractual or common law notice of termination or any compensation in lieu of such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notwithstanding the above, and for greater certainty for the purposes of this Agreement and the Plan, if the Grantee’s employment is terminated by the Company, any of its subsidiaries or any of its Affiliates and prior thereto, concurrently therewith or immediately thereafter the Grantee commences employment with the Company, any of its subsidiaries or any of its Affiliates, as the case may be, the Grantee will not cease to be a Service Provider and the vesting of the RSUs will not change as a result of such event.</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3</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notwithstanding the above, the Board of Directors may at its discretion accelerate the vesting of the RSUs,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pStyle w:val="TextBody"/>
        <w:bidi w:val="0"/>
        <w:jc w:val="left"/>
        <w:rPr>
          <w:rFonts w:ascii="Times New Roman" w:hAnsi="Times New Roman"/>
          <w:b/>
          <w:color w:val="000000"/>
          <w:sz w:val="20"/>
        </w:rPr>
      </w:pPr>
      <w:r>
        <w:rPr>
          <w:rFonts w:ascii="Times New Roman" w:hAnsi="Times New Roman"/>
          <w:b/>
          <w:color w:val="000000"/>
          <w:sz w:val="20"/>
        </w:rPr>
        <w:t>2.7 Settlement of RSUs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Company shall, as soon as practicable upon the vesting of a RSU hereunder but in no event later than March 15</w:t>
      </w:r>
      <w:r>
        <w:rPr>
          <w:rFonts w:ascii="Times New Roman" w:hAnsi="Times New Roman"/>
          <w:color w:val="000000"/>
          <w:sz w:val="13"/>
        </w:rPr>
        <w:t>th</w:t>
      </w:r>
      <w:r>
        <w:rPr>
          <w:rFonts w:ascii="Times New Roman" w:hAnsi="Times New Roman"/>
          <w:color w:val="000000"/>
          <w:sz w:val="20"/>
        </w:rPr>
        <w:t xml:space="preserve"> of the year following the year in which the applicable RSU vests, with respect to each such RSU that so vests, transfer one (1) Common Share to the Grantee (or, in the event of the Grantee’s death, to the person to whom this Restricted Share Unit Award has passed by will or the laws of descent and distribution).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2.8 Forfeiture; Recovery of Compensation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may cancel, rescind, withhold or otherwise limit or restrict this Restricted Share Unit Award at any time if the Grantee is not in compliance with all applicable provisions of this Agreement and the Plan. By accepting this Restricted Share Unit Award, the Grantee expressly acknowledges and agrees that his or her rights under this Restricted Share Unit Award, and those of any permitted transferee of this Restricted Share Unit Award, including the right to any Common Shares acquired under this Restricted Share Unit Award or proceeds from the disposition thereof, are subject to the Xenon Pharmaceuticals Clawback Policy, as such policy may be amended and in effect from time to time (and any successor or similar policy), to the extent applicable, and Section 10.5 of the Plan (including any successor provision). Nothing in the preceding sentence shall be construed as limiting the general application of Section 5.12 of this Agreement.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2.9 Dividends; Other Rights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Restricted Share Unit Award shall not be interpreted to bestow upon the Grantee any equity interest or ownership in the Company or any Affiliate prior to the date on which the Company delivers Common Shares (if any) to the Grantee. The Grantee is not entitled to vote any Common Shares by reason of the granting of this Restricted Share Unit Award nor is the Grantee entitled to receive or be credited with any dividends declared and payable on any Common Share prior to the date on which any such share is delivered to the Grantee hereunder. The Grantee shall have the rights of a shareholder only as to those Common Shares, if any, that are actually delivered under this Restricted Share Unit Award.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2.10 Taxes</w:t>
      </w:r>
    </w:p>
    <w:p>
      <w:pPr>
        <w:pStyle w:val="TextBody"/>
        <w:bidi w:val="0"/>
        <w:jc w:val="both"/>
        <w:rPr>
          <w:rFonts w:ascii="Times New Roman" w:hAnsi="Times New Roman"/>
          <w:color w:val="000000"/>
          <w:sz w:val="20"/>
        </w:rPr>
      </w:pPr>
      <w:r>
        <w:rPr>
          <w:rFonts w:ascii="Times New Roman" w:hAnsi="Times New Roman"/>
          <w:color w:val="000000"/>
          <w:sz w:val="20"/>
        </w:rPr>
        <w:t xml:space="preserve">The Grantee expressly acknowledges that the vesting and/or settlement of the RSUs acquired hereunder may give rise to “wages” subject to withholding. So as to ensure that the Company will be able to comply with the applicable obligations under any federal, provincial, state or local law relating to the withholding of tax or other required deductions, the Company shall withhold or cause to be withheld from any amount payable to a Grantee, either under this Restricted Share Unit Award or otherwise, such amount as may be necessary to permit the Company to so comply. Unless otherwise agreed to between the Company and the Grantee, the Grantee authorizes the Company, on behalf of the Grantee, to sell or otherwise dispose of such portion of the Common Shares acquired by the Grantee on the settlement of the RSUs as is necessary to provide sufficient funds to the Company to enable it to satisfy any liability for any such withholding obligations. The Company shall remit the applicable portion of the net proceeds of such sale (after deduction of all fees commissions or costs in respect of such sale) to the appropriate governmental authority and shall remit to the Grantee any unapplied balance of the net proceeds of such sale. Any sale will be made at prevailing market prices and the Company shall not be under any obligation to obtain or indemnify the Grantee in respect of a particular price for the Common Shares so sold.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anything in this Agreement to the contrary, the Grantee acknowledges and agrees that the Grantee shall remain fully responsible for satisfying his or her tax obligations relating to the Restricted Share Unit Award in all cases and nothing in this Section 2.10 shall be construed as relieving the Grantee of any liability for satisfying his or her tax obligations relating to the Restricted Share Unit Award.</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4</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3.1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amended by the Company unilaterally (without the need of consent or notice to the Grantee) upon the occurrence of the events referred to in Section 10.3(a) of the Plan so that the rights of the Grantee hereunder, including the number of Common Shares subject to the Restricted Share Unit Award,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Restricted Share Unit Award is subject to the provisions of Section 10.3 of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COVENANTS AND REPRESENTATIONS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Representations and Covenants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hereby covenants that it will reserve or cause to be reserved for allotment sufficient Common Shares for issue to the Grantee of all Common Shares which may become issuable from time to time under the Restricted Share Unit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represents that the Grantee is a bona fide employee of the Company or of a subsidiary of the Company on the Date of Grant.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4.2 Representations and Covenants of the Grantee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hereby represents and covenants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is an employee of the Company or of a subsidiary of the Company on the Date of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Grantee’s participation in the Plan is voluntary;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Grantee is aware that the grant of the Restricted Share Unit Award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RSUs or the Common Shares to be distributed thereunder under any applicable securities laws and if such exemption for any reason becomes unavailable, the obligation of the Company to grant any RSUs or issue any Common Shares upon the vesting or settlement of any RSUs will cease;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Grantee ceases to be a Service Provider due to termination of employment by the Company, any of its subsidiaries or any of its Affiliates without cause or alleged constructive dismissal or due to voluntary termination by the Grantee, the Grantee will not make any claims for continued vesting of RSUs past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the Grantee or the Legal Representative of the Grantee receives any Common Shares in respect of the RSUs, the Grantee or the Legal Representative, as the case may be, will prior to and upon any sale or disposition of any Common Shares received in respect of the RSUs, comply with all applicable securities laws and all applicable rules and regulations of all regulatory authorities to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5</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agrees that the Company does not have a duty to design or administer the Plan or its other compensation programs in a manner that minimizes the Grantee’s tax liabilities and the Grantee will not make any claim against the Company, any of its subsidiaries, any of its Affiliates or any of their respective officers, directors or employees related to tax liabilities arising from the RSUs or any of the Grantee’s other compensation.</w:t>
      </w:r>
    </w:p>
    <w:p>
      <w:pPr>
        <w:pStyle w:val="TextBody"/>
        <w:bidi w:val="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Restricted Share Unit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5.2 Notices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Grantee, or to such other address as such party may designate to the other party by notice in writing delivered in accordance with this Section 5.2.</w:t>
      </w:r>
    </w:p>
    <w:p>
      <w:pPr>
        <w:pStyle w:val="TextBody"/>
        <w:bidi w:val="0"/>
        <w:spacing w:before="0" w:after="240"/>
        <w:jc w:val="left"/>
        <w:rPr>
          <w:rFonts w:ascii="Times New Roman" w:hAnsi="Times New Roman"/>
          <w:sz w:val="20"/>
        </w:rPr>
      </w:pPr>
      <w:r>
        <w:rPr>
          <w:rFonts w:ascii="Times New Roman" w:hAnsi="Times New Roman"/>
          <w:b/>
          <w:color w:val="000000"/>
          <w:sz w:val="20"/>
        </w:rPr>
        <w:t>5.3 Interpretation; Administration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question arising as to the interpretation of this Agreement will be determined by the Board of Directors and/or the Compensation Committee and, absent manifest error, such determination will be conclusive and binding on the Company and the Grantee. Either the Board of Directors or the Compensation Committee may administer and make determinations under this Agreement and references to the Board of Directors in this Agreement shall refer to the Board of Directors and/or the Compensation Committee, as applicable.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5.4 Further Assurances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5.5 Severability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6</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5.6 No Assignment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this Agreement nor the Restricted Share Unit Award may be assigned, transferred or charged in whole or in part by the Grantee, and any purported assignment, transfer or charge shall cause this Agreement and the Restricted Share Unit Award to lapse forthwith and be null and void after that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5.7 Burden and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binding upon and will enure to the benefit of the Company and its successors and assigns and the Grantee and, if applicable, his or her Legal Representative.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5.8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Time will be of the essence in this 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5.9 Effect on Employment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grant of this Restricted Share Unit Award, nor the issuance of Common Shares upon the vesting or settlement of any RSUs, will give the Grantee any right to be retained in the employ or service of the Company or any of its Affiliates, affect the right of the Company or any of its Affiliates to discharge or discipline the Grantee at any time, or affect any right of the Grantee to terminate his or her employment at any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5.10 Governing Law and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5.11 Electronic Delivery and Acceptance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in its sole discretion, decide to deliver any documents related to RSUs awarded under the Plan or future awards that may be awarded under the Plan by electronic means or request the Grantee’s consent to participate in the Plan by electronic means, including, without limitation, by posting them on a website maintained by the Company or a third party under contract with the Company or through such methods indicated in this Agreement. The Grantee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posts such documents on a website, it shall notify the Grantee by e-mail or such other reasonable manner as then determined by the Company.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5.12 Incorporation of the Terms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shall be deemed to have incorporated all the terms of the Plan and the RSUs granted hereunder shall be subject to the terms of the Plan. Except as expressly provided herein, in the event of any conflict between the provisions of this Agreement and the terms of the Plan, the terms of the Plan shall govern.</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7</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hereto have executed this Agreement as of the day and year first above written.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XENON PHARMACEUTICALS INC.</w:t>
        <w:br/>
        <w:t> </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_____________________________</w:t>
        <w:br/>
        <w:t>Title: Corporate Secretary</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_________________________________</w:t>
        <w:br/>
      </w:r>
      <w:r>
        <w:rPr>
          <w:rFonts w:ascii="Times New Roman" w:hAnsi="Times New Roman"/>
          <w:b/>
          <w:color w:val="000000"/>
          <w:sz w:val="20"/>
        </w:rPr>
        <w:t>[First Name Last_Name]</w:t>
      </w:r>
    </w:p>
    <w:p>
      <w:pPr>
        <w:pStyle w:val="TextBody"/>
        <w:bidi w:val="0"/>
        <w:jc w:val="left"/>
        <w:rPr/>
      </w:pPr>
      <w:r>
        <w:rPr/>
        <w:t>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8</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both"/>
        <w:rPr/>
      </w:pPr>
      <w:r>
        <w:rPr>
          <w:rFonts w:ascii="Times New Roman" w:hAnsi="Times New Roman"/>
          <w:color w:val="000000"/>
          <w:sz w:val="20"/>
          <w:u w:val="single"/>
        </w:rPr>
        <w:t>General</w:t>
      </w:r>
      <w:r>
        <w:rPr>
          <w:rFonts w:ascii="Times New Roman" w:hAnsi="Times New Roman"/>
          <w:color w:val="000000"/>
          <w:sz w:val="20"/>
        </w:rPr>
        <w:t xml:space="preserve">. The RSUs will vest as to [ ] of the RSUs on each of the first [ ] anniversaries of the Date of Grant (each such vesting date, a “Vesting Date”), subject to the Grantee continuously remaining a Service Provider through the applicable Vesting Date.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both"/>
        <w:rPr/>
      </w:pPr>
      <w:r>
        <w:rPr>
          <w:rFonts w:ascii="Times New Roman" w:hAnsi="Times New Roman"/>
          <w:color w:val="000000"/>
          <w:sz w:val="20"/>
          <w:u w:val="single"/>
        </w:rPr>
        <w:t>Treatment of RSUs on a Change of Control</w:t>
      </w:r>
      <w:r>
        <w:rPr>
          <w:rFonts w:ascii="Times New Roman" w:hAnsi="Times New Roman"/>
          <w:color w:val="000000"/>
          <w:sz w:val="20"/>
        </w:rPr>
        <w:t xml:space="preserve">. Notwithstanding anything in this </w:t>
      </w:r>
      <w:r>
        <w:rPr>
          <w:rFonts w:ascii="Times New Roman" w:hAnsi="Times New Roman"/>
          <w:color w:val="000000"/>
          <w:sz w:val="20"/>
          <w:u w:val="single"/>
        </w:rPr>
        <w:t>Exhibit A</w:t>
      </w:r>
      <w:r>
        <w:rPr>
          <w:rFonts w:ascii="Times New Roman" w:hAnsi="Times New Roman"/>
          <w:color w:val="000000"/>
          <w:sz w:val="20"/>
        </w:rPr>
        <w:t>, if the Grantee ceases to be a Service Provider due to a termination of employment by the Company without Cause or the Grantee terminates his or her employment for Good Reason (but only if the Grantee is party to a Separate Agreement that contains a definition of “Good Reason”), in either case within the twelve (12) month period following a Change of Control, to the extent any RSUs are outstanding and unvested immediately prior to such termination of employment, such outstanding RSUs, if any, will automatically vest in full upon such termination of employment.</w:t>
      </w:r>
    </w:p>
    <w:p>
      <w:pPr>
        <w:pStyle w:val="TextBody"/>
        <w:bidi w:val="0"/>
        <w:spacing w:before="0" w:after="160"/>
        <w:jc w:val="both"/>
        <w:rPr/>
      </w:pPr>
      <w:r>
        <w:rPr/>
        <w:t>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9</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fis_certification"/>
      <w:bookmarkStart w:id="22" w:name="xene-ex31_1.htm"/>
      <w:bookmarkStart w:id="23" w:name="ksxeneex31_1"/>
      <w:bookmarkEnd w:id="2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 Ian Mortimer,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of Xenon Pharmaceuticals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636"/>
        <w:gridCol w:w="109"/>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fis_certification_2"/>
      <w:bookmarkStart w:id="25" w:name="xene-ex31_2.htm"/>
      <w:bookmarkStart w:id="26" w:name="ksxeneex31_2"/>
      <w:bookmarkEnd w:id="24"/>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 Thomas P. Kelly,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of Xenon Pharmaceuticals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917" w:type="dxa"/>
        <w:jc w:val="left"/>
        <w:tblInd w:w="0" w:type="dxa"/>
        <w:tblLayout w:type="fixed"/>
        <w:tblCellMar>
          <w:top w:w="28" w:type="dxa"/>
          <w:left w:w="28" w:type="dxa"/>
          <w:bottom w:w="28" w:type="dxa"/>
          <w:right w:w="28" w:type="dxa"/>
        </w:tblCellMar>
      </w:tblPr>
      <w:tblGrid>
        <w:gridCol w:w="1636"/>
        <w:gridCol w:w="109"/>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160"/>
        <w:jc w:val="left"/>
        <w:rPr/>
      </w:pPr>
      <w:r>
        <w:rPr/>
        <w:t> </w:t>
      </w:r>
    </w:p>
    <w:p>
      <w:pPr>
        <w:pStyle w:val="TextBody"/>
        <w:bidi w:val="0"/>
        <w:spacing w:before="8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xene-ex32_1.htm"/>
      <w:bookmarkStart w:id="28" w:name="ksxene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bookmarkStart w:id="29" w:name="fis_certification_3"/>
      <w:bookmarkEnd w:id="29"/>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Xenon Pharmaceuticals Inc. (the “Company”) on Form 10-Q for the quarter ended March 31, 2026, as filed with the Securities and Exchange Commission on the date hereof (the “Report”), I, Ian Mortimer, President and Chief Executive Officer (Principal Executive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362" w:type="dxa"/>
        <w:jc w:val="left"/>
        <w:tblInd w:w="0" w:type="dxa"/>
        <w:tblLayout w:type="fixed"/>
        <w:tblCellMar>
          <w:top w:w="28" w:type="dxa"/>
          <w:left w:w="28" w:type="dxa"/>
          <w:bottom w:w="28" w:type="dxa"/>
          <w:right w:w="28" w:type="dxa"/>
        </w:tblCellMar>
      </w:tblPr>
      <w:tblGrid>
        <w:gridCol w:w="1636"/>
        <w:gridCol w:w="109"/>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Ian Mortimer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bookmarkStart w:id="30" w:name="d564546dex322_htm"/>
      <w:bookmarkStart w:id="31" w:name="eolpage87"/>
      <w:bookmarkStart w:id="32" w:name="fis_exhibit_32_2"/>
      <w:bookmarkEnd w:id="30"/>
      <w:bookmarkEnd w:id="31"/>
      <w:bookmarkEnd w:id="32"/>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xene-ex32_2.htm"/>
      <w:bookmarkStart w:id="34" w:name="ksxeneex32_2"/>
      <w:bookmarkEnd w:id="33"/>
      <w:bookmarkEnd w:id="34"/>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bookmarkStart w:id="35" w:name="fis_certification_4"/>
      <w:bookmarkEnd w:id="35"/>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Xenon Pharmaceuticals Inc. (the “Company”) on Form 10-Q for the quarter ended March 31, 2026, as filed with the Securities and Exchange Commission on the date hereof (the “Report”), I, Thomas P. Kelly, Chief Financial Officer (Principal Financial and Accounting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1696"/>
        <w:gridCol w:w="109"/>
        <w:gridCol w:w="406"/>
        <w:gridCol w:w="3766"/>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16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2313/000117184314005910/exh_31.htm" TargetMode="External"/><Relationship Id="rId3" Type="http://schemas.openxmlformats.org/officeDocument/2006/relationships/hyperlink" Target="https://www.sec.gov/Archives/edgar/data/1582313/000156459018006921/xene-ex31_8.htm" TargetMode="External"/><Relationship Id="rId4" Type="http://schemas.openxmlformats.org/officeDocument/2006/relationships/hyperlink" Target="https://www.sec.gov/Archives/edgar/data/1582313/000117184314005910/exh_32.htm" TargetMode="External"/><Relationship Id="rId5" Type="http://schemas.openxmlformats.org/officeDocument/2006/relationships/hyperlink" Target="https://www.sec.gov/Archives/edgar/data/1582313/000119312526104199/d97906dex41.htm" TargetMode="External"/><Relationship Id="rId6" Type="http://schemas.openxmlformats.org/officeDocument/2006/relationships/hyperlink" Target="https://www.sec.gov/Archives/edgar/data/1582313/000119312526076650/xene-ex10_37.htm" TargetMode="External"/><Relationship Id="rId7" Type="http://schemas.openxmlformats.org/officeDocument/2006/relationships/hyperlink" Target="https://www.sec.gov/Archives/edgar/data/1582313/000119312526076650/xene-ex10_38.htm" TargetMode="External"/><Relationship Id="rId8" Type="http://schemas.openxmlformats.org/officeDocument/2006/relationships/hyperlink" Target="https://www.sec.gov/Archives/edgar/data/1582313/000119312526076650/xene-ex10_39.htm" TargetMode="External"/><Relationship Id="rId9" Type="http://schemas.openxmlformats.org/officeDocument/2006/relationships/hyperlink" Target="https://www.sec.gov/Archives/edgar/data/1582313/000119312526076650/xene-ex10_40.htm" TargetMode="External"/><Relationship Id="rId10" Type="http://schemas.openxmlformats.org/officeDocument/2006/relationships/hyperlink" Target="https://www.sec.gov/Archives/edgar/data/1582313/000119312526076650/xene-ex10_41.htm" TargetMode="External"/><Relationship Id="rId11" Type="http://schemas.openxmlformats.org/officeDocument/2006/relationships/hyperlink" Target="https://www.sec.gov/Archives/edgar/data/1582313/000119312526152834/xene-ex10_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51388</Words>
  <Characters>288877</Characters>
  <CharactersWithSpaces>340837</CharactersWithSpaces>
  <Paragraphs>5323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