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6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2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581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Canada</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98-0661854</w:t>
            </w:r>
          </w:p>
        </w:tc>
      </w:tr>
      <w:tr>
        <w:trPr>
          <w:trHeight w:val="135"/>
        </w:trPr>
        <w:tc>
          <w:tcPr>
            <w:tcW w:w="4680" w:type="dxa"/>
            <w:vAlign w:val="bottom"/>
          </w:tcPr>
          <w:p>
            <w:pPr>
              <w:jc w:val="center"/>
              <w:ind w:right="18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680" w:type="dxa"/>
            <w:vAlign w:val="bottom"/>
          </w:tcPr>
          <w:p>
            <w:pPr>
              <w:jc w:val="center"/>
              <w:ind w:right="184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200-3650 Gilmore Way</w:t>
            </w:r>
          </w:p>
        </w:tc>
        <w:tc>
          <w:tcPr>
            <w:tcW w:w="2900" w:type="dxa"/>
            <w:vAlign w:val="bottom"/>
          </w:tcPr>
          <w:p>
            <w:pPr>
              <w:spacing w:after="0"/>
              <w:rPr>
                <w:sz w:val="18"/>
                <w:szCs w:val="18"/>
                <w:color w:val="auto"/>
              </w:rPr>
            </w:pPr>
          </w:p>
        </w:tc>
      </w:tr>
      <w:tr>
        <w:trPr>
          <w:trHeight w:val="216"/>
        </w:trPr>
        <w:tc>
          <w:tcPr>
            <w:tcW w:w="4680" w:type="dxa"/>
            <w:vAlign w:val="bottom"/>
          </w:tcPr>
          <w:p>
            <w:pPr>
              <w:jc w:val="center"/>
              <w:ind w:right="1823"/>
              <w:spacing w:after="0"/>
              <w:rPr>
                <w:sz w:val="20"/>
                <w:szCs w:val="20"/>
                <w:color w:val="auto"/>
              </w:rPr>
            </w:pPr>
            <w:r>
              <w:rPr>
                <w:rFonts w:ascii="Arial" w:cs="Arial" w:eastAsia="Arial" w:hAnsi="Arial"/>
                <w:sz w:val="18"/>
                <w:szCs w:val="18"/>
                <w:b w:val="1"/>
                <w:bCs w:val="1"/>
                <w:color w:val="auto"/>
                <w:w w:val="92"/>
              </w:rPr>
              <w:t>Burnaby, British Columbia, Canada</w:t>
            </w:r>
          </w:p>
        </w:tc>
        <w:tc>
          <w:tcPr>
            <w:tcW w:w="2900" w:type="dxa"/>
            <w:vAlign w:val="bottom"/>
          </w:tcPr>
          <w:p>
            <w:pPr>
              <w:jc w:val="center"/>
              <w:ind w:left="1846"/>
              <w:spacing w:after="0"/>
              <w:rPr>
                <w:sz w:val="20"/>
                <w:szCs w:val="20"/>
                <w:color w:val="auto"/>
              </w:rPr>
            </w:pPr>
            <w:r>
              <w:rPr>
                <w:rFonts w:ascii="Arial" w:cs="Arial" w:eastAsia="Arial" w:hAnsi="Arial"/>
                <w:sz w:val="18"/>
                <w:szCs w:val="18"/>
                <w:b w:val="1"/>
                <w:bCs w:val="1"/>
                <w:color w:val="auto"/>
                <w:w w:val="99"/>
              </w:rPr>
              <w:t>V5G 4W8</w:t>
            </w:r>
          </w:p>
        </w:tc>
      </w:tr>
      <w:tr>
        <w:trPr>
          <w:trHeight w:val="164"/>
        </w:trPr>
        <w:tc>
          <w:tcPr>
            <w:tcW w:w="4680" w:type="dxa"/>
            <w:vAlign w:val="bottom"/>
          </w:tcPr>
          <w:p>
            <w:pPr>
              <w:jc w:val="center"/>
              <w:ind w:right="18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(604) 484-3300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2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40" w:firstLine="51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220" w:firstLine="518"/>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2018, the registrant had 14,172,188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617855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28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2018 and December 31, 2017</w:t>
              </w:r>
            </w:hyperlink>
          </w:p>
        </w:tc>
        <w:tc>
          <w:tcPr>
            <w:tcW w:w="3900" w:type="dxa"/>
            <w:vAlign w:val="bottom"/>
            <w:gridSpan w:val="4"/>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months ended March 31, 2018 and 2017</w:t>
              </w:r>
            </w:hyperlink>
          </w:p>
        </w:tc>
        <w:tc>
          <w:tcPr>
            <w:tcW w:w="7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for the three months ended March 31, 2018</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three months ended March 31, 2018 and 2017</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600" w:type="dxa"/>
            <w:vAlign w:val="bottom"/>
            <w:gridSpan w:val="2"/>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650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2700" w:type="dxa"/>
            <w:vAlign w:val="bottom"/>
            <w:gridSpan w:val="3"/>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438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820" w:type="dxa"/>
            <w:vAlign w:val="bottom"/>
            <w:gridSpan w:val="5"/>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7600" w:type="dxa"/>
            <w:vAlign w:val="bottom"/>
            <w:gridSpan w:val="9"/>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8140" w:type="dxa"/>
            <w:vAlign w:val="bottom"/>
            <w:gridSpan w:val="12"/>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6.</w:t>
              </w:r>
            </w:hyperlink>
          </w:p>
        </w:tc>
        <w:tc>
          <w:tcPr>
            <w:tcW w:w="9200" w:type="dxa"/>
            <w:vAlign w:val="bottom"/>
            <w:gridSpan w:val="15"/>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580" w:type="dxa"/>
            <w:vAlign w:val="bottom"/>
            <w:gridSpan w:val="1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18"/>
        </w:trPr>
        <w:tc>
          <w:tcPr>
            <w:tcW w:w="101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and its subsidiary. “Xenon” and the Xenon logo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4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37,762</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Accounts payable and accrued expenses (note 7)</w:t>
            </w:r>
          </w:p>
        </w:tc>
        <w:tc>
          <w:tcPr>
            <w:tcW w:w="1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Loan payable, current portion (note 8)</w:t>
            </w:r>
          </w:p>
        </w:tc>
        <w:tc>
          <w:tcPr>
            <w:tcW w:w="1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Loan payable, long-term (note 8)</w:t>
            </w:r>
          </w:p>
        </w:tc>
        <w:tc>
          <w:tcPr>
            <w:tcW w:w="1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Preferred shares, without par value; unlimited shares authorized; issued and</w:t>
            </w:r>
          </w:p>
        </w:tc>
        <w:tc>
          <w:tcPr>
            <w:tcW w:w="1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2,868,000 (December 31, 2017 - nil) (note 9a)</w:t>
            </w:r>
          </w:p>
        </w:tc>
        <w:tc>
          <w:tcPr>
            <w:tcW w:w="1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21,825</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20"/>
              <w:spacing w:after="0"/>
              <w:rPr>
                <w:sz w:val="20"/>
                <w:szCs w:val="20"/>
                <w:color w:val="auto"/>
              </w:rPr>
            </w:pPr>
            <w:r>
              <w:rPr>
                <w:rFonts w:ascii="Arial" w:cs="Arial" w:eastAsia="Arial" w:hAnsi="Arial"/>
                <w:sz w:val="18"/>
                <w:szCs w:val="18"/>
                <w:color w:val="auto"/>
              </w:rPr>
              <w:t>outstanding: 14,171,301 (December 31, 2017 - 17,998,420) (notes 9a and b)</w:t>
            </w:r>
          </w:p>
        </w:tc>
        <w:tc>
          <w:tcPr>
            <w:tcW w:w="1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(177,143)</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(173,388)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28,498</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37,762</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Collaboration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on termination of collaboration agreement (note 9b)</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preferred shareholders</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loss attributable to common shareholders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(note 5):</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Weighted-average common shares outstanding (note 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17,804,421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17,946,209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17,804,421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3"/>
              </w:rPr>
              <w:t>Convertible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0" w:type="dxa"/>
            <w:vAlign w:val="bottom"/>
            <w:tcBorders>
              <w:right w:val="single" w:sz="8" w:color="auto"/>
            </w:tcBorders>
            <w:gridSpan w:val="5"/>
            <w:vMerge w:val="continue"/>
          </w:tcPr>
          <w:p>
            <w:pPr>
              <w:spacing w:after="0"/>
              <w:rPr>
                <w:sz w:val="12"/>
                <w:szCs w:val="12"/>
                <w:color w:val="auto"/>
              </w:rPr>
            </w:pPr>
          </w:p>
        </w:tc>
        <w:tc>
          <w:tcPr>
            <w:tcW w:w="21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Common shares</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Accumulated deficit</w:t>
            </w:r>
          </w:p>
        </w:tc>
        <w:tc>
          <w:tcPr>
            <w:tcW w:w="11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preferred shares</w:t>
            </w:r>
          </w:p>
        </w:tc>
        <w:tc>
          <w:tcPr>
            <w:tcW w:w="21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i w:val="1"/>
                <w:iCs w:val="1"/>
                <w:color w:val="auto"/>
              </w:rPr>
              <w:t>Shares</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74"/>
              <w:spacing w:after="0" w:line="155" w:lineRule="exact"/>
              <w:rPr>
                <w:sz w:val="20"/>
                <w:szCs w:val="20"/>
                <w:color w:val="auto"/>
              </w:rPr>
            </w:pPr>
            <w:r>
              <w:rPr>
                <w:rFonts w:ascii="Arial" w:cs="Arial" w:eastAsia="Arial" w:hAnsi="Arial"/>
                <w:sz w:val="14"/>
                <w:szCs w:val="14"/>
                <w:i w:val="1"/>
                <w:iCs w:val="1"/>
                <w:color w:val="auto"/>
                <w:w w:val="91"/>
              </w:rPr>
              <w:t>Amount</w:t>
            </w:r>
          </w:p>
        </w:tc>
        <w:tc>
          <w:tcPr>
            <w:tcW w:w="12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i w:val="1"/>
                <w:iCs w:val="1"/>
                <w:color w:val="auto"/>
              </w:rPr>
              <w:t>Shares</w:t>
            </w:r>
          </w:p>
        </w:tc>
        <w:tc>
          <w:tcPr>
            <w:tcW w:w="86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i w:val="1"/>
                <w:iCs w:val="1"/>
                <w:color w:val="auto"/>
              </w:rPr>
              <w:t>Amount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right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17,930,590</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$ 173,246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(142,681)</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w w:val="98"/>
              </w:rPr>
              <w:t>Stock-based compensation</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Issued pursuant to exercise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67,830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Issuance of warrants</w:t>
            </w:r>
          </w:p>
        </w:tc>
        <w:tc>
          <w:tcPr>
            <w:tcW w:w="9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Balance as of</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December 31, 2017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17,998,420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$ 173,841</w:t>
            </w: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36,471</w:t>
            </w:r>
          </w:p>
        </w:tc>
        <w:tc>
          <w:tcPr>
            <w:tcW w:w="10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(173,388)</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6"/>
              </w:rPr>
              <w:t>Issued (cancelled) pursuant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to exchange agreement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(note 9a)</w:t>
            </w:r>
          </w:p>
        </w:tc>
        <w:tc>
          <w:tcPr>
            <w:tcW w:w="940" w:type="dxa"/>
            <w:vAlign w:val="bottom"/>
          </w:tcPr>
          <w:p>
            <w:pPr>
              <w:jc w:val="right"/>
              <w:spacing w:after="0"/>
              <w:rPr>
                <w:sz w:val="20"/>
                <w:szCs w:val="20"/>
                <w:color w:val="auto"/>
              </w:rPr>
            </w:pPr>
            <w:r>
              <w:rPr>
                <w:rFonts w:ascii="Arial" w:cs="Arial" w:eastAsia="Arial" w:hAnsi="Arial"/>
                <w:sz w:val="18"/>
                <w:szCs w:val="18"/>
                <w:color w:val="auto"/>
              </w:rPr>
              <w:t>2,868,000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21,825</w:t>
            </w:r>
          </w:p>
        </w:tc>
        <w:tc>
          <w:tcPr>
            <w:tcW w:w="120" w:type="dxa"/>
            <w:vAlign w:val="bottom"/>
            <w:tcBorders>
              <w:right w:val="single" w:sz="8" w:color="auto"/>
            </w:tcBorders>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(2,868,000)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(21,825)</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Cancelled pursuant to</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termination of</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collaboration agreement</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(note 9b)</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8"/>
              </w:rPr>
              <w:t>Stock-based compensation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expense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w w:val="97"/>
              </w:rPr>
              <w:t>Issued pursuant to exercise</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stock options</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40,881</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as of</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March 31, 2018</w:t>
            </w:r>
          </w:p>
        </w:tc>
        <w:tc>
          <w:tcPr>
            <w:tcW w:w="940" w:type="dxa"/>
            <w:vAlign w:val="bottom"/>
          </w:tcPr>
          <w:p>
            <w:pPr>
              <w:jc w:val="right"/>
              <w:spacing w:after="0"/>
              <w:rPr>
                <w:sz w:val="20"/>
                <w:szCs w:val="20"/>
                <w:color w:val="auto"/>
              </w:rPr>
            </w:pPr>
            <w:r>
              <w:rPr>
                <w:rFonts w:ascii="Arial" w:cs="Arial" w:eastAsia="Arial" w:hAnsi="Arial"/>
                <w:sz w:val="18"/>
                <w:szCs w:val="18"/>
                <w:color w:val="auto"/>
              </w:rPr>
              <w:t>2,868,000</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21,825</w:t>
            </w:r>
          </w:p>
        </w:tc>
        <w:tc>
          <w:tcPr>
            <w:tcW w:w="120" w:type="dxa"/>
            <w:vAlign w:val="bottom"/>
            <w:tcBorders>
              <w:right w:val="single" w:sz="8" w:color="auto"/>
            </w:tcBorders>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14,171,301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$ 147,887</w:t>
            </w: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36,919</w:t>
            </w:r>
          </w:p>
        </w:tc>
        <w:tc>
          <w:tcPr>
            <w:tcW w:w="10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(177,143)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420" w:hanging="372"/>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69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(3,755)</w:t>
            </w:r>
          </w:p>
        </w:tc>
        <w:tc>
          <w:tcPr>
            <w:tcW w:w="118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discount on term loan</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foreign exchange (gain) loss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Gain on termination of collaboration agreement (note 9b)</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(4,398)</w:t>
            </w:r>
          </w:p>
        </w:tc>
        <w:tc>
          <w:tcPr>
            <w:tcW w:w="1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Prepaid expenses, long term</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(1,016)</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(8,219)</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(8,148)</w:t>
            </w:r>
          </w:p>
        </w:tc>
        <w:tc>
          <w:tcPr>
            <w:tcW w:w="1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Proceeds from marketable securities</w:t>
            </w:r>
          </w:p>
        </w:tc>
        <w:tc>
          <w:tcPr>
            <w:tcW w:w="8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13,306</w:t>
            </w:r>
          </w:p>
        </w:tc>
        <w:tc>
          <w:tcPr>
            <w:tcW w:w="1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Issuance of common shares pursuant to exercise of stock options</w:t>
            </w:r>
          </w:p>
        </w:tc>
        <w:tc>
          <w:tcPr>
            <w:tcW w:w="8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(3,286)</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20,486</w:t>
            </w:r>
          </w:p>
        </w:tc>
        <w:tc>
          <w:tcPr>
            <w:tcW w:w="1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period</w:t>
            </w:r>
          </w:p>
        </w:tc>
        <w:tc>
          <w:tcPr>
            <w:tcW w:w="188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17,200</w:t>
            </w:r>
          </w:p>
        </w:tc>
        <w:tc>
          <w:tcPr>
            <w:tcW w:w="100" w:type="dxa"/>
            <w:vAlign w:val="bottom"/>
            <w:tcBorders>
              <w:bottom w:val="single" w:sz="8" w:color="CFF0FC"/>
            </w:tcBorders>
          </w:tcPr>
          <w:p>
            <w:pPr>
              <w:spacing w:after="0"/>
              <w:rPr>
                <w:sz w:val="22"/>
                <w:szCs w:val="22"/>
                <w:color w:val="auto"/>
              </w:rPr>
            </w:pPr>
          </w:p>
        </w:tc>
        <w:tc>
          <w:tcPr>
            <w:tcW w:w="118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20,160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paid</w:t>
            </w:r>
          </w:p>
        </w:tc>
        <w:tc>
          <w:tcPr>
            <w:tcW w:w="18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Interest received</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Fair value of stock options exercised on a cashless basis</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preferred shares in exchange for common shares (note 9a)</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21,825</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Termination of Teva agreement through cancellation of common shares (note 9b)</w:t>
            </w: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 stage biopharmaceutical company focused on developing innovative therapeutics to improve the lives of patients with neurological disorders. Building upon its extensive knowledge of human genetics and diseases caused by mutations in ion channels, known as channelopathies, the Company is advancing a novel product pipeline of central nervous system therapies to address areas of high unmet medical need, such as epilepsy and pain.</w:t>
      </w:r>
    </w:p>
    <w:p>
      <w:pPr>
        <w:spacing w:after="0" w:line="80"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significant operating losses since inception. As of March 31, 2018, the Company had an accumulated deficit of $177,143 and a $3,755 net loss for the three months ended March 31, 2018. Management expects to continue to incur significant expenses in excess of revenue and to incur operating losses for the foreseeable future. To date, the Company has financed its operations primarily through funding received from collaboration and license agreements, private placements of common and preferred shares, public offerings of common shares, debt financing, and government funding.</w:t>
      </w:r>
    </w:p>
    <w:p>
      <w:pPr>
        <w:spacing w:after="0" w:line="80" w:lineRule="exact"/>
        <w:rPr>
          <w:rFonts w:ascii="Arial" w:cs="Arial" w:eastAsia="Arial" w:hAnsi="Arial"/>
          <w:sz w:val="18"/>
          <w:szCs w:val="18"/>
          <w:b w:val="1"/>
          <w:bCs w:val="1"/>
          <w:color w:val="auto"/>
        </w:rPr>
      </w:pPr>
    </w:p>
    <w:p>
      <w:pPr>
        <w:jc w:val="both"/>
        <w:ind w:left="5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Until such time as the Company can generate substantial product revenue, if ever, management expects to finance the Company’s cash needs through a combination of collaboration agreements and equity or debt financings. The continuation of the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spacing w:after="0" w:line="258"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w:t>
      </w:r>
    </w:p>
    <w:p>
      <w:pPr>
        <w:spacing w:after="0" w:line="117" w:lineRule="exact"/>
        <w:rPr>
          <w:rFonts w:ascii="Arial" w:cs="Arial" w:eastAsia="Arial" w:hAnsi="Arial"/>
          <w:sz w:val="18"/>
          <w:szCs w:val="18"/>
          <w:b w:val="1"/>
          <w:bCs w:val="1"/>
          <w:color w:val="auto"/>
        </w:rPr>
      </w:pPr>
    </w:p>
    <w:p>
      <w:pPr>
        <w:ind w:left="5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one wholly-owned subsidiary as at March 31, 2018, Xenon Pharmaceuticals USA Inc., which was incorporated in Delaware on December 2, 2016.</w:t>
      </w:r>
    </w:p>
    <w:p>
      <w:pPr>
        <w:spacing w:after="0" w:line="62"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interim consolidated financial statements include the accounts of the Company and its wholly-owned subsidiary. All intercompany transactions and balances have been eliminated on consolidation.</w:t>
      </w:r>
    </w:p>
    <w:p>
      <w:pPr>
        <w:spacing w:after="0" w:line="62" w:lineRule="exact"/>
        <w:rPr>
          <w:rFonts w:ascii="Arial" w:cs="Arial" w:eastAsia="Arial" w:hAnsi="Arial"/>
          <w:sz w:val="18"/>
          <w:szCs w:val="18"/>
          <w:b w:val="1"/>
          <w:bCs w:val="1"/>
          <w:color w:val="auto"/>
        </w:rPr>
      </w:pPr>
    </w:p>
    <w:p>
      <w:pPr>
        <w:jc w:val="both"/>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financial statements have been prepared in accordance with United States generally accepted accounting principles (“U.S. GAAP”) and pursuant to the rules and regulations of the United States Securities and Exchange Commission (“SEC”) for interim financial information. Accordingly, these consolidated financial statements do not include all of the information and footnotes required for complete consolidated financial statements and should be read in conjunction with the audited consolidated financial statements and notes for the year ended December 31, 2017 and included in the Company’s 2017 Annual Report on Form 10-K filed with the SEC and with the securities commissions in British Columbia, Alberta and Ontario on March 7, 2018.</w:t>
      </w:r>
    </w:p>
    <w:p>
      <w:pPr>
        <w:spacing w:after="0" w:line="85" w:lineRule="exact"/>
        <w:rPr>
          <w:rFonts w:ascii="Arial" w:cs="Arial" w:eastAsia="Arial" w:hAnsi="Arial"/>
          <w:sz w:val="18"/>
          <w:szCs w:val="18"/>
          <w:b w:val="1"/>
          <w:bCs w:val="1"/>
          <w:color w:val="auto"/>
        </w:rPr>
      </w:pPr>
    </w:p>
    <w:p>
      <w:pPr>
        <w:jc w:val="both"/>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months ended March 31, 2018 and 2017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2017 Annual Report on Form 10-K for the year ended December 31, 2017, with the exception of the policy described in note 3 below.</w:t>
      </w:r>
    </w:p>
    <w:p>
      <w:pPr>
        <w:spacing w:after="0" w:line="297"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significant accounting policies:</w:t>
      </w:r>
    </w:p>
    <w:p>
      <w:pPr>
        <w:spacing w:after="0" w:line="121" w:lineRule="exact"/>
        <w:rPr>
          <w:rFonts w:ascii="Arial" w:cs="Arial" w:eastAsia="Arial" w:hAnsi="Arial"/>
          <w:sz w:val="18"/>
          <w:szCs w:val="18"/>
          <w:b w:val="1"/>
          <w:bCs w:val="1"/>
          <w:color w:val="auto"/>
        </w:rPr>
      </w:pPr>
    </w:p>
    <w:p>
      <w:pPr>
        <w:jc w:val="both"/>
        <w:ind w:left="5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new revenue standard (Accounting Standards Codification “ASC" 606) became effective for the Company on January 1, 2018, and was adopted using the modified retrospective method under which previously presented financial statements are not restated and the cumulative effect of adopting the new revenue standard on contracts in process is recognized by an adjustment to retained earnings at the effective date. The adoption of the new revenue standard did not change the Company’s recognized revenue under its one ongoing significant collaborative research and license agreement with Genentech, a member of the Roche Group, described in note 11b to the audited consolidated financial statements of the Company included in the Company’s 2017 Annual Report on Form 10-K for the year ended December 31, 2017 and no cumulative effect adjustment was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jc w:val="both"/>
        <w:ind w:left="520"/>
        <w:spacing w:after="0" w:line="259" w:lineRule="auto"/>
        <w:rPr>
          <w:sz w:val="20"/>
          <w:szCs w:val="20"/>
          <w:color w:val="auto"/>
        </w:rPr>
      </w:pPr>
      <w:r>
        <w:rPr>
          <w:rFonts w:ascii="Arial" w:cs="Arial" w:eastAsia="Arial" w:hAnsi="Arial"/>
          <w:sz w:val="18"/>
          <w:szCs w:val="18"/>
          <w:color w:val="auto"/>
        </w:rPr>
        <w:t>The new guidance in ASC 606 requires an entity to recognize the amount of revenue to which it expects to be entitled for the transfer of promised goods or services to customers under a five-step model: (1) identify contract(s) with a customer; (ii) identify the performance obligations in the contract; (iii) determine the transaction price; (iv) allocate the transaction price to the performance obligations in the contract; and (5) recognize revenue when or as a performance obligation is satisfied.</w:t>
      </w:r>
    </w:p>
    <w:p>
      <w:pPr>
        <w:spacing w:after="0" w:line="7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Such agreements may require the Company to deliver various rights and/or services, including intellectual property rights or licenses and research and development services. Under such collaboration agreements, the Company is generally eligible to receive non-refundable upfront payments, funding for research and development services, milestone payments, and royalties.</w:t>
      </w:r>
    </w:p>
    <w:p>
      <w:pPr>
        <w:spacing w:after="0" w:line="79" w:lineRule="exact"/>
        <w:rPr>
          <w:sz w:val="20"/>
          <w:szCs w:val="20"/>
          <w:color w:val="auto"/>
        </w:rPr>
      </w:pPr>
    </w:p>
    <w:p>
      <w:pPr>
        <w:jc w:val="both"/>
        <w:ind w:left="520"/>
        <w:spacing w:after="0" w:line="272" w:lineRule="auto"/>
        <w:rPr>
          <w:sz w:val="20"/>
          <w:szCs w:val="20"/>
          <w:color w:val="auto"/>
        </w:rPr>
      </w:pPr>
      <w:r>
        <w:rPr>
          <w:rFonts w:ascii="Arial" w:cs="Arial" w:eastAsia="Arial" w:hAnsi="Arial"/>
          <w:sz w:val="17"/>
          <w:szCs w:val="17"/>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70" w:lineRule="exact"/>
        <w:rPr>
          <w:sz w:val="20"/>
          <w:szCs w:val="20"/>
          <w:color w:val="auto"/>
        </w:rPr>
      </w:pPr>
    </w:p>
    <w:p>
      <w:pPr>
        <w:jc w:val="both"/>
        <w:ind w:left="520"/>
        <w:spacing w:after="0" w:line="276" w:lineRule="auto"/>
        <w:rPr>
          <w:sz w:val="20"/>
          <w:szCs w:val="20"/>
          <w:color w:val="auto"/>
        </w:rPr>
      </w:pPr>
      <w:r>
        <w:rPr>
          <w:rFonts w:ascii="Arial" w:cs="Arial" w:eastAsia="Arial" w:hAnsi="Arial"/>
          <w:sz w:val="17"/>
          <w:szCs w:val="17"/>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7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jc w:val="both"/>
        <w:ind w:left="5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February 2016, the FASB issued Accounting Standards Update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consolidated financial statements.</w:t>
      </w:r>
    </w:p>
    <w:p>
      <w:pPr>
        <w:spacing w:after="0" w:line="282"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and preferred share:</w:t>
      </w:r>
    </w:p>
    <w:p>
      <w:pPr>
        <w:spacing w:after="0" w:line="121" w:lineRule="exact"/>
        <w:rPr>
          <w:rFonts w:ascii="Arial" w:cs="Arial" w:eastAsia="Arial" w:hAnsi="Arial"/>
          <w:sz w:val="18"/>
          <w:szCs w:val="18"/>
          <w:b w:val="1"/>
          <w:bCs w:val="1"/>
          <w:color w:val="auto"/>
        </w:rPr>
      </w:pPr>
    </w:p>
    <w:p>
      <w:pPr>
        <w:jc w:val="both"/>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calculated using the two-class method required for participating securities which includes the convertible preferred shares as a separate class. The preferred shares entitle the holders to participate in dividends and in earnings and losses of the Company on an equivalent basis as common shares. Accordingly, undistributed earnings (losses) are allocated to common shares and participating preferred shares based on the weighted-average shares of each class outstanding during the period.</w:t>
      </w:r>
    </w:p>
    <w:p>
      <w:pPr>
        <w:spacing w:after="0" w:line="78" w:lineRule="exact"/>
        <w:rPr>
          <w:rFonts w:ascii="Arial" w:cs="Arial" w:eastAsia="Arial" w:hAnsi="Arial"/>
          <w:sz w:val="18"/>
          <w:szCs w:val="18"/>
          <w:b w:val="1"/>
          <w:bCs w:val="1"/>
          <w:color w:val="auto"/>
        </w:rPr>
      </w:pPr>
    </w:p>
    <w:p>
      <w:pPr>
        <w:jc w:val="both"/>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treasury stock method is used to compute the dilutive effect of the Company’s stock options and warrants. Under this method, the incremental number of common shares used in computing diluted net income (loss) per common share is the difference between the number of common shares assumed issued and purchased using assumed proceeds.</w:t>
      </w:r>
    </w:p>
    <w:p>
      <w:pPr>
        <w:spacing w:after="0" w:line="73" w:lineRule="exact"/>
        <w:rPr>
          <w:rFonts w:ascii="Arial" w:cs="Arial" w:eastAsia="Arial" w:hAnsi="Arial"/>
          <w:sz w:val="18"/>
          <w:szCs w:val="18"/>
          <w:b w:val="1"/>
          <w:bCs w:val="1"/>
          <w:color w:val="auto"/>
        </w:rPr>
      </w:pPr>
    </w:p>
    <w:p>
      <w:pPr>
        <w:jc w:val="both"/>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if-converted method is used to compute the dilutive effect of the Company’s convertible preferred shares. Under the if-converted method, dividends on the preferred shares, if applicable, are added back to earnings attributable to common shareholders, and the preferred shares and paid-in kind dividends are assumed to have been converted at the share price applicable at the end of the period. The if-converted method is applied only if the effect is dilutive.</w:t>
      </w:r>
    </w:p>
    <w:p>
      <w:pPr>
        <w:spacing w:after="0" w:line="78" w:lineRule="exact"/>
        <w:rPr>
          <w:rFonts w:ascii="Arial" w:cs="Arial" w:eastAsia="Arial" w:hAnsi="Arial"/>
          <w:sz w:val="18"/>
          <w:szCs w:val="18"/>
          <w:b w:val="1"/>
          <w:bCs w:val="1"/>
          <w:color w:val="auto"/>
        </w:rPr>
      </w:pPr>
    </w:p>
    <w:p>
      <w:pPr>
        <w:jc w:val="both"/>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2018, all stock options, warrants and convertible preferred shares were anti-dilutive and were excluded from the diluted weighted average common shares outstanding for the period. For the three months ended March 31, 2017, 1,943,508 stock options were excluded from the calculation of diluted net loss per common share as their inclusion would be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The following table sets out the computation of basic and diluted net loss per common and preferred share:</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 March 31,</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320" w:type="dxa"/>
            <w:vAlign w:val="bottom"/>
            <w:gridSpan w:val="4"/>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Common Shares</w:t>
            </w:r>
          </w:p>
        </w:tc>
        <w:tc>
          <w:tcPr>
            <w:tcW w:w="1280" w:type="dxa"/>
            <w:vAlign w:val="bottom"/>
            <w:gridSpan w:val="4"/>
            <w:shd w:val="clear" w:color="auto" w:fill="CFF0FC"/>
          </w:tcPr>
          <w:p>
            <w:pPr>
              <w:jc w:val="right"/>
              <w:ind w:right="160"/>
              <w:spacing w:after="0"/>
              <w:rPr>
                <w:sz w:val="20"/>
                <w:szCs w:val="20"/>
                <w:color w:val="auto"/>
              </w:rPr>
            </w:pPr>
            <w:r>
              <w:rPr>
                <w:rFonts w:ascii="Arial" w:cs="Arial" w:eastAsia="Arial" w:hAnsi="Arial"/>
                <w:sz w:val="14"/>
                <w:szCs w:val="14"/>
                <w:b w:val="1"/>
                <w:bCs w:val="1"/>
                <w:color w:val="auto"/>
                <w:w w:val="97"/>
              </w:rPr>
              <w:t>Preferred Shares</w:t>
            </w:r>
          </w:p>
        </w:tc>
        <w:tc>
          <w:tcPr>
            <w:tcW w:w="6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Common Shares</w:t>
            </w:r>
          </w:p>
        </w:tc>
        <w:tc>
          <w:tcPr>
            <w:tcW w:w="2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Allocation of loss attributed to shareholders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(3,722)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(7,517)</w:t>
            </w:r>
          </w:p>
        </w:tc>
        <w:tc>
          <w:tcPr>
            <w:tcW w:w="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500"/>
              <w:spacing w:after="0"/>
              <w:rPr>
                <w:sz w:val="20"/>
                <w:szCs w:val="20"/>
                <w:color w:val="auto"/>
              </w:rPr>
            </w:pPr>
            <w:r>
              <w:rPr>
                <w:rFonts w:ascii="Arial" w:cs="Arial" w:eastAsia="Arial" w:hAnsi="Arial"/>
                <w:sz w:val="18"/>
                <w:szCs w:val="18"/>
                <w:color w:val="auto"/>
                <w:w w:val="96"/>
              </w:rPr>
              <w:t>Adjustment for change in fair value of liability classified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0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17,804,421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159,333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17,946,209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dilutive effect of stock options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17,804,421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17,974,469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shareholders per share - 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(0.42)</w:t>
            </w:r>
          </w:p>
        </w:tc>
        <w:tc>
          <w:tcPr>
            <w:tcW w:w="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attributable to shareholders per share - diluted</w:t>
            </w: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Certain financial instruments and other items are measured at fair value.</w:t>
      </w:r>
    </w:p>
    <w:p>
      <w:pPr>
        <w:spacing w:after="0" w:line="117" w:lineRule="exact"/>
        <w:rPr>
          <w:rFonts w:ascii="Arial" w:cs="Arial" w:eastAsia="Arial" w:hAnsi="Arial"/>
          <w:sz w:val="18"/>
          <w:szCs w:val="18"/>
          <w:b w:val="1"/>
          <w:bCs w:val="1"/>
          <w:color w:val="auto"/>
        </w:rPr>
      </w:pPr>
    </w:p>
    <w:p>
      <w:pPr>
        <w:jc w:val="both"/>
        <w:ind w:left="5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the Company uses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900" w:hanging="379"/>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jc w:val="both"/>
        <w:ind w:left="900" w:right="20" w:hanging="379"/>
        <w:spacing w:after="0" w:line="30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900" w:right="20" w:hanging="379"/>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jc w:val="both"/>
        <w:ind w:left="520" w:right="2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jc w:val="both"/>
        <w:ind w:left="520" w:right="20"/>
        <w:spacing w:after="0" w:line="259" w:lineRule="auto"/>
        <w:rPr>
          <w:sz w:val="20"/>
          <w:szCs w:val="20"/>
          <w:color w:val="auto"/>
        </w:rPr>
      </w:pPr>
      <w:r>
        <w:rPr>
          <w:rFonts w:ascii="Arial" w:cs="Arial" w:eastAsia="Arial" w:hAnsi="Arial"/>
          <w:sz w:val="18"/>
          <w:szCs w:val="18"/>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The Company’s term loan bears interest at a rate that approximates prevailing market rates for instruments with similar characteristics and, accordingly, the carrying value of the loan approximates fair value.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9" w:name="page10"/>
    <w:bookmarkEnd w:id="9"/>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Term Loan:</w:t>
      </w:r>
    </w:p>
    <w:p>
      <w:pPr>
        <w:spacing w:after="0" w:line="121" w:lineRule="exact"/>
        <w:rPr>
          <w:rFonts w:ascii="Arial" w:cs="Arial" w:eastAsia="Arial" w:hAnsi="Arial"/>
          <w:sz w:val="18"/>
          <w:szCs w:val="18"/>
          <w:b w:val="1"/>
          <w:bCs w:val="1"/>
          <w:color w:val="auto"/>
        </w:rPr>
      </w:pPr>
    </w:p>
    <w:p>
      <w:pPr>
        <w:jc w:val="both"/>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March 31, 2018, the Company determined the effective interest rate on the initial tranche of its loan with Silicon Valley Bank (the “Bank”) to be 9.48% (December 31, 2017 - 9.25%). Amortization of the debt discount was $72 for the three months ended March 31, 2018. Interest payments are made monthly.</w:t>
      </w:r>
    </w:p>
    <w:p>
      <w:pPr>
        <w:spacing w:after="0" w:line="7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Interest expense was $159 for the three months ended March 31, 2018.</w:t>
      </w:r>
    </w:p>
    <w:p>
      <w:pPr>
        <w:spacing w:after="0" w:line="11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outstanding loan and unamortized debt discount balances are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54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unamortized discount on loan</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(1,400)</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portion of final payment fee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Loan payable, long-term</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Scheduled principal payments on outstanding debt, excluding the final payment fee of $455, as of March 31, 2018, are as follows:</w:t>
      </w:r>
    </w:p>
    <w:p>
      <w:pPr>
        <w:spacing w:after="0" w:line="13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34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3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2021</w:t>
            </w:r>
          </w:p>
        </w:tc>
        <w:tc>
          <w:tcPr>
            <w:tcW w:w="3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The loan agreement contains affirmative and negative covenants, including, among others, covenants that limit or restrict the Company’s ability to incur indebtedness, grant liens, merge or consolidate, dispose of assets, make investments, make acquisitions, enter into certain transactions with affiliates, engage in any new line of business, pay dividends or make distributions, or repurchase stock, in each case subject to certain exceptions. The Company is in compliance with these covenants at March 31, 2018.</w:t>
      </w:r>
    </w:p>
    <w:p>
      <w:pPr>
        <w:spacing w:after="0" w:line="79"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At March 31, 2018, the Company has a warrant outstanding to the Bank to purchase 50,411 of the Company’s common shares at a price per share of $2.43.</w:t>
      </w:r>
    </w:p>
    <w:p>
      <w:pPr>
        <w:spacing w:after="0" w:line="27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Exchange agreement with certain funds affiliated with BVF Partners L.P. (collectively, “BVF”):</w:t>
      </w:r>
    </w:p>
    <w:p>
      <w:pPr>
        <w:spacing w:after="0" w:line="117" w:lineRule="exact"/>
        <w:rPr>
          <w:rFonts w:ascii="Arial" w:cs="Arial" w:eastAsia="Arial" w:hAnsi="Arial"/>
          <w:sz w:val="18"/>
          <w:szCs w:val="18"/>
          <w:color w:val="auto"/>
        </w:rPr>
      </w:pPr>
    </w:p>
    <w:p>
      <w:pPr>
        <w:jc w:val="both"/>
        <w:ind w:left="900"/>
        <w:spacing w:after="0" w:line="264" w:lineRule="auto"/>
        <w:rPr>
          <w:rFonts w:ascii="Arial" w:cs="Arial" w:eastAsia="Arial" w:hAnsi="Arial"/>
          <w:sz w:val="18"/>
          <w:szCs w:val="18"/>
          <w:color w:val="auto"/>
        </w:rPr>
      </w:pPr>
      <w:r>
        <w:rPr>
          <w:rFonts w:ascii="Arial" w:cs="Arial" w:eastAsia="Arial" w:hAnsi="Arial"/>
          <w:sz w:val="18"/>
          <w:szCs w:val="18"/>
          <w:color w:val="auto"/>
        </w:rPr>
        <w:t>On March 23, 2018, the Company and BVF entered into an exchange agreement pursuant to which the Company issued to BVF 2,868,000 Series 1 Preferred Shares in exchange for 2,868,000 common shares which were subsequently cancelled by the Company on the closing date of March 27, 2018.</w:t>
      </w:r>
    </w:p>
    <w:p>
      <w:pPr>
        <w:spacing w:after="0" w:line="73" w:lineRule="exact"/>
        <w:rPr>
          <w:rFonts w:ascii="Arial" w:cs="Arial" w:eastAsia="Arial" w:hAnsi="Arial"/>
          <w:sz w:val="18"/>
          <w:szCs w:val="18"/>
          <w:color w:val="auto"/>
        </w:rPr>
      </w:pPr>
    </w:p>
    <w:p>
      <w:pPr>
        <w:jc w:val="both"/>
        <w:ind w:left="900"/>
        <w:spacing w:after="0" w:line="268" w:lineRule="auto"/>
        <w:rPr>
          <w:rFonts w:ascii="Arial" w:cs="Arial" w:eastAsia="Arial" w:hAnsi="Arial"/>
          <w:sz w:val="18"/>
          <w:szCs w:val="18"/>
          <w:color w:val="auto"/>
        </w:rPr>
      </w:pPr>
      <w:r>
        <w:rPr>
          <w:rFonts w:ascii="Arial" w:cs="Arial" w:eastAsia="Arial" w:hAnsi="Arial"/>
          <w:sz w:val="17"/>
          <w:szCs w:val="17"/>
          <w:color w:val="auto"/>
        </w:rPr>
        <w:t>The Company filed articles of amendment creating an unlimited number of Series 1 Preferred Shares. The Series 1 Preferred Shares are convertible into common shares on a one-for-one basis subject to the holder, together with its affiliates, beneficially owning no more than 9.99% of the total number of common shares issued and outstanding immediately after giving effect to such conversion (the “Beneficial Ownership Limitation”). The holder may reset the Beneficial Ownership Limitation to a higher or lower number, not to exceed 19.99% of the total number of common shares issued and outstanding immediately after giving effect to such conversion, upon providing written notice to the Company which will be effective 61 days after delivery of such notice. Each Series 1 Preferred Share is also convertible into one common share at any time at the Company’s option without payment of additional consideration, provided that prior to any such conversion, the holder, together with its affiliates, beneficially owns less than 5.00% of the total number of common shares issued and outstanding and such conversion will not result in the holder, together with its affiliates, beneficially holding more than 5.00% of the total number of common shares issued and outstanding immediately after giving effect to such conversion. In the event of a change of control, holders of Series 1 Preferred Shares shall be issued one common share for each outstanding Series 1 Preferred Share held immediately prior to the change of control (without regard to the Beneficial Ownership Limitation), and following such conversion, will be entitled to receive the same kind and amount of securities, cash or property that a holder of common shares is entitled to receive in connection with such change of control.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jc w:val="both"/>
        <w:ind w:left="900" w:right="20"/>
        <w:spacing w:after="0" w:line="291" w:lineRule="auto"/>
        <w:rPr>
          <w:sz w:val="20"/>
          <w:szCs w:val="20"/>
          <w:color w:val="auto"/>
        </w:rPr>
      </w:pPr>
      <w:r>
        <w:rPr>
          <w:rFonts w:ascii="Arial" w:cs="Arial" w:eastAsia="Arial" w:hAnsi="Arial"/>
          <w:sz w:val="16"/>
          <w:szCs w:val="16"/>
          <w:color w:val="auto"/>
        </w:rPr>
        <w:t>The Series 1 Preferred Shares rank equally to the common shares in the event of liquidation, dissolution or winding up or other distribution of the assets of the Company among its shareholders and the holders of the Series 1 Preferred Shares are entitled to vote together with the common shares on an as-converted basis and as a single class, subject in the case of each holder of the Series 1 Preferred Shares to the Beneficial Ownership Limitation. Any Series 1 Preferred Shares that are ineligible to be converted into common shares due to the Beneficial Ownership Limitation, measured as of a given record date that applies for a shareholder meeting or ability to act by written consent, shall be deemed to be non-voting securities of the Company. Holders of Series 1 Preferred Shares are entitled to receive dividends (without regard to the Beneficial Ownership Limitation) on the same basis as the holders of common shares. The Company may not redeem the Series 1 Preferred Shares.</w:t>
      </w:r>
    </w:p>
    <w:p>
      <w:pPr>
        <w:spacing w:after="0" w:line="59" w:lineRule="exact"/>
        <w:rPr>
          <w:sz w:val="20"/>
          <w:szCs w:val="20"/>
          <w:color w:val="auto"/>
        </w:rPr>
      </w:pPr>
    </w:p>
    <w:p>
      <w:pPr>
        <w:jc w:val="both"/>
        <w:ind w:left="900" w:right="20"/>
        <w:spacing w:after="0" w:line="259" w:lineRule="auto"/>
        <w:rPr>
          <w:sz w:val="20"/>
          <w:szCs w:val="20"/>
          <w:color w:val="auto"/>
        </w:rPr>
      </w:pPr>
      <w:r>
        <w:rPr>
          <w:rFonts w:ascii="Arial" w:cs="Arial" w:eastAsia="Arial" w:hAnsi="Arial"/>
          <w:sz w:val="18"/>
          <w:szCs w:val="18"/>
          <w:color w:val="auto"/>
        </w:rPr>
        <w:t>The Company recorded the issuance of Series 1 Preferred Shares and corresponding cancellation of common shares at $7.61 per share, the estimated weighted average cost at which BVF acquired the common shares. The Series 1 Preferred Shares are recorded wholly as equity under ASC 480, with no bifurcation of conversion feature from the host contract, given that the Series 1 Preferred Shares cannot be cash settled and have no redemption features.</w:t>
      </w:r>
    </w:p>
    <w:p>
      <w:pPr>
        <w:spacing w:after="0" w:line="79" w:lineRule="exact"/>
        <w:rPr>
          <w:sz w:val="20"/>
          <w:szCs w:val="20"/>
          <w:color w:val="auto"/>
        </w:rPr>
      </w:pPr>
    </w:p>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Termination of collaboration agreement with Teva Pharmaceuticals International GmbH and Teva Canada Limited (together, “Teva”):</w:t>
      </w:r>
    </w:p>
    <w:p>
      <w:pPr>
        <w:spacing w:after="0" w:line="128" w:lineRule="exact"/>
        <w:rPr>
          <w:rFonts w:ascii="Arial" w:cs="Arial" w:eastAsia="Arial" w:hAnsi="Arial"/>
          <w:sz w:val="17"/>
          <w:szCs w:val="17"/>
          <w:color w:val="auto"/>
        </w:rPr>
      </w:pPr>
    </w:p>
    <w:p>
      <w:pPr>
        <w:jc w:val="both"/>
        <w:ind w:left="900" w:right="20"/>
        <w:spacing w:after="0" w:line="291" w:lineRule="auto"/>
        <w:rPr>
          <w:rFonts w:ascii="Arial" w:cs="Arial" w:eastAsia="Arial" w:hAnsi="Arial"/>
          <w:sz w:val="17"/>
          <w:szCs w:val="17"/>
          <w:color w:val="auto"/>
        </w:rPr>
      </w:pPr>
      <w:r>
        <w:rPr>
          <w:rFonts w:ascii="Arial" w:cs="Arial" w:eastAsia="Arial" w:hAnsi="Arial"/>
          <w:sz w:val="16"/>
          <w:szCs w:val="16"/>
          <w:color w:val="auto"/>
        </w:rPr>
        <w:t>On March 7, 2018, the Company and Teva, entered into a termination agreement terminating by mutual agreement the collaborative development and license agreement dated December 7, 2012, as amended, which subsequently closed on March 27, 2018. In connection with the termination, Teva returned and the Company cancelled 1,000,000 common shares that were owned by Teva. Pursuant to the terms of the termination agreement, Teva also agreed to return, license or assign to the Company certain intellectual property, including certain patent rights and will transfer regulatory filings related to TV-45070 to the Company. The termination agreement requires the Company to pay a low single-digit percentage royalty to Teva based on net sales of approved products, if any, resulting from any continued development and commercialization of TV-45070 by the Company during the period that assigned or licensed patents cover such products. To date, no such sales have occurred.</w:t>
      </w:r>
    </w:p>
    <w:p>
      <w:pPr>
        <w:spacing w:after="0" w:line="59" w:lineRule="exact"/>
        <w:rPr>
          <w:rFonts w:ascii="Arial" w:cs="Arial" w:eastAsia="Arial" w:hAnsi="Arial"/>
          <w:sz w:val="17"/>
          <w:szCs w:val="17"/>
          <w:color w:val="auto"/>
        </w:rPr>
      </w:pPr>
    </w:p>
    <w:p>
      <w:pPr>
        <w:jc w:val="both"/>
        <w:ind w:left="900" w:right="20"/>
        <w:spacing w:after="0" w:line="264" w:lineRule="auto"/>
        <w:rPr>
          <w:rFonts w:ascii="Arial" w:cs="Arial" w:eastAsia="Arial" w:hAnsi="Arial"/>
          <w:sz w:val="17"/>
          <w:szCs w:val="17"/>
          <w:color w:val="auto"/>
        </w:rPr>
      </w:pPr>
      <w:r>
        <w:rPr>
          <w:rFonts w:ascii="Arial" w:cs="Arial" w:eastAsia="Arial" w:hAnsi="Arial"/>
          <w:sz w:val="18"/>
          <w:szCs w:val="18"/>
          <w:color w:val="auto"/>
        </w:rPr>
        <w:t>The Company recorded a gain on the termination of the collaboration agreement of $4,398, net of direct costs incurred in connection with the termination and cancellation of 1,000,000 common shares, based on the estimated fair value represented by the market price of the common shares prior to the closing of the transaction.</w:t>
      </w:r>
    </w:p>
    <w:p>
      <w:pPr>
        <w:spacing w:after="0" w:line="73" w:lineRule="exact"/>
        <w:rPr>
          <w:rFonts w:ascii="Arial" w:cs="Arial" w:eastAsia="Arial" w:hAnsi="Arial"/>
          <w:sz w:val="17"/>
          <w:szCs w:val="17"/>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option activity for the period:</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2,339,905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1,910,823</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563,700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416,750</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(84,668)</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(67,921)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(22,996)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2,795,941</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2,258,237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1,505,459</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1,293,367</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40" w:right="20" w:hanging="519"/>
        <w:spacing w:after="0" w:line="29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During the three months ended March 31, 2018, 13,374 stock options were exercised for the same number of common shares for cash (three months ended March 31, 2017 – 62,397). In the same period, the Company issued 27,507 common shares (three months ended March 31, 2017</w:t>
      </w:r>
    </w:p>
    <w:p>
      <w:pPr>
        <w:ind w:left="1040"/>
        <w:spacing w:after="0"/>
        <w:rPr>
          <w:rFonts w:ascii="Arial" w:cs="Arial" w:eastAsia="Arial" w:hAnsi="Arial"/>
          <w:sz w:val="14"/>
          <w:szCs w:val="14"/>
          <w:color w:val="auto"/>
        </w:rPr>
      </w:pPr>
      <w:r>
        <w:rPr>
          <w:rFonts w:ascii="Arial" w:cs="Arial" w:eastAsia="Arial" w:hAnsi="Arial"/>
          <w:sz w:val="18"/>
          <w:szCs w:val="18"/>
          <w:color w:val="auto"/>
        </w:rPr>
        <w:t>– 3,693) for the cashless exercise of 71,294 stock options (three months ended March 31, 2017 – 5,524).</w:t>
      </w:r>
    </w:p>
    <w:p>
      <w:pPr>
        <w:spacing w:after="0" w:line="10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fair value of each stock option granted is estimated using the Black-Scholes option-pricing model with the following weighted-average assumptions: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1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2.77%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Average expected term (in years)</w:t>
            </w:r>
          </w:p>
        </w:tc>
        <w:tc>
          <w:tcPr>
            <w:tcW w:w="1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7.36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w w:val="90"/>
              </w:rPr>
              <w:t>Weighted average fair value of stock options granted</w:t>
            </w:r>
          </w:p>
        </w:tc>
        <w:tc>
          <w:tcPr>
            <w:tcW w:w="218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3.41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CFF0FC"/>
            </w:tcBorders>
            <w:vMerge w:val="restart"/>
          </w:tcPr>
          <w:p>
            <w:pPr>
              <w:jc w:val="right"/>
              <w:ind w:right="1090"/>
              <w:spacing w:after="0"/>
              <w:rPr>
                <w:sz w:val="20"/>
                <w:szCs w:val="20"/>
                <w:color w:val="auto"/>
              </w:rPr>
            </w:pPr>
            <w:r>
              <w:rPr>
                <w:rFonts w:ascii="Arial" w:cs="Arial" w:eastAsia="Arial" w:hAnsi="Arial"/>
                <w:sz w:val="18"/>
                <w:szCs w:val="18"/>
                <w:color w:val="auto"/>
              </w:rPr>
              <w:t>-9-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11" w:name="page12"/>
    <w:bookmarkEnd w:id="11"/>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jc w:val="both"/>
        <w:ind w:left="900"/>
        <w:spacing w:after="0" w:line="302" w:lineRule="auto"/>
        <w:rPr>
          <w:rFonts w:ascii="Arial" w:cs="Arial" w:eastAsia="Arial" w:hAnsi="Arial"/>
          <w:sz w:val="18"/>
          <w:szCs w:val="18"/>
          <w:color w:val="auto"/>
        </w:rPr>
      </w:pPr>
      <w:r>
        <w:rPr>
          <w:rFonts w:ascii="Arial" w:cs="Arial" w:eastAsia="Arial" w:hAnsi="Arial"/>
          <w:sz w:val="16"/>
          <w:szCs w:val="16"/>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w:t>
      </w:r>
    </w:p>
    <w:p>
      <w:pPr>
        <w:spacing w:after="0" w:line="46" w:lineRule="exact"/>
        <w:rPr>
          <w:rFonts w:ascii="Arial" w:cs="Arial" w:eastAsia="Arial" w:hAnsi="Arial"/>
          <w:sz w:val="18"/>
          <w:szCs w:val="18"/>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License, manufacture and supply agreement:</w:t>
      </w:r>
    </w:p>
    <w:p>
      <w:pPr>
        <w:spacing w:after="0" w:line="117" w:lineRule="exact"/>
        <w:rPr>
          <w:rFonts w:ascii="Arial" w:cs="Arial" w:eastAsia="Arial" w:hAnsi="Arial"/>
          <w:sz w:val="18"/>
          <w:szCs w:val="18"/>
          <w:color w:val="auto"/>
        </w:rPr>
      </w:pPr>
    </w:p>
    <w:p>
      <w:pPr>
        <w:jc w:val="both"/>
        <w:ind w:left="900"/>
        <w:spacing w:after="0" w:line="302" w:lineRule="auto"/>
        <w:rPr>
          <w:rFonts w:ascii="Arial" w:cs="Arial" w:eastAsia="Arial" w:hAnsi="Arial"/>
          <w:sz w:val="18"/>
          <w:szCs w:val="18"/>
          <w:color w:val="auto"/>
        </w:rPr>
      </w:pPr>
      <w:r>
        <w:rPr>
          <w:rFonts w:ascii="Arial" w:cs="Arial" w:eastAsia="Arial" w:hAnsi="Arial"/>
          <w:sz w:val="16"/>
          <w:szCs w:val="16"/>
          <w:color w:val="auto"/>
        </w:rPr>
        <w:t>In March 2017, the Company entered into a license, manufacture and supply agreement with a pharmaceutical contract manufacturing organization for the access and use of certain regulatory documents as well as for the manufacture and supply of clinical and commercial drug product to support the development of XEN007. Under the terms of the agreement, the Company paid an upfront fee of $500 CAD and will be required to pay a low single-digit percentage royalty on net sales of any products developed and commercialized under the agreement.</w:t>
      </w:r>
    </w:p>
    <w:p>
      <w:pPr>
        <w:spacing w:after="0" w:line="46" w:lineRule="exact"/>
        <w:rPr>
          <w:rFonts w:ascii="Arial" w:cs="Arial" w:eastAsia="Arial" w:hAnsi="Arial"/>
          <w:sz w:val="18"/>
          <w:szCs w:val="18"/>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Asset purchase agreement with 1st Order Pharmaceuticals, Inc. (“1st Order”):</w:t>
      </w:r>
    </w:p>
    <w:p>
      <w:pPr>
        <w:spacing w:after="0" w:line="117" w:lineRule="exact"/>
        <w:rPr>
          <w:rFonts w:ascii="Arial" w:cs="Arial" w:eastAsia="Arial" w:hAnsi="Arial"/>
          <w:sz w:val="18"/>
          <w:szCs w:val="18"/>
          <w:color w:val="auto"/>
        </w:rPr>
      </w:pPr>
    </w:p>
    <w:p>
      <w:pPr>
        <w:jc w:val="both"/>
        <w:ind w:left="900"/>
        <w:spacing w:after="0" w:line="255" w:lineRule="auto"/>
        <w:rPr>
          <w:rFonts w:ascii="Arial" w:cs="Arial" w:eastAsia="Arial" w:hAnsi="Arial"/>
          <w:sz w:val="18"/>
          <w:szCs w:val="18"/>
          <w:color w:val="auto"/>
        </w:rPr>
      </w:pPr>
      <w:r>
        <w:rPr>
          <w:rFonts w:ascii="Arial" w:cs="Arial" w:eastAsia="Arial" w:hAnsi="Arial"/>
          <w:sz w:val="18"/>
          <w:szCs w:val="18"/>
          <w:color w:val="auto"/>
        </w:rPr>
        <w:t>In April 2017, the Company acquired XEN1101 (previously known as 1OP2198) from 1st Order pursuant to an asset purchase agreement. 1st Order previously acquired 1OP2198 from an affiliate of Valeant Pharmaceuticals International, Inc. (“Valeant”), and the Company has assumed certain financial responsibilities under that agreement. Under the terms of the agreement, the Company paid an upfront fee of $350 and milestone payments in 2017 totaling $700, which were expensed as research and development. Future potential payments to both 1st Order and Valeant include $1,000 in clinical development milestones, up to $13,000 in regulatory milestones, and up to approximately $33,600 in sales-based and other milestones, which includes a $1,500 milestone that may be payable pre-commercially, plus a mid-to-high single-digit percentage royalty on commercial sales.</w:t>
      </w:r>
    </w:p>
    <w:p>
      <w:pPr>
        <w:spacing w:after="0" w:line="81" w:lineRule="exact"/>
        <w:rPr>
          <w:rFonts w:ascii="Arial" w:cs="Arial" w:eastAsia="Arial" w:hAnsi="Arial"/>
          <w:sz w:val="18"/>
          <w:szCs w:val="18"/>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License agreement</w:t>
      </w:r>
    </w:p>
    <w:p>
      <w:pPr>
        <w:spacing w:after="0" w:line="117" w:lineRule="exact"/>
        <w:rPr>
          <w:rFonts w:ascii="Arial" w:cs="Arial" w:eastAsia="Arial" w:hAnsi="Arial"/>
          <w:sz w:val="18"/>
          <w:szCs w:val="18"/>
          <w:color w:val="auto"/>
        </w:rPr>
      </w:pPr>
    </w:p>
    <w:p>
      <w:pPr>
        <w:jc w:val="both"/>
        <w:ind w:left="900"/>
        <w:spacing w:after="0" w:line="302" w:lineRule="auto"/>
        <w:rPr>
          <w:rFonts w:ascii="Arial" w:cs="Arial" w:eastAsia="Arial" w:hAnsi="Arial"/>
          <w:sz w:val="18"/>
          <w:szCs w:val="18"/>
          <w:color w:val="auto"/>
        </w:rPr>
      </w:pPr>
      <w:r>
        <w:rPr>
          <w:rFonts w:ascii="Arial" w:cs="Arial" w:eastAsia="Arial" w:hAnsi="Arial"/>
          <w:sz w:val="16"/>
          <w:szCs w:val="16"/>
          <w:color w:val="auto"/>
        </w:rPr>
        <w:t>In July 2017, the Company entered into a license agreement with a pharmaceutical company for the access and use of certain regulatory documents to support the development of XEN007. Under the terms of the agreement, the Company paid an upfront fee of $1,000, which was expensed as research and development. Future potential payments include $2,000 in clinical development milestones, up to $7,000 in regulatory milestones, plus a low-to-mid single-digit percentage royalty on net sales of any products developed and commercialized under the agreement.</w:t>
      </w:r>
    </w:p>
    <w:p>
      <w:pPr>
        <w:spacing w:after="0" w:line="46" w:lineRule="exact"/>
        <w:rPr>
          <w:rFonts w:ascii="Arial" w:cs="Arial" w:eastAsia="Arial" w:hAnsi="Arial"/>
          <w:sz w:val="18"/>
          <w:szCs w:val="18"/>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jc w:val="both"/>
        <w:ind w:left="90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jc w:val="both"/>
        <w:ind w:left="900"/>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92"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Exchange agreement with BVF:</w:t>
      </w:r>
    </w:p>
    <w:p>
      <w:pPr>
        <w:spacing w:after="0" w:line="117" w:lineRule="exact"/>
        <w:rPr>
          <w:rFonts w:ascii="Arial" w:cs="Arial" w:eastAsia="Arial" w:hAnsi="Arial"/>
          <w:sz w:val="18"/>
          <w:szCs w:val="18"/>
          <w:color w:val="auto"/>
        </w:rPr>
      </w:pPr>
    </w:p>
    <w:p>
      <w:pPr>
        <w:jc w:val="both"/>
        <w:ind w:left="900"/>
        <w:spacing w:after="0" w:line="302" w:lineRule="auto"/>
        <w:rPr>
          <w:rFonts w:ascii="Arial" w:cs="Arial" w:eastAsia="Arial" w:hAnsi="Arial"/>
          <w:sz w:val="18"/>
          <w:szCs w:val="18"/>
          <w:color w:val="auto"/>
        </w:rPr>
      </w:pPr>
      <w:r>
        <w:rPr>
          <w:rFonts w:ascii="Arial" w:cs="Arial" w:eastAsia="Arial" w:hAnsi="Arial"/>
          <w:sz w:val="16"/>
          <w:szCs w:val="16"/>
          <w:color w:val="auto"/>
        </w:rPr>
        <w:t>On March 23, 2018, the Company and BVF entered into an exchange agreement pursuant to which the Company issued 2,868,000 Series 1 Preferred Shares in exchange for 2,868,000 common shares which were subsequently cancelled by the Company. Prior to the closing of the transactions contemplated in the exchange agreement on March 27, 2018, BVF held a number of common shares representing approximately 19.9% of the Company’s then outstanding common shares. For additional information regarding the Series 1 Preferred Shares, refer to note 9a.</w:t>
      </w:r>
    </w:p>
    <w:p>
      <w:pPr>
        <w:spacing w:after="0" w:line="46" w:lineRule="exact"/>
        <w:rPr>
          <w:rFonts w:ascii="Arial" w:cs="Arial" w:eastAsia="Arial" w:hAnsi="Arial"/>
          <w:sz w:val="18"/>
          <w:szCs w:val="18"/>
          <w:color w:val="auto"/>
        </w:rPr>
      </w:pPr>
    </w:p>
    <w:p>
      <w:pPr>
        <w:ind w:left="900" w:hanging="37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Termination of collaboration agreement with Teva:</w:t>
      </w:r>
    </w:p>
    <w:p>
      <w:pPr>
        <w:spacing w:after="0" w:line="117" w:lineRule="exact"/>
        <w:rPr>
          <w:rFonts w:ascii="Arial" w:cs="Arial" w:eastAsia="Arial" w:hAnsi="Arial"/>
          <w:sz w:val="18"/>
          <w:szCs w:val="18"/>
          <w:color w:val="auto"/>
        </w:rPr>
      </w:pPr>
    </w:p>
    <w:p>
      <w:pPr>
        <w:jc w:val="both"/>
        <w:ind w:left="900"/>
        <w:spacing w:after="0" w:line="257" w:lineRule="auto"/>
        <w:rPr>
          <w:rFonts w:ascii="Arial" w:cs="Arial" w:eastAsia="Arial" w:hAnsi="Arial"/>
          <w:sz w:val="18"/>
          <w:szCs w:val="18"/>
          <w:color w:val="auto"/>
        </w:rPr>
      </w:pPr>
      <w:r>
        <w:rPr>
          <w:rFonts w:ascii="Arial" w:cs="Arial" w:eastAsia="Arial" w:hAnsi="Arial"/>
          <w:sz w:val="18"/>
          <w:szCs w:val="18"/>
          <w:color w:val="auto"/>
        </w:rPr>
        <w:t>On March 7, 2018, the Company and Teva, entered into a termination agreement terminating by mutual agreement the collaborative development and license agreement dated December 7, 2012, as amended, which subsequently closed on March 27, 2018. In connection with the closing, the Company cancelled 1,000,000 common shares that were owned by Teva. Prior to the share cancellation, Teva owned more than 5% of the Company’s outstanding common shares. For additional information regarding the termination agreement and the share cancellation, refer to note 9b.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This section should be read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2017 included in our Annual Report on Form 10-K filed with the U.S. Securities and Exchange Commission on March 7, 2018 and with the securities commissions in British Columbia, Alberta and Ontario on March 7,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Arial" w:cs="Arial" w:eastAsia="Arial" w:hAnsi="Arial"/>
          <w:sz w:val="17"/>
          <w:szCs w:val="17"/>
          <w:color w:val="auto"/>
        </w:rPr>
        <w:t>:</w:t>
      </w:r>
    </w:p>
    <w:p>
      <w:pPr>
        <w:spacing w:after="0" w:line="70" w:lineRule="exact"/>
        <w:rPr>
          <w:sz w:val="20"/>
          <w:szCs w:val="20"/>
          <w:color w:val="auto"/>
        </w:rPr>
      </w:pPr>
    </w:p>
    <w:p>
      <w:pPr>
        <w:ind w:left="1040" w:right="320" w:hanging="438"/>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either from our internal research efforts or though acquiring or in-licensing other product candidates or technologies;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initiation, timing, cost, progress and success of our research and development programs, pre-clinical studies, and clinical trials;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current and future clinical trials for orphan or more common indications;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in-licensing agreements;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advance XEN007 and potentially other future product candidates directly into Phase 2 or later stage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future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13" w:name="page14"/>
    <w:bookmarkEnd w:id="13"/>
    <w:p>
      <w:pPr>
        <w:ind w:left="1040" w:hanging="438"/>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belief in the sufficiency of our cash, cash equivalents and marketable securities to meet our needs for at least the next 12 months;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We are a clinical stage biopharmaceutical company focused on developing innovative therapeutics to improve the lives of patients with neurological disorders. Building upon our extensive knowledge of human genetics and diseases caused by mutations in ion channels, known as channelopathies, we are advancing a novel product pipeline of central nervous system, or CNS, therapies to address areas of high unmet medical need, such as epilepsy and pain.</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To date, our pharmaceutical collaborations have generated in aggregate over $160.0 million in non-equity funding with the potential to provide us with future milestone payments, as well as royalties on product sales. Our current pharmaceutical partners include Genentech, a member of the Roche Group, and Merck &amp; Co., Inc., or Merck (through its affiliate, Essex Chemie AG).</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clinical development pipeline includes:</w:t>
      </w:r>
    </w:p>
    <w:p>
      <w:pPr>
        <w:spacing w:after="0" w:line="117" w:lineRule="exact"/>
        <w:rPr>
          <w:sz w:val="20"/>
          <w:szCs w:val="20"/>
          <w:color w:val="auto"/>
        </w:rPr>
      </w:pPr>
    </w:p>
    <w:p>
      <w:pPr>
        <w:ind w:left="1040" w:right="20" w:hanging="519"/>
        <w:spacing w:after="0" w:line="26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XEN1101 is a Kv7 potassium channel opener being developed for the treatment of epilepsy including: treatment-resistant adult and pediatric focal seizures; rare, pediatric forms of epilepsy, such as EIEE7, an early infantile epileptic encephalopathy associated with mutations in the KCNQ2 gene that cause loss-of-function in the Kv7.2 potassium channel; and potentially other neurological disorders. In October 2017, following acceptance of our clinical trial application, or CTA, for XEN1101 by the Medicines &amp; Healthcare products Regulatory Agency, or MHRA, in the United Kingdom, we initiated a randomized, double-blind, placebo-controlled Phase 1 clinical trial to evaluate the safety, tolerability and pharmacokinetics of both single ascending doses, or SAD, and multiple ascending doses, or MAD, of XEN1101 in healthy subjects. The XEN1101 Phase 1 clinical trial includes a pharmacodynamic biomarker read-out from a transcranial magnetic stimulation, or TMS, study, designed to assess XEN1101’s ability and potency to modulate cortical excitability, thereby demonstrating activity in the target CNS tissue. We have completed a Phase 1a pilot TMS study in 8 healthy subjects and have now begun a double-blind, placebo-controlled, randomized cross-over Phase 1b TMS study in approximately 15 healthy subjects. We expect to present interim Phase 1 results at the 14th EILAT Conference on New Antiepileptic Drugs and Devices to be held in Madrid, Spain on May 15, 2018. The release of the complete Phase 1 results, including the Phase 1b TMS data, is anticipated in the second half of 2018. We anticipate initiating a Phase 2 clinical trial evaluating XEN1101 as a treatment for adult focal seizures by year end. We also intend to explore a parallel plan to advance XEN1101 into rare, pediatric forms of epilepsy as soon as feasible thereafter;</w:t>
      </w:r>
    </w:p>
    <w:p>
      <w:pPr>
        <w:spacing w:after="0" w:line="77" w:lineRule="exact"/>
        <w:rPr>
          <w:rFonts w:ascii="Arial" w:cs="Arial" w:eastAsia="Arial" w:hAnsi="Arial"/>
          <w:sz w:val="17"/>
          <w:szCs w:val="17"/>
          <w:color w:val="auto"/>
        </w:rPr>
      </w:pPr>
    </w:p>
    <w:p>
      <w:pPr>
        <w:ind w:left="1040" w:right="20" w:hanging="519"/>
        <w:spacing w:after="0" w:line="289"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XEN901 is a potent, highly selective Nav1.6 sodium channel inhibitor being developed for the treatment of epilepsy including treatment resistant adult and pediatric focal seizures, as well as rare, pediatric forms of epilepsy, such as EIEE13, an early infantile epileptic encephalopathy due to gain-of-function mutations in the SCN8A gene that encodes the Nav1.6 sodium channel. In February 2018, following acceptance of our CTA for XEN901 by the MHRA in the United Kingdom, we initiated a randomized, double-blind, placebo-controlled Phase 1 clinical trial to evaluate XEN901’s safety, tolerability and pharmacokinetics in both SAD and MAD cohorts of approximately 64 healthy subjects in total. We expect to present an update on XEN901, including pre-clinical data, at the 14th EILAT Conference on New Antiepileptic Drugs and Devices to be held in Madrid, Spain on May 15, 2018. Upon completion of the Phase 1 clinical trial, a read-out of results is anticipated in the second half of 2018, followed by a Phase 2 trial evaluating XEN901’s efficacy as a treatment for adult focal seizures. We also intend to pursue a parallel plan to advance XEN901 into rare, pediatric forms of epilepsy as soon as feasible thereafter;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4" w:name="page15"/>
    <w:bookmarkEnd w:id="14"/>
    <w:p>
      <w:pPr>
        <w:ind w:left="1040" w:hanging="519"/>
        <w:spacing w:after="0" w:line="270"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identified an additional clinical stage, ion channel program, XEN007 (active ingredient flunarizine), to expand our existing neurology-focused product pipeline. XEN007 is a CNS-acting calcium channel blocker that directly modulates Cav2.1, which is a critical calcium channel implicated in the pathophysiology of hemiplegic migraine, or HM, a rare and debilitating neurological disorder afflicting approximately 60,000 people in the U.S. Flunarizine has been used outside of the U.S. in the prevention of chronic migraine and has been reported to have clinical benefit in HM case studies. Xenon’s clinical development plans include a proposed strategy to develop XEN007 as the first treatment specifically approved for HM anywhere in the world. We have received Orphan Drug Designation from the U.S. Food and Drug Administration, or FDA, for XEN007 for the treatment of HM. In addition, we have entered into key agreements in order to access regulatory files and manufacturing support to potentially enable the accelerated clinical development of XEN007 directly into a Phase 2 clinical trial. We are currently examining various development strategies for XEN007 with key opinion leaders and leading clinicians, as well as exploring options for potential partnerships for this program; and</w:t>
      </w:r>
    </w:p>
    <w:p>
      <w:pPr>
        <w:spacing w:after="0" w:line="69" w:lineRule="exact"/>
        <w:rPr>
          <w:rFonts w:ascii="Arial" w:cs="Arial" w:eastAsia="Arial" w:hAnsi="Arial"/>
          <w:sz w:val="17"/>
          <w:szCs w:val="17"/>
          <w:color w:val="auto"/>
        </w:rPr>
      </w:pPr>
    </w:p>
    <w:p>
      <w:pPr>
        <w:ind w:left="1040" w:right="16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an ongoing collaboration with Genentech focused on developing novel inhibitors of Nav1.7 for the treatment of pain. Genentech has completed a Phase 1 clinical trial for GDC-0310, which is an oral, selective Nav1.7 small-molecule inhibitor developed for the potential treatment of pain. Guidance around the future clinical development of GDC-0310 will be updated once ongoing pre-clinical studies are completed and the final results are analyzed by Genentech.</w:t>
      </w:r>
    </w:p>
    <w:p>
      <w:pPr>
        <w:spacing w:after="0" w:line="18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have funded our operations through the sale of equity securities, funding received from our licensees and collaborators, debt financing and, to a lesser extent, government funding. For the three months ended March 31, 2018, we recognized no revenue. This compares to $0.02 million for the three months ended March 31, 2017, consisting primarily of funding from our collaborators.</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had a net loss of $3.8 million for the three months ended March 31, 2018 and an accumulated deficit of $177.1 million as of March 31, 2018, from expenses incurred in connection with our research programs and from general and administrative costs associated with our operations and we do not expect to have sustained profitability for the foreseeable future.</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We have not generated any significant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9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as we:</w:t>
      </w:r>
    </w:p>
    <w:p>
      <w:pPr>
        <w:spacing w:after="0" w:line="62" w:lineRule="exact"/>
        <w:rPr>
          <w:sz w:val="20"/>
          <w:szCs w:val="20"/>
          <w:color w:val="auto"/>
        </w:rPr>
      </w:pPr>
    </w:p>
    <w:p>
      <w:pPr>
        <w:ind w:left="1040" w:right="2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milestone and other payments under our in-license or other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On March 27, 2018, we closed a transaction with certain funds affiliated with BVF Partners L.P., collectively referred to as BVF, to allow for a one-for-one exchange of our common shares for Series 1 Preferred Shares. BVF, an existing shareholder, held a number of our common shares, representing approximately 19.9% of our outstanding common shares prior to closing. Pursuant to the exchange agreement, BVF exchanged an aggregate of 2,868,000 common shares for 2,868,000 Series 1 Preferred Shares. For additional information, please refer to our Current Report on Form 8-K, filed with the U.S. Securities and Exchange Commission, or SEC, and with the securities commissions in British Columbia, Alberta and Ontario, or the Canadian Securities Commissions, on March 28, 2018.</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5" w:name="page16"/>
    <w:bookmarkEnd w:id="15"/>
    <w:p>
      <w:pPr>
        <w:ind w:right="20" w:firstLine="518"/>
        <w:spacing w:after="0" w:line="254" w:lineRule="auto"/>
        <w:rPr>
          <w:sz w:val="20"/>
          <w:szCs w:val="20"/>
          <w:color w:val="auto"/>
        </w:rPr>
      </w:pPr>
      <w:r>
        <w:rPr>
          <w:rFonts w:ascii="Arial" w:cs="Arial" w:eastAsia="Arial" w:hAnsi="Arial"/>
          <w:sz w:val="18"/>
          <w:szCs w:val="18"/>
          <w:color w:val="auto"/>
        </w:rPr>
        <w:t>Subsequently, also on March 27, 2018, we closed a transaction with Teva Pharmaceuticals International GmbH, along with Teva Canada Limited, collectively referred to as Teva, to terminate by mutual agreement the collaborative development and license agreement dated December 7, 2012, as amended. In connection with the closing of such transaction, we cancelled 1,000,000 of our common shares that were owned by Teva. Teva also agreed to return, license or assign to us certain intellectual property, including certain patent rights and will transfer regulatory filings related to TV-45070 to us. The termination agreement requires us to pay a low single-digit percentage royalty to Teva based on net sales of approved products, if any, resulting from any continued development and commercialization of TV-45070 by us during the period that assigned or licensed patents cover such products. For additional information, please refer to our Current Reports on Form 8-K, filed with the SEC and the Canadian Securities Commissions on March 7, 2018 and March 28,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We have not generated any significant royalty revenue from product sales, and do not otherwise anticipate generating revenue from product sales for the foreseeable future, if ever.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2018 and 2017, we did not recognize significant revenue from our collaboration agreements.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As our other internal and partnered products are in various stages of clinical and pre-clinical development, we do not expect to generate any revenue from product sales for at least the next several years. We expect that any revenue for the next several years will be derived from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7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As of March 31, 2018, we have recognized all deferred revenue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months ended March 31, 2018 and 2017 (in thousands):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5,580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2,238</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7,818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proprietary product candidates, including any acquired or in-licensed product candidates or technology, as well as to support research and development on our product candidates under current and former collaboration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acquisition, license and collaboration fees, laboratory consumables and allocated facility-related and information technology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6" w:name="page17"/>
    <w:bookmarkEnd w:id="16"/>
    <w:p>
      <w:pPr>
        <w:ind w:firstLine="518"/>
        <w:spacing w:after="0" w:line="255"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our pre-clinical candidates once nominated and selected for further development, including pre-clinical and discovery costs supporting a development candidate.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93"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acquisition, license and collaboration fees and laboratory consumables.</w:t>
      </w:r>
    </w:p>
    <w:p>
      <w:pPr>
        <w:spacing w:after="0" w:line="154"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and information technology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57"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 December 2017, we entered into a Loan and Security Agreement, or Loan Agreement, with Silicon Valley Bank, or the Bank,</w:t>
      </w:r>
      <w:r>
        <w:rPr>
          <w:rFonts w:ascii="Arial" w:cs="Arial" w:eastAsia="Arial" w:hAnsi="Arial"/>
          <w:sz w:val="17"/>
          <w:szCs w:val="17"/>
          <w:i w:val="1"/>
          <w:iCs w:val="1"/>
          <w:color w:val="auto"/>
        </w:rPr>
        <w:t xml:space="preserve"> </w:t>
      </w:r>
      <w:r>
        <w:rPr>
          <w:rFonts w:ascii="Arial" w:cs="Arial" w:eastAsia="Arial" w:hAnsi="Arial"/>
          <w:sz w:val="17"/>
          <w:szCs w:val="17"/>
          <w:color w:val="auto"/>
        </w:rPr>
        <w:t>whereby we borrowed an initial tranche of $7.0 million which accrues interest at a floating per annum rate of 0.5% above the prime rate, payable monthly commencing in January 2018. We expect to pay interest through the maturity of the initial tranche on March 31, 2021.</w:t>
      </w:r>
    </w:p>
    <w:p>
      <w:pPr>
        <w:spacing w:after="0" w:line="5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i w:val="1"/>
          <w:iCs w:val="1"/>
          <w:color w:val="auto"/>
        </w:rPr>
        <w:t xml:space="preserve">Foreign Exchange Gain (Loss). </w:t>
      </w:r>
      <w:r>
        <w:rPr>
          <w:rFonts w:ascii="Arial" w:cs="Arial" w:eastAsia="Arial" w:hAnsi="Arial"/>
          <w:sz w:val="17"/>
          <w:szCs w:val="17"/>
          <w:color w:val="auto"/>
        </w:rPr>
        <w:t>Net foreign exchange gains and losses consist of gains and losses from the impact of foreign exchange fluctuations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monetary assets and liabilities that are denominated in currencies other than the U.S. dollar (principally the Canadian dollar). We will continue to incur substantial expenses in Canadian dollars and will remain subject to risks associated with foreign currency fluctuations. See “Quantitative and Qualitative Disclosures About Market Risk – Foreign Currency Exchange Risk” below for additional information.</w:t>
      </w:r>
    </w:p>
    <w:p>
      <w:pPr>
        <w:spacing w:after="0" w:line="63"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i w:val="1"/>
          <w:iCs w:val="1"/>
          <w:color w:val="auto"/>
        </w:rPr>
        <w:t xml:space="preserve">Gain on Termination of Collaboration Agreement. </w:t>
      </w:r>
      <w:r>
        <w:rPr>
          <w:rFonts w:ascii="Arial" w:cs="Arial" w:eastAsia="Arial" w:hAnsi="Arial"/>
          <w:sz w:val="16"/>
          <w:szCs w:val="16"/>
          <w:color w:val="auto"/>
        </w:rPr>
        <w:t>In March 2018, we entered into a termination agreement terminating by mutual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collaborative development and license agreement dated December 7, 2012, as amended, with Teva. We recorded a one-time gain on the termination of the collaboration agreement, net of direct costs incurred in connection with the termination and cancellation of 1,000,000 of our common shares.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2018, we had the following change in our critical accounting policies: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recognition is a critical accounting estimate due to the magnitude and nature of the revenues we receive. We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revenue standard (Accounting Standards Codification, or ASC, 606), effective January 1, 2018, using the modified retrospective method under which previously presented financial statements are not restated and the cumulative effect of adopting the new revenue standard on contracts in process is recognized by an adjustment to retained earnings at the effective date. The adoption of the new revenue standard did not change our recognized revenue under our one ongoing significant collaborative research and license agreement with Genentech, a member of the Roche Group, described in note 11b to our audited consolidated financial statements included in our 2017 Annual Report on Form 10-K for the year ended December 31, 2017 and no cumulative effect adjustment was required.</w:t>
      </w:r>
    </w:p>
    <w:p>
      <w:pPr>
        <w:spacing w:after="0" w:line="18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primary sources of revenue have been derived from non-refundable upfront payments, funding for research and development services, milestone payments, and royalties under various collaboration agreements.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contracts where we have more than one performance obligation to provide our customer with goods or services, each performance obligation is evaluated to determine whether it is distinct.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w:t>
      </w:r>
    </w:p>
    <w:p>
      <w:pPr>
        <w:spacing w:after="0" w:line="17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consideration allocated to each distinct performance obligation is recognized as revenue when control is transferred to our customer for the related goods or services. Consideration associated with at-risk substantive performance milestones, including sales-based milestones, is recognized as revenue when we determine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7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There have been no other significant or material changes in our critical accounting policies and significant judgements and estimates during the three months ended March 31, 2018, as compared to those disclosed in “Management’s Discussion and Analysis of Financial Conditions and Results of Operations</w:t>
      </w:r>
    </w:p>
    <w:p>
      <w:pPr>
        <w:ind w:right="60" w:firstLine="8"/>
        <w:spacing w:after="0" w:line="302" w:lineRule="auto"/>
        <w:tabs>
          <w:tab w:leader="none" w:pos="1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Critical Accounting Policies and Significant Judgments and Estimates” included in our 2017 Annual Report on Form 10-K filed with the SEC and with the Canadian Securities Commissions on March 7, 2018. We believe that the accounting policies discussed in the Annual Report are critical to understanding our historical and future performance, as these policies relate to the more significant areas involving management’s judgments and estimates.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March 31, 2018 and 2017</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months ended March 31, 2018 and 2017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Borders>
              <w:bottom w:val="single" w:sz="8" w:color="auto"/>
            </w:tcBorders>
            <w:gridSpan w:val="5"/>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5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5,903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1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Gain on termination of collaboration agreement</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(3,755)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(7,517)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did not recognize any revenue for the three months ended March 31, 2018 compared to $0.02 million for the three months ended March 31, 2017. The decrease as compared to the same period in 2017 was due to the expiration of full-time equivalent funding from Teva at the end of 2017 as we shifted resources from supporting our collaborations to our proprietary programs.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summarizes research and development expenses for the three months ended March 31, 2018 and 2017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48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XEN801 expenses</w:t>
            </w:r>
          </w:p>
        </w:tc>
        <w:tc>
          <w:tcPr>
            <w:tcW w:w="86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XEN901 and Nav1.6 pre-clinical and discovery expenses</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2,837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XEN1101 expenses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1,762</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Pre-clinical, discovery and other program expenses</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1,870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5,580</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5,903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Research and development expenses were $5.6 million for the three months ended March 31, 2018 compared to $5.9 million for the three months ended March 31, 2017. The decrease of $0.3 million was primarily attributable to decreased spending on XEN801, a product candidate which is no longer being developed, and a decrease in pre-clinical, discovery and other internal program expenses. This decrease was partially offset by increased spending on our XEN1101 product candidate which was acquired in April 2017, our XEN901 product candidate and pre-clinical and discovery expenses supporting our Nav1.6 program.</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months ended March 31, 2018 and 2017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48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2,100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General and administrative expenses were $2.2 million for the three months ended March 31, 2018 and did not change significantly as compared to $2.1 million for the three months ended March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our other income for the three months ended March 31, 2018 and 2017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5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2018 vs. 2017</w:t>
            </w: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Other income was $4.1 million for the three months ended March 31, 2018, compared to $0.5 million for the three months ended March 31, 2017. The increase in other income was primarily driven by a $4.4 million gain on the termination of the collaboration agreement with Teva, partially offset by a change in foreign exchange gains and losses arising largely from the translation of cash and cash equivalents and marketable securities denominated in Canadian dollars to U.S. dollars. We recorded a foreign exchange loss of $0.3 million as compared to a gain of $0.3 million during the three months ended March 31, 2018 and 2017 due to a 3% decrease and 1% increase in the value of the Canadian dollar,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public offerings of our common shares, debt financing and government funding. As of March 31, 2018, we had cash and cash equivalents and marketable securities of $35.1 million. In December 2017, we entered into a Loan Agreement with the Bank, for a term loan of up to $15.0 million. The initial tranche of $7.0 million was funded in December 2017.</w:t>
      </w:r>
    </w:p>
    <w:p>
      <w:pPr>
        <w:spacing w:after="0" w:line="18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have incurred significant operating losses since inception. We had a $3.8 million net loss for the three months ended March 31, 2018 and an accumulated deficit of $177.1 million from inception through March 31, 2018.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manufacturers or suppliers; seek regulatory and marketing approvals for any of our product candidates that successfully complete clinical studies; seek to identify, evaluate and validate additional product candidates; acquire or in-license other product candidates and technologies; make milestone or other payments under our product acquisition and in-license agreements, including, without limitation, payments to the Memorial University of Newfoundland, 1st Order Pharmaceuticals, Inc., Valeant Pharmaceuticals International, Inc., and other third parties;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and our product development and planned future commercialization efforts; and experience any delays or encounter issues with any of the above.</w:t>
      </w:r>
    </w:p>
    <w:p>
      <w:pPr>
        <w:spacing w:after="0" w:line="18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For example, in May 2018, we entered into an at-the-market equity offering sales agreement, or the Sales Agreement, with Stifel, Nicolaus &amp; Company, Incorporated, or Stifel, to sell our common shares having aggregate sales proceeds of up to $30.0 million, from time to time, through an “at the market” equity offering program under which Stifel will act as sales agent. Except for any obligations of our collaborators to make milestone payments under our agreements with them and additional borrowings under our Loan Agreement that may become available upon achievement of certain clinical and financial milestones,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right="2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commercializing any future products we develop independently that are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collaborators’ product candidates, and our future products, if any.</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2018 and 2017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5"/>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0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(8,219)</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(6,460)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For the three months ended March 31, 2018, net cash used in operating activities totaled $8.2 million, compared to $6.5 million for the same period in 2017. The increase in cash used in operating activities was primarily related to changes in working capital.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For the three months ended March 31, 2018, net cash provided by investing activities totaled $5.0 million, compared to $9.2 million for the same period in 2017. The change was driven by the maturity of marketable securities, net of purchases in the three months ended March 31, 2018 as compared to the maturity of marketable securities in the same period in 2017.</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For the three months ended March 31, 2018, net cash provided by financing activities did not change significantly as compared to the same period in 2017 and consisted exclusively of proceeds from the issuance of common shares from the exercise of stock options for both periods.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2017 were reported in our Annual Report on Form 10-K, filed with the SEC and the Canadian Securities Commissions on March 8,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2018, there have been no material changes from the contractual commitments previously disclosed in the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May 4, 2018, we had 14,172,188 common shares issued and outstanding and outstanding stock options to purchase an additional 2,790,872 common shares. In addition, we had 2,868,000 Series 1 Preferred Shares issued and outstanding. The Series 1 Preferred Shares are convertible into common shares on a one-for-one basis subject to the holder, together with its affiliates, beneficially owning no more than 9.99% of the total number of common shares issued and outstanding immediately after giving effect to such conversion, or the Beneficial Ownership Limitation. The holder may reset the Beneficial Ownership Limitation to a higher or lower number, not to exceed 19.99% of the total number of common shares issued and outstanding immediately after giving effect to such conversion, upon providing written notice to us which will be effective 61 days after delivery of such notice. The holders of the Series 1 Preferred Shares are entitled to vote together with the common shares on an as-converted basis and as a single class, subject in the case of each holder of the Series 1 Preferred Shares to the Beneficial Ownership Limitation. The Series 1 Preferred Shares may be “restricted securities” as such term is defined under applicable Canadian securities laws, as any Series 1 Preferred Shares that are ineligible to be converted into common shares due to the Beneficial Ownership Limitation, measured as of a given record date that applies for a shareholder meeting or ability to act by written consent, shall be deemed to be non-voting securities. For additional information regarding our Series 1 Preferred Shares, see note 9a to our consolidated financial statements included in Part I, Item 1 of this report.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February 2016, the FASB issued Accounting Standards Update, or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2" w:name="page23"/>
    <w:bookmarkEnd w:id="22"/>
    <w:p>
      <w:pPr>
        <w:ind w:right="6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a significant portion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March 31, 2018, we held cash and cash equivalents and marketable securities of $11.1 million denominated in Canadian dollars. A hypothetical 10% increase (decrease) in the value of the Canadian dollar would result in a foreign exchange gain (loss) of $1.1 million being recorded in the Statement of Operations on the translation of these Canadian dollar cash and cash equivalent balances into the U.S. dollar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An additional market risk we face is interest rate risk. We had cash and cash equivalents and marketable securities of $35.1 million as of March 31, 2018.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w:t>
      </w:r>
    </w:p>
    <w:p>
      <w:pPr>
        <w:spacing w:after="0" w:line="46"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In addition, we had an outstanding balance of $7.0 million under our Loan Agreement as of March 31, 2018, of which $1.4 million was due within 12 months. The interest rate on borrowings under the Loan Agreement with the Bank accrues at a floating per annum rate of 0.5% above the prime rate. A 10% change in interest rates during any of the periods presented would not have had a material impact on our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firstLine="526"/>
        <w:spacing w:after="0" w:line="257" w:lineRule="auto"/>
        <w:tabs>
          <w:tab w:leader="none" w:pos="7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spacing w:after="0" w:line="188" w:lineRule="exact"/>
        <w:rPr>
          <w:rFonts w:ascii="Arial" w:cs="Arial" w:eastAsia="Arial" w:hAnsi="Arial"/>
          <w:sz w:val="18"/>
          <w:szCs w:val="18"/>
          <w:color w:val="auto"/>
        </w:rPr>
      </w:pPr>
    </w:p>
    <w:p>
      <w:pPr>
        <w:ind w:firstLine="526"/>
        <w:spacing w:after="0" w:line="308" w:lineRule="auto"/>
        <w:tabs>
          <w:tab w:leader="none" w:pos="7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March 31, 2018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We are a clinical stage biotechnology company and, other than the years ended December 31, 2014 and 2013, we have recorded net losses in each annual reporting period since inception in 1996, and we do not expect to have sustained profitability for the foreseeable future. We had net losses of $3.8 million for the three months ended March 31, 2018 and an accumulated deficit of $177.1 million as of March 31, 2018, which were driven by expenses incurred in connection with our research and development programs and from general and administrative costs associated with our operations.</w:t>
      </w:r>
    </w:p>
    <w:p>
      <w:pPr>
        <w:spacing w:after="0" w:line="15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debt financing and, to a lesser extent, government funding. We have not generated any significant revenue from product sales and our product candidates will require substantial additional investment before they will provide us with any revenue.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milestone or other payments under our in-license or other agreements, including, without limitation, payments to Memorial University of Newfoundland, 1st Order Pharmaceuticals, Inc., an affiliate of Valeant Pharmaceuticals International, Inc. and other third parties;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4" w:name="page25"/>
    <w:bookmarkEnd w:id="24"/>
    <w:p>
      <w:pPr>
        <w:ind w:right="20"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have not generated any significant royalty revenue from product sales and may never become profitable on a U.S. GAAP basis.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We have not generated any significant royalty revenue from product sales, and do not otherwise anticipate generating revenue from product sales for the foreseeable future, if ever. If any of our product candidates fail in clinical trials or do not gain regulatory approval, or if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74"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2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future products, if any. If we are unable to achieve sufficient revenue to become profitable and remain so, our financial condition and operating results will be negatively impacted, and the market price of our common shares might be adversely impacted.</w:t>
      </w:r>
    </w:p>
    <w:p>
      <w:pPr>
        <w:spacing w:after="0" w:line="295"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300" w:firstLine="518"/>
        <w:spacing w:after="0" w:line="273" w:lineRule="auto"/>
        <w:rPr>
          <w:sz w:val="20"/>
          <w:szCs w:val="20"/>
          <w:color w:val="auto"/>
        </w:rPr>
      </w:pPr>
      <w:r>
        <w:rPr>
          <w:rFonts w:ascii="Arial" w:cs="Arial" w:eastAsia="Arial" w:hAnsi="Arial"/>
          <w:sz w:val="17"/>
          <w:szCs w:val="17"/>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potential milestone payments to third parties, manufacturing of product candidates and products approved for sale, conducting pre-clinical experiments and clinical trials and obtaining and maintaining regulatory approvals, as well as commercializing any products later approved for sale. During the three months ended March 31, 2018, we incurred approximately $5.6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right="2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commercializing any future products we develop independently that are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w:t>
      </w:r>
    </w:p>
    <w:p>
      <w:pPr>
        <w:spacing w:after="0" w:line="181"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right="140" w:firstLine="259"/>
        <w:spacing w:after="0" w:line="381" w:lineRule="auto"/>
        <w:rPr>
          <w:sz w:val="20"/>
          <w:szCs w:val="20"/>
          <w:color w:val="auto"/>
        </w:rPr>
      </w:pPr>
      <w:r>
        <w:rPr>
          <w:rFonts w:ascii="Arial" w:cs="Arial" w:eastAsia="Arial" w:hAnsi="Arial"/>
          <w:sz w:val="15"/>
          <w:szCs w:val="15"/>
          <w:b w:val="1"/>
          <w:bCs w:val="1"/>
          <w:i w:val="1"/>
          <w:iCs w:val="1"/>
          <w:color w:val="auto"/>
        </w:rPr>
        <w:t>We are party to a loan and security agreement that contains operating and financial covenants that may restrict our business and financing activities and we may be required to repay the outstanding indebtedness in an event of default, which could have a materially adverse effect on our business.</w:t>
      </w:r>
    </w:p>
    <w:p>
      <w:pPr>
        <w:spacing w:after="0" w:line="10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In December 2017, we entered into a loan and security agreement with Silicon Valley Bank providing for term loans to us with an aggregate principal amount of up to $15.0 million, in three tranches of $7.0 million, $5.0 million, and $3.0 million, respectively. The initial tranche of $7.0 million was funded in December 2017.</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Borrowings under this loan and security agreement are secured by substantially all of our assets except intellectual property and subject to certain other exceptions. The loan and security agreement restricts our ability, among other things, to:</w:t>
      </w:r>
    </w:p>
    <w:p>
      <w:pPr>
        <w:spacing w:after="0" w:line="62"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transfer or otherwise dispose of any of our business assets or property, subject to limited exceptions;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material changes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resulting in significant changes to the voting control of our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certain changes to our organizational 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or merge with other entities or acquire other entities;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 or create encumbrances on our assets;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p>
      <w:pPr>
        <w:ind w:left="1040" w:right="3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other than dividends paid solely in our common shares, or make distributions on and, in certain cases, repurchase our capital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repay subordinated indebtedness;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addition, we are required under our loan agreement and security agreement to comply with various affirmative covenants. The covenants and restrictions and obligations in our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7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If we are unable to generate sufficient cash available to repay our debt obligations when they become due and payable, either when they mature, or in the event of a default, we may not be able to obtain additional debt or equity financing on favorable terms, if at all, which may negatively impact our business operations and financial condition.</w:t>
      </w:r>
    </w:p>
    <w:p>
      <w:pPr>
        <w:spacing w:after="0" w:line="28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For example, we have a Sales Agreement in place with Stifel to sell up to $30.0 million of our common shares, from time to time, through an “at the market” equity offering program under which Stifel will act as sales agent. In December 2017, we entered into a loan and security agreement with Silicon Valley Bank, which is secured by substantially all of our assets except intellectual property, and requires us to comply with various affirmative and negative covenants. The incurrence of additional indebtedness would result in increased fixed payment obligations and, potentially, the imposition of additional restrictive covenants. Such additional covenants could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the market price of our common shares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2018, approximately 32% of our cash and cash equivalents and marketable securities was denominated in Canadian dollars.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a significant portion of our operating expenses have been in Canadian dollars and the majority of our revenue has been in U.S. dollars.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7" w:name="page28"/>
    <w:bookmarkEnd w:id="27"/>
    <w:p>
      <w:pPr>
        <w:ind w:firstLine="518"/>
        <w:spacing w:after="0" w:line="254" w:lineRule="auto"/>
        <w:rPr>
          <w:sz w:val="20"/>
          <w:szCs w:val="20"/>
          <w:color w:val="auto"/>
        </w:rPr>
      </w:pPr>
      <w:r>
        <w:rPr>
          <w:rFonts w:ascii="Arial" w:cs="Arial" w:eastAsia="Arial" w:hAnsi="Arial"/>
          <w:sz w:val="18"/>
          <w:szCs w:val="18"/>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market price of our common shares could be adversely affected.</w:t>
      </w:r>
    </w:p>
    <w:p>
      <w:pPr>
        <w:spacing w:after="0" w:line="19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aim to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market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clinical product candidates, which include XEN1101, XEN901 and GDC-0310, along with our pre-clinical compounds,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in the market price of our common shares could result.</w:t>
      </w:r>
    </w:p>
    <w:p>
      <w:pPr>
        <w:spacing w:after="0" w:line="296"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w:t>
      </w:r>
    </w:p>
    <w:p>
      <w:pPr>
        <w:spacing w:after="0" w:line="188"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the market price of our common shares may suffer.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p>
      <w:pPr>
        <w:ind w:right="40" w:firstLine="518"/>
        <w:spacing w:after="0" w:line="271" w:lineRule="auto"/>
        <w:rPr>
          <w:sz w:val="20"/>
          <w:szCs w:val="20"/>
          <w:color w:val="auto"/>
        </w:rPr>
      </w:pPr>
      <w:r>
        <w:rPr>
          <w:rFonts w:ascii="Arial" w:cs="Arial" w:eastAsia="Arial" w:hAnsi="Arial"/>
          <w:sz w:val="17"/>
          <w:szCs w:val="17"/>
          <w:color w:val="auto"/>
        </w:rPr>
        <w:t>If XEN901 or XEN1101 were approved for the treatment of epilepsy, we anticipate that they could potentially compete with each other and other anti-epileptic drugs, or AEDs, which typically can be categorized into four classes by AED mechanism: modulation of voltage-gated ion channels, enhancement of GABA-mediated inhibitory neurotransmission, reduction of glutamate-mediated excitatory neurotransmission, and SV2A modulation. Commonly used AEDs include phenytoin, levetiracetam, carbamazepine, clobazam, lamotrigine, valproate, oxcarbazepine, topiramate, lacosamide and perampanel. There are currently no FDA-approved treatments indicated for the early infantile epileptic encephalopathies EIEE7 or EIEE13. We are not aware of other companies that are developing selective Nav1.6 inhibitors for the treatment of epilepsy. There are other AEDs in development that could potentially compete with XEN1101 or XEN901, including products in development from UCB, Inc., Zogenix, Inc., GW Pharmaceuticals, Sage Therapeutics, Marinus Pharmaceuticals, Inc., SciFluor Lifesciences, Inc., Knopp Biosciences LLC, and Upsher-Smith Laboratories, Inc.</w:t>
      </w:r>
    </w:p>
    <w:p>
      <w:pPr>
        <w:spacing w:after="0" w:line="17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AstraZeneca PLC, Biogen Inc., Dainippon Sumitomo Co., Ltd., Eli Lilly and Company,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27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b w:val="1"/>
          <w:bCs w:val="1"/>
          <w:i w:val="1"/>
          <w:iCs w:val="1"/>
          <w:color w:val="auto"/>
        </w:rPr>
        <w:t>We have no marketed proprietary products and have not yet advanced a product candidate beyond Phase 2 clinical trials, which makes it difficult to assess our ability to develop our future product candidates and commercialize any resulting products independently.</w:t>
      </w:r>
    </w:p>
    <w:p>
      <w:pPr>
        <w:spacing w:after="0" w:line="3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have no experience in Phase 3 and later stage clinical development, and related regulatory requirements or the commercialization of products. We have not yet demonstrated our ability to independently and repeatedly conduct clinical development after Phase 2, obtain regulatory approval,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80"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acquiring or in-licensing product candidates in addition to XEN1101, XEN901, XEN007 and GDC-0310, our ability to expand our business and achieve our strategic objectives may be impaired.</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have built a product development pipeline by identifying product candidates either from our internal research efforts or though acquiring or in-licensing other product candidates. To date, our internal discovery efforts have yielded multiple development candidates, including GDC-0310 and XEN901. Both our internal discovery efforts and our assessment of potential acquisition or in-licensing opportunities require substantial technical, financial and human resources, regardless of whether we identify any viable product candidates.</w:t>
      </w:r>
    </w:p>
    <w:p>
      <w:pPr>
        <w:spacing w:after="0" w:line="187"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If we are unable to identify additional product candidates suitable for clinical development and commercialization either from our internal research efforts or though acquiring or in-licensing other product candidates or technologies, we may not be able to obtain product revenue in future periods, which likely would result in significant harm to our financial position and adversely impact the market price of our common shares.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9" w:name="page30"/>
    <w:bookmarkEnd w:id="29"/>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Our approach to drug discovery may not reproducibly or cost-effectively result in the discovery of product candidates and development of commercially viable products that safely and effectively treat human disease.</w:t>
      </w:r>
    </w:p>
    <w:p>
      <w:pPr>
        <w:spacing w:after="0" w:line="6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drug discovery efforts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5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our discovery activities fail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89"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could experience difficulties attracting and retaining qualified employees as competition for qualified personnel in the biotechnology and pharmaceutical field is intense. We are highly dependent upon our senior management, particularly Dr. Simon Pimstone, our Chief Executive Officer, and Mr. Ian Mortimer, our President and Chief Financial Officer, as well as other employees. The loss of services of any of these individuals or one or more of our other members of senior management could materially delay or even prevent the successful development of our product candidates.</w:t>
      </w:r>
    </w:p>
    <w:p>
      <w:pPr>
        <w:spacing w:after="0" w:line="17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regulators, provide accurate information to the FDA, EMA and other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 or patients identified for clinical trials.</w:t>
      </w:r>
    </w:p>
    <w:p>
      <w:pPr>
        <w:spacing w:after="0" w:line="178"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lawsuits stemming from a failure to comply with these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strategy involves continued development and, where development is successful, commercialization of select product candidates for orphan and niche indications.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Dr. Simon Pimstone devotes a small amount of his time to clinical work outside of his duties at our company, conducting, generally, two to three outpatient clinics per month on average.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Computer system, network or telecommunications failures due to events such as damage from malware, unauthorized access, terrorism, war, or natural disasters could interrupt our internal or partner operations. For example, the loss of pre-clinical trial data, data from completed or ongoing clinical trials for our product candidates or other confidential information could result in delays in our regulatory filings and development efforts, significantly increase our costs and result in other adverse impacts to our business. To the extent that any disruption or cybersecurity breach were to result in a loss of or damage to our data, or inappropriate disclosure of confidential or proprietary information, we could incur liability and other remediation costs, and the development of our product candidates could be delayed. While we have implemented security measures and, to date, have not detected a cybersecurity breach of our systems nor experienced a material system failure, our internal computer systems and the external systems and services used by our contractors, consultants, directors and partners remain potentially vulnerable to damage from these events.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we engage in significant cross-border activities, we will be subject to risks related to international operations, including:</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initiating clinical trials and maintaining approval of drugs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2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1" w:name="page32"/>
    <w:bookmarkEnd w:id="31"/>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price of our common shares and the composition of our gross assets, we believe that we may be deemed a PFIC for the taxable year ended December 31, 2017, and we could be a PFIC for the calendar year ending December 31, 2018 or in subsequent years. Based on the composition of our gross income and gross assets, we do not believe that we were a PFIC for the taxable years ended December 31, 2016 and 2015. Our status as a PFIC is a fact-intensive determination made on an annual basis, and we cannot provide any assurance regarding our PFIC status for the taxable year ending December 31, 2018 or for future taxable years.</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If we are a PFIC for any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w:t>
      </w:r>
    </w:p>
    <w:p>
      <w:pPr>
        <w:spacing w:after="0" w:line="18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common shares of ordinary earnings and net capital gains for each year for which we may be a PFIC. U.S. holders should consult their own tax advisors with respect to making this election and the related reporting requirements.</w:t>
      </w:r>
    </w:p>
    <w:p>
      <w:pPr>
        <w:spacing w:after="0" w:line="165"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In addition, our PFIC status may deter certain U.S. investors from purchasing our common shares, which could have an adverse impact on the market price of our common shares.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become subject to income tax in jurisdictions in which we are organized or operate, which would reduce our future earnings.</w:t>
      </w:r>
    </w:p>
    <w:p>
      <w:pPr>
        <w:spacing w:after="0" w:line="12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and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2" w:name="page33"/>
    <w:bookmarkEnd w:id="32"/>
    <w:p>
      <w:pPr>
        <w:ind w:left="1040" w:right="3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47" w:right="339" w:bottom="1440" w:gutter="0" w:footer="0" w:header="0"/>
        </w:sectPr>
      </w:pPr>
    </w:p>
    <w:bookmarkStart w:id="33" w:name="page34"/>
    <w:bookmarkEnd w:id="33"/>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8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undertake and complete additional pre-clinical studies to generate data required to support the continued clinical development of a product candidate or submission of an NDA;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add new or additional clinical trial sites;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period during which we may have the exclusive right to commercialize our products under patent protection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4" w:name="page35"/>
    <w:bookmarkEnd w:id="34"/>
    <w:p>
      <w:pPr>
        <w:ind w:firstLine="518"/>
        <w:spacing w:after="0" w:line="264" w:lineRule="auto"/>
        <w:rPr>
          <w:sz w:val="20"/>
          <w:szCs w:val="20"/>
          <w:color w:val="auto"/>
        </w:rPr>
      </w:pPr>
      <w:r>
        <w:rPr>
          <w:rFonts w:ascii="Arial" w:cs="Arial" w:eastAsia="Arial" w:hAnsi="Arial"/>
          <w:sz w:val="18"/>
          <w:szCs w:val="18"/>
          <w:color w:val="auto"/>
        </w:rPr>
        <w:t>Our product candidates – including XEN1101 and XEN901 for the treatment of epilepsy and GDC-0310 for the treatment of pain –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89"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case of some of our product candidates, we are seeking to develop treatments for diseases for which there is relatively limited clinical experience, and our clinical trials may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Clinical trials for pain, the indication for which GDC-0310 is being developed, are inherently difficult to conduct. The primary measure of pain is based on subjective patient feedback, which can be influenced by factors outside of our control and can vary widely from day to day for a particular patient, from patient to patient, and from site to site within a clinical study. The placebo effect also tends to have a more significant impact in pain trials.</w:t>
      </w:r>
    </w:p>
    <w:p>
      <w:pPr>
        <w:spacing w:after="0" w:line="189"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95"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limited patient populations in orphan and niche indications, such as early infantile epileptic encephalopathies, or EIEEs, present significant recruitment challenges for clinical trials and a full understanding of the size of these populations is still relatively unknown.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product candidates or termination of the clinical studies altogether.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5" w:name="page36"/>
    <w:bookmarkEnd w:id="35"/>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XEN007, a drug we are evaluating for the potential treatment of hemiplegic migraine, has received orphan drug designation from the FDA. If we seek orphan drug designations for other indications or in other jurisdictions, we may fail to receive such orphan drug designations and, even if we succeed, such orphan drug designations may fail to result in or maintain orphan drug exclusivity upon approval, which would harm our competitive position.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8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Sales of our approved products, if any, will be subject to the regulatory requirements governing marketing approval in the countries in which we obtain regulatory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or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6" w:name="page37"/>
    <w:bookmarkEnd w:id="36"/>
    <w:p>
      <w:pPr>
        <w:ind w:right="40" w:firstLine="518"/>
        <w:spacing w:after="0" w:line="279" w:lineRule="auto"/>
        <w:rPr>
          <w:sz w:val="20"/>
          <w:szCs w:val="20"/>
          <w:color w:val="auto"/>
        </w:rPr>
      </w:pPr>
      <w:r>
        <w:rPr>
          <w:rFonts w:ascii="Arial" w:cs="Arial" w:eastAsia="Arial" w:hAnsi="Arial"/>
          <w:sz w:val="17"/>
          <w:szCs w:val="17"/>
          <w:color w:val="auto"/>
        </w:rPr>
        <w:t>Even if a product is approved, the FDA, the EMA or another applicable regulatory authority,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7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Regulatory authorities in countries outside of the U.S. and the EU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4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2" w:lineRule="exact"/>
        <w:rPr>
          <w:sz w:val="20"/>
          <w:szCs w:val="20"/>
          <w:color w:val="auto"/>
        </w:rPr>
      </w:pPr>
    </w:p>
    <w:p>
      <w:pPr>
        <w:ind w:right="200" w:firstLine="259"/>
        <w:spacing w:after="0" w:line="375" w:lineRule="auto"/>
        <w:rPr>
          <w:sz w:val="20"/>
          <w:szCs w:val="20"/>
          <w:color w:val="auto"/>
        </w:rPr>
      </w:pPr>
      <w:r>
        <w:rPr>
          <w:rFonts w:ascii="Arial" w:cs="Arial" w:eastAsia="Arial" w:hAnsi="Arial"/>
          <w:sz w:val="15"/>
          <w:szCs w:val="15"/>
          <w:b w:val="1"/>
          <w:bCs w:val="1"/>
          <w:i w:val="1"/>
          <w:iCs w:val="1"/>
          <w:color w:val="auto"/>
        </w:rPr>
        <w:t>We work with outside scientists and their institutions in executing our business strategy of developing product candidates. These scientists may have other commitments or conflicts of interest, which could limit our access to their expertise and harm our ability to develop viable product candidates.</w:t>
      </w:r>
    </w:p>
    <w:p>
      <w:pPr>
        <w:spacing w:after="0" w:line="1" w:lineRule="exact"/>
        <w:rPr>
          <w:sz w:val="20"/>
          <w:szCs w:val="20"/>
          <w:color w:val="auto"/>
        </w:rPr>
      </w:pPr>
    </w:p>
    <w:p>
      <w:pPr>
        <w:jc w:val="both"/>
        <w:ind w:right="220" w:firstLine="518"/>
        <w:spacing w:after="0" w:line="288" w:lineRule="auto"/>
        <w:rPr>
          <w:sz w:val="20"/>
          <w:szCs w:val="20"/>
          <w:color w:val="auto"/>
        </w:rPr>
      </w:pPr>
      <w:r>
        <w:rPr>
          <w:rFonts w:ascii="Arial" w:cs="Arial" w:eastAsia="Arial" w:hAnsi="Arial"/>
          <w:sz w:val="16"/>
          <w:szCs w:val="16"/>
          <w:color w:val="auto"/>
        </w:rPr>
        <w:t>We work with scientific advisors and collaborators at academic institutions and other research institutions. 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w:t>
      </w:r>
    </w:p>
    <w:p>
      <w:pPr>
        <w:jc w:val="both"/>
        <w:ind w:right="260"/>
        <w:spacing w:after="0" w:line="302" w:lineRule="auto"/>
        <w:rPr>
          <w:sz w:val="20"/>
          <w:szCs w:val="20"/>
          <w:color w:val="auto"/>
        </w:rPr>
      </w:pPr>
      <w:r>
        <w:rPr>
          <w:rFonts w:ascii="Arial" w:cs="Arial" w:eastAsia="Arial" w:hAnsi="Arial"/>
          <w:sz w:val="16"/>
          <w:szCs w:val="16"/>
          <w:color w:val="auto"/>
        </w:rPr>
        <w:t>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w:t>
      </w:r>
    </w:p>
    <w:p>
      <w:pPr>
        <w:spacing w:after="0" w:line="14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qualified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an inadequate numbers of physicians to prescribe any future products;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7" w:name="page38"/>
    <w:bookmarkEnd w:id="37"/>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intend to focus some of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66"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8" w:name="page39"/>
    <w:bookmarkEnd w:id="38"/>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target patient populations in orphan and niche indications, such as EIEE7 and EIEE13,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301"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example, in 2010, the Patient Protection and Affordable Care Act, as amended by the Health Care and Education Reconciliation Act of 2010, collectively, the PPACA, was enacted and includes measures that have significantly changed, or will significantly change, the way healthcare is financed by both governmental and private insurers.</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Trump administration and Congress may also attempt broad sweeping changes to the current health care laws, including PPACA. The impact of any such changes on us and the pharmaceutical industry as a whole is currently unknown. Any changes to the PPACA are likely to have an impact on our results of operations and may have a material adverse effect on our result of operations.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is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We have no control over the resources, time and effort that our collaborators may devote to our programs and limited access to information regarding or resulting from such programs. We are dependent on our collaborators, including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0" w:name="page41"/>
    <w:bookmarkEnd w:id="40"/>
    <w:p>
      <w:pPr>
        <w:ind w:right="6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significant in-house manufacturing experience or personnel. We rely on our collaborators to manufacture product candidates licensed to them or work with multiple third-party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1" w:name="page42"/>
    <w:bookmarkEnd w:id="41"/>
    <w:p>
      <w:pPr>
        <w:ind w:right="60" w:firstLine="518"/>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regulatory agencies. They are also subject to periodic unannounced inspections by the FDA, EMA and other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product seizure or a voluntary withdrawal of the drug from the market. Any failure by our third-party manufacturers to comply with cGMP or any failure to deliver sufficient quantities of product candidates in a timely manner, could lead to a delay in, or failure to obtain, regulatory approval of any of our product candidates.</w:t>
      </w:r>
    </w:p>
    <w:p>
      <w:pPr>
        <w:spacing w:after="0" w:line="28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trial subjects than if we conducted these trials with our own personnel.</w:t>
      </w:r>
    </w:p>
    <w:p>
      <w:pPr>
        <w:spacing w:after="0" w:line="16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EMA or another regulatory authority may require us to perform additional clinical trials before approving our marketing applications. Upon inspection, the FDA, EMA or another regulatory authority could determine that any of our clinical trials fail or have failed to comply with applicable cGCP regulations. In addition, our clinical trials must be conducted with product produced under the cGMP regulations enforced by the FDA, EMA and other regulatory authorities,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69"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2" w:name="page43"/>
    <w:bookmarkEnd w:id="42"/>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out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left="1040" w:right="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9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4" w:name="page45"/>
    <w:bookmarkEnd w:id="44"/>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some of these rights relating to the patent portfolios for GDC-0310 are held by Genentech.</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96"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market price of our common shares.</w:t>
      </w:r>
    </w:p>
    <w:p>
      <w:pPr>
        <w:spacing w:after="0" w:line="266"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5" w:name="page46"/>
    <w:bookmarkEnd w:id="45"/>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6" w:name="page47"/>
    <w:bookmarkEnd w:id="46"/>
    <w:p>
      <w:pPr>
        <w:ind w:right="40" w:firstLine="518"/>
        <w:spacing w:after="0" w:line="257" w:lineRule="auto"/>
        <w:rPr>
          <w:sz w:val="20"/>
          <w:szCs w:val="20"/>
          <w:color w:val="auto"/>
        </w:rPr>
      </w:pPr>
      <w:r>
        <w:rPr>
          <w:rFonts w:ascii="Arial" w:cs="Arial" w:eastAsia="Arial" w:hAnsi="Arial"/>
          <w:sz w:val="18"/>
          <w:szCs w:val="18"/>
          <w:color w:val="auto"/>
        </w:rPr>
        <w:t>If Genentech, Merck or other collaborators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78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Under our existing license and other agreements, including those associated with our XEN1101 program,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96"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b w:val="1"/>
          <w:bCs w:val="1"/>
          <w:i w:val="1"/>
          <w:iCs w:val="1"/>
          <w:color w:val="auto"/>
        </w:rPr>
        <w:t>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86"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47" w:name="page48"/>
    <w:bookmarkEnd w:id="47"/>
    <w:p>
      <w:pPr>
        <w:ind w:right="2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the market price of our common shares.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5" w:right="359" w:bottom="1440" w:gutter="0" w:footer="0" w:header="0"/>
        </w:sectPr>
      </w:pPr>
    </w:p>
    <w:bookmarkStart w:id="48" w:name="page49"/>
    <w:bookmarkEnd w:id="48"/>
    <w:p>
      <w:pPr>
        <w:ind w:right="80" w:firstLine="518"/>
        <w:spacing w:after="0" w:line="291" w:lineRule="auto"/>
        <w:rPr>
          <w:sz w:val="20"/>
          <w:szCs w:val="20"/>
          <w:color w:val="auto"/>
        </w:rPr>
      </w:pPr>
      <w:r>
        <w:rPr>
          <w:rFonts w:ascii="Arial" w:cs="Arial" w:eastAsia="Arial" w:hAnsi="Arial"/>
          <w:sz w:val="16"/>
          <w:szCs w:val="16"/>
          <w:color w:val="auto"/>
        </w:rPr>
        <w:t>We currently carry product liability insurance of $10,000,000 CAD per occurrence and $10,000,000 CAD aggregate limit. We believe our product liability insurance coverage is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w:t>
      </w:r>
    </w:p>
    <w:p>
      <w:pPr>
        <w:spacing w:after="0" w:line="16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Patients with certain of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b w:val="1"/>
          <w:bCs w:val="1"/>
          <w:i w:val="1"/>
          <w:iCs w:val="1"/>
          <w:color w:val="auto"/>
        </w:rPr>
        <w:t>Our future relationships with customers and third-party payers, if any,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9" w:name="page50"/>
    <w:bookmarkEnd w:id="49"/>
    <w:p>
      <w:pPr>
        <w:ind w:left="1040" w:right="60" w:hanging="519"/>
        <w:spacing w:after="0" w:line="271"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shares may be volatile, and purchasers of our common shares could incur substantial losses.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73" w:lineRule="exact"/>
        <w:rPr>
          <w:sz w:val="20"/>
          <w:szCs w:val="20"/>
          <w:color w:val="auto"/>
        </w:rPr>
      </w:pPr>
    </w:p>
    <w:p>
      <w:pPr>
        <w:ind w:left="1040" w:right="80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0" w:name="page51"/>
    <w:bookmarkEnd w:id="50"/>
    <w:p>
      <w:pPr>
        <w:ind w:left="1040" w:right="4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comply with covenants or make required payments under loan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the market price of our common shares to fall.</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in the future, we may issue additional common shares, preferred shares, or other equity or debt securities convertible into common shares in connection with a financing, acquisition, litigation settlement, employee arrangements, or otherwise. Any such issuance, including any issuances pursuant to our “at the market” equity offering program under our Sales Agreement with Stifel, could result in substantial dilution to our existing shareholders and could cause the market price of our common shares to decline.</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sectPr>
      </w:pPr>
    </w:p>
    <w:bookmarkStart w:id="51" w:name="page52"/>
    <w:bookmarkEnd w:id="51"/>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7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shares that carry the right to vote at a meeting of shareholders can requisition a special meeting of shareholders, whereas such right does not exist under the DGCL.</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2" w:name="page53"/>
    <w:bookmarkEnd w:id="52"/>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the market price of our common shares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8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3" w:name="page54"/>
    <w:bookmarkEnd w:id="53"/>
    <w:p>
      <w:pPr>
        <w:ind w:right="14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market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market price of our common shares.</w:t>
      </w:r>
    </w:p>
    <w:p>
      <w:pPr>
        <w:spacing w:after="0" w:line="17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86" w:lineRule="exact"/>
        <w:rPr>
          <w:sz w:val="20"/>
          <w:szCs w:val="20"/>
          <w:color w:val="auto"/>
        </w:rPr>
      </w:pPr>
    </w:p>
    <w:p>
      <w:pPr>
        <w:ind w:right="380" w:firstLine="259"/>
        <w:spacing w:after="0" w:line="308" w:lineRule="auto"/>
        <w:rPr>
          <w:sz w:val="20"/>
          <w:szCs w:val="20"/>
          <w:color w:val="auto"/>
        </w:rPr>
      </w:pPr>
      <w:r>
        <w:rPr>
          <w:rFonts w:ascii="Arial" w:cs="Arial" w:eastAsia="Arial" w:hAnsi="Arial"/>
          <w:sz w:val="17"/>
          <w:szCs w:val="17"/>
          <w:b w:val="1"/>
          <w:bCs w:val="1"/>
          <w:i w:val="1"/>
          <w:iCs w:val="1"/>
          <w:color w:val="auto"/>
        </w:rPr>
        <w:t>Future sales and issuances of our common shares, preferred shares, or rights to purchase common shares, including warrants or pursuant to our equity incentive plans, could cause you to incur dilution and could cause the market price of our common shares to fall.</w:t>
      </w:r>
    </w:p>
    <w:p>
      <w:pPr>
        <w:spacing w:after="0" w:line="3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of March 31, 2018, stock options to purchase 2,795,941 of our common shares with a weighted-average exercise price of $6.98 per common share were outstanding and 2,868,000 of our Series 1 Preferred Shares were outstanding, which are convertible into our common shares on a one-for-one basis at the option of the holder, subject to certain ownership limitations following a requested conversion. The exercise of any of these stock options or conversion of the Series 1 Preferred Shares would result in dilution to current shareholders. Further, because we will need to raise additional capital to fund our clinical development programs, we may in the future sell substantial amounts of common shares, preferred shares, or other securities convertible into or exchangeable for common shares. 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may have an adverse effect on the market price of our common shares.</w:t>
      </w:r>
    </w:p>
    <w:p>
      <w:pPr>
        <w:spacing w:after="0" w:line="179"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Any future issuances of common shares, preferred shares, or securities such as warrants, notes, or preferred shares that are convertible into, exercisable or exchangeable for, our common shares, would have a dilutive effect on the voting and economic interests of our existing shareholders.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market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the market price of our common shares and the trading volume of our common shares could decline.</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trading market for our common shares is influenced by the research and reports that securities or industry analysts publish about us or our business. If too few securities or industry analysts cover our company, the market price of our common shares would likely be negatively impacted. If securities and industry analysts who cover us downgrade our common shares or publish inaccurate or unfavorable research about our business, the market price of our common shares would likely decline. If one or more of these analysts cease coverage of our company or fail to publish reports on us regularly, demand for our common shares could decrease, which might cause the market price of our common shares and the trading volume of our common shares to decline.</w:t>
      </w:r>
    </w:p>
    <w:p>
      <w:pPr>
        <w:spacing w:after="0" w:line="301" w:lineRule="exact"/>
        <w:rPr>
          <w:sz w:val="20"/>
          <w:szCs w:val="20"/>
          <w:color w:val="auto"/>
        </w:rPr>
      </w:pPr>
    </w:p>
    <w:p>
      <w:pPr>
        <w:ind w:right="260" w:firstLine="259"/>
        <w:spacing w:after="0" w:line="342" w:lineRule="auto"/>
        <w:rPr>
          <w:sz w:val="20"/>
          <w:szCs w:val="20"/>
          <w:color w:val="auto"/>
        </w:rPr>
      </w:pPr>
      <w:r>
        <w:rPr>
          <w:rFonts w:ascii="Arial" w:cs="Arial" w:eastAsia="Arial" w:hAnsi="Arial"/>
          <w:sz w:val="16"/>
          <w:szCs w:val="16"/>
          <w:b w:val="1"/>
          <w:bCs w:val="1"/>
          <w:i w:val="1"/>
          <w:iCs w:val="1"/>
          <w:color w:val="auto"/>
        </w:rPr>
        <w:t>Our management team has broad discretion as to the use of the net proceeds from public or private equity or debt financings and the investment of these proceeds may not yield a favorable return. We may invest the proceeds in ways with which our shareholders disagree.</w:t>
      </w:r>
    </w:p>
    <w:p>
      <w:pPr>
        <w:spacing w:after="0" w:line="16"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broad discretion in the application of the net proceeds to us from our December 2017 debt financing and September 2016 public equity offering, as well as any net proceeds we receive pursuant to our “at the market” equity offering program with Stifel.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market price of our common shares to decline. In addition, until the net proceeds are used, they may be placed in investments that do not produce significant income or that may lose value.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80" w:type="dxa"/>
            <w:vAlign w:val="bottom"/>
            <w:gridSpan w:val="10"/>
            <w:vMerge w:val="restart"/>
          </w:tcPr>
          <w:p>
            <w:pPr>
              <w:ind w:left="300"/>
              <w:spacing w:after="0"/>
              <w:rPr>
                <w:sz w:val="20"/>
                <w:szCs w:val="20"/>
                <w:color w:val="auto"/>
              </w:rPr>
            </w:pPr>
            <w:r>
              <w:rPr>
                <w:rFonts w:ascii="Arial" w:cs="Arial" w:eastAsia="Arial" w:hAnsi="Arial"/>
                <w:sz w:val="14"/>
                <w:szCs w:val="14"/>
                <w:b w:val="1"/>
                <w:bCs w:val="1"/>
                <w:color w:val="auto"/>
              </w:rPr>
              <w:t>Description of Document</w:t>
            </w:r>
          </w:p>
        </w:tc>
        <w:tc>
          <w:tcPr>
            <w:tcW w:w="80" w:type="dxa"/>
            <w:vAlign w:val="bottom"/>
            <w:vMerge w:val="restart"/>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4"/>
              </w:rPr>
              <w:t>Incorporated by Reference</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Number</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gridSpan w:val="10"/>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60" w:type="dxa"/>
            <w:vAlign w:val="bottom"/>
          </w:tcPr>
          <w:p>
            <w:pPr>
              <w:spacing w:after="0"/>
              <w:rPr>
                <w:sz w:val="12"/>
                <w:szCs w:val="12"/>
                <w:color w:val="auto"/>
              </w:rPr>
            </w:pPr>
          </w:p>
        </w:tc>
        <w:tc>
          <w:tcPr>
            <w:tcW w:w="9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91"/>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3.1A</w:t>
            </w:r>
          </w:p>
        </w:tc>
        <w:tc>
          <w:tcPr>
            <w:tcW w:w="100" w:type="dxa"/>
            <w:vAlign w:val="bottom"/>
          </w:tcPr>
          <w:p>
            <w:pPr>
              <w:spacing w:after="0"/>
              <w:rPr>
                <w:sz w:val="24"/>
                <w:szCs w:val="24"/>
                <w:color w:val="auto"/>
              </w:rPr>
            </w:pPr>
          </w:p>
        </w:tc>
        <w:tc>
          <w:tcPr>
            <w:tcW w:w="4900" w:type="dxa"/>
            <w:vAlign w:val="bottom"/>
            <w:tcBorders>
              <w:bottom w:val="single" w:sz="8" w:color="0000EE"/>
            </w:tcBorders>
            <w:gridSpan w:val="8"/>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Articles of Amendment to the Articles of the Company, creating the</w:t>
              </w:r>
            </w:hyperlink>
          </w:p>
        </w:tc>
        <w:tc>
          <w:tcPr>
            <w:tcW w:w="500" w:type="dxa"/>
            <w:vAlign w:val="bottom"/>
            <w:gridSpan w:val="5"/>
          </w:tcPr>
          <w:p>
            <w:pPr>
              <w:spacing w:after="0"/>
              <w:rPr>
                <w:sz w:val="24"/>
                <w:szCs w:val="2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0" w:type="dxa"/>
            <w:vAlign w:val="bottom"/>
            <w:gridSpan w:val="13"/>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Series 1 Preferred Shares.</w:t>
              </w:r>
            </w:hyperlink>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ind w:lef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Borders>
              <w:bottom w:val="single" w:sz="8" w:color="0000EE"/>
            </w:tcBorders>
            <w:gridSpan w:val="4"/>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Specimen Series 1 Preferred Share Certificate.</w:t>
              </w:r>
            </w:hyperlink>
          </w:p>
        </w:tc>
        <w:tc>
          <w:tcPr>
            <w:tcW w:w="2040" w:type="dxa"/>
            <w:vAlign w:val="bottom"/>
            <w:gridSpan w:val="9"/>
          </w:tcPr>
          <w:p>
            <w:pPr>
              <w:spacing w:after="0"/>
              <w:rPr>
                <w:sz w:val="24"/>
                <w:szCs w:val="2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c>
          <w:tcPr>
            <w:tcW w:w="0" w:type="dxa"/>
            <w:vAlign w:val="bottom"/>
          </w:tcPr>
          <w:p>
            <w:pPr>
              <w:spacing w:after="0"/>
              <w:rPr>
                <w:sz w:val="1"/>
                <w:szCs w:val="1"/>
                <w:color w:val="auto"/>
              </w:rPr>
            </w:pPr>
          </w:p>
        </w:tc>
      </w:tr>
      <w:tr>
        <w:trPr>
          <w:trHeight w:val="31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Termination Agreement by and among Xenon Pharmaceuticals Inc.,</w:t>
              </w:r>
            </w:hyperlink>
          </w:p>
        </w:tc>
        <w:tc>
          <w:tcPr>
            <w:tcW w:w="480" w:type="dxa"/>
            <w:vAlign w:val="bottom"/>
            <w:gridSpan w:val="4"/>
          </w:tcPr>
          <w:p>
            <w:pPr>
              <w:spacing w:after="0"/>
              <w:rPr>
                <w:sz w:val="24"/>
                <w:szCs w:val="2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March 7, 2018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Teva Pharmaceuticals International GmbH and Teva Canada Limited</w:t>
              </w:r>
            </w:hyperlink>
          </w:p>
        </w:tc>
        <w:tc>
          <w:tcPr>
            <w:tcW w:w="42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dated March 7, 2018.</w:t>
              </w:r>
            </w:hyperlink>
          </w:p>
        </w:tc>
        <w:tc>
          <w:tcPr>
            <w:tcW w:w="386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tcPr>
          <w:p>
            <w:pPr>
              <w:ind w:left="1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3"/>
          </w:tcPr>
          <w:p>
            <w:pPr>
              <w:spacing w:after="0"/>
              <w:rPr>
                <w:rFonts w:ascii="Arial" w:cs="Arial" w:eastAsia="Arial" w:hAnsi="Arial"/>
                <w:sz w:val="18"/>
                <w:szCs w:val="18"/>
                <w:color w:val="0000EE"/>
              </w:rPr>
            </w:pPr>
            <w:hyperlink r:id="rId82">
              <w:r>
                <w:rPr>
                  <w:rFonts w:ascii="Arial" w:cs="Arial" w:eastAsia="Arial" w:hAnsi="Arial"/>
                  <w:sz w:val="18"/>
                  <w:szCs w:val="18"/>
                  <w:color w:val="0000EE"/>
                </w:rPr>
                <w:t>Exchange Agreement, dated March 23, 2018, by and among the</w:t>
              </w:r>
            </w:hyperlink>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Company and the shareholders listed in Schedule B thereto.</w:t>
              </w:r>
            </w:hyperlink>
          </w:p>
        </w:tc>
        <w:tc>
          <w:tcPr>
            <w:tcW w:w="80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20" w:type="dxa"/>
            <w:vAlign w:val="bottom"/>
          </w:tcPr>
          <w:p>
            <w:pPr>
              <w:ind w:lef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Certification of Chief Executive Officer pursuant to Rule 13a-14(a).</w:t>
              </w:r>
            </w:hyperlink>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24"/>
                <w:szCs w:val="24"/>
                <w:color w:val="auto"/>
              </w:rPr>
            </w:pPr>
          </w:p>
        </w:tc>
        <w:tc>
          <w:tcPr>
            <w:tcW w:w="50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20" w:type="dxa"/>
            <w:vAlign w:val="bottom"/>
          </w:tcPr>
          <w:p>
            <w:pPr>
              <w:ind w:lef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13"/>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Certification of Chief Executive Officer pursuant to 18 U.S.C Section</w:t>
              </w:r>
            </w:hyperlink>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1350.</w:t>
              </w:r>
            </w:hyperlink>
          </w:p>
        </w:tc>
        <w:tc>
          <w:tcPr>
            <w:tcW w:w="1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420" w:type="dxa"/>
            <w:vAlign w:val="bottom"/>
          </w:tcPr>
          <w:p>
            <w:pPr>
              <w:ind w:lef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Chief Financial Officer pursuant to 18 U.S.C Section</w:t>
              </w:r>
            </w:hyperlink>
          </w:p>
        </w:tc>
        <w:tc>
          <w:tcPr>
            <w:tcW w:w="42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1350.</w:t>
              </w:r>
            </w:hyperlink>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09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98" w:lineRule="exact"/>
        <w:rPr>
          <w:sz w:val="20"/>
          <w:szCs w:val="20"/>
          <w:color w:val="auto"/>
        </w:rPr>
      </w:pPr>
    </w:p>
    <w:p>
      <w:pPr>
        <w:ind w:left="520" w:right="680" w:hanging="512"/>
        <w:spacing w:after="0" w:line="258"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520" w:right="40" w:hanging="512"/>
        <w:spacing w:after="0" w:line="259"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6" w:name="page57"/>
    <w:bookmarkEnd w:id="5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00"/>
          </w:cols>
          <w:pgMar w:left="240" w:top="135" w:right="8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33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333"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tabs>
          <w:tab w:leader="none" w:pos="5760" w:val="left"/>
          <w:tab w:leader="none" w:pos="816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March 31, 2018,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187" w:lineRule="exact"/>
        <w:rPr>
          <w:sz w:val="20"/>
          <w:szCs w:val="20"/>
          <w:color w:val="auto"/>
        </w:rPr>
      </w:pPr>
    </w:p>
    <w:p>
      <w:pPr>
        <w:ind w:left="720" w:hanging="361"/>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March 31, 2018,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Accounting Officer) </w:t>
      </w:r>
      <w:r>
        <w:rPr>
          <w:rFonts w:ascii="Arial" w:cs="Arial" w:eastAsia="Arial" w:hAnsi="Arial"/>
          <w:sz w:val="18"/>
          <w:szCs w:val="18"/>
          <w:color w:val="auto"/>
        </w:rPr>
        <w:t>of the Company, certify, pursuant to 18 U.S.C. Section 1350, as adopted pursuant to Section 906 of the Sarbanes-Oxley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2002, that to my knowledge:</w:t>
      </w:r>
    </w:p>
    <w:p>
      <w:pPr>
        <w:spacing w:after="0" w:line="187" w:lineRule="exact"/>
        <w:rPr>
          <w:sz w:val="20"/>
          <w:szCs w:val="20"/>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60"/>
        <w:spacing w:after="0"/>
        <w:tabs>
          <w:tab w:leader="none" w:pos="5760" w:val="left"/>
          <w:tab w:leader="none" w:pos="816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6"/>
    </w:lvl>
    <w:lvl w:ilvl="1">
      <w:lvlJc w:val="left"/>
      <w:lvlText w:val="•"/>
      <w:numFmt w:val="bullet"/>
      <w:start w:val="1"/>
    </w:lvl>
  </w:abstractNum>
  <w:abstractNum w:abstractNumId="6">
    <w:nsid w:val="2901D82"/>
    <w:multiLevelType w:val="hybridMultilevel"/>
    <w:lvl w:ilvl="0">
      <w:lvlJc w:val="left"/>
      <w:lvlText w:val="%1."/>
      <w:numFmt w:val="decimal"/>
      <w:start w:val="8"/>
    </w:lvl>
  </w:abstractNum>
  <w:abstractNum w:abstractNumId="7">
    <w:nsid w:val="3A95F874"/>
    <w:multiLevelType w:val="hybridMultilevel"/>
    <w:lvl w:ilvl="0">
      <w:lvlJc w:val="left"/>
      <w:lvlText w:val="%1."/>
      <w:numFmt w:val="decimal"/>
      <w:start w:val="9"/>
    </w:lvl>
    <w:lvl w:ilvl="1">
      <w:lvlJc w:val="left"/>
      <w:lvlText w:val="(%2)"/>
      <w:numFmt w:val="lowerLetter"/>
      <w:start w:val="1"/>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0"/>
    </w:lvl>
    <w:lvl w:ilvl="1">
      <w:lvlJc w:val="left"/>
      <w:lvlText w:val="(%2)"/>
      <w:numFmt w:val="lowerLetter"/>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79" Type="http://schemas.openxmlformats.org/officeDocument/2006/relationships/hyperlink" Target="http://www.sec.gov/Archives/edgar/data/1582313/000156459018006921/xene-ex31_8.htm" TargetMode="External"/><Relationship Id="rId80" Type="http://schemas.openxmlformats.org/officeDocument/2006/relationships/hyperlink" Target="http://www.sec.gov/Archives/edgar/data/1582313/000156459018006921/xene-ex41_7.htm" TargetMode="External"/><Relationship Id="rId81" Type="http://schemas.openxmlformats.org/officeDocument/2006/relationships/hyperlink" Target="http://www.sec.gov/Archives/edgar/data/1582313/000156459018004712/xene-ex101_22.htm" TargetMode="External"/><Relationship Id="rId82" Type="http://schemas.openxmlformats.org/officeDocument/2006/relationships/hyperlink" Target="http://www.sec.gov/Archives/edgar/data/1582313/000156459018006921/xene-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2019-12-28T22:27:38Z</dcterms:created>
  <dcterms:modified xsi:type="dcterms:W3CDTF">2019-12-28T22:27:38Z</dcterms:modified>
</cp:coreProperties>
</file>